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9CACC4" w:themeColor="accent1" w:themeTint="66"/>
          <w:sz w:val="32"/>
          <w:szCs w:val="32"/>
        </w:rPr>
        <w:id w:val="-1442289537"/>
        <w:docPartObj>
          <w:docPartGallery w:val="Cover Pages"/>
          <w:docPartUnique/>
        </w:docPartObj>
      </w:sdtPr>
      <w:sdtEndPr>
        <w:rPr>
          <w:color w:val="EEEEEE" w:themeColor="background2"/>
        </w:rPr>
      </w:sdtEndPr>
      <w:sdtContent>
        <w:p w14:paraId="029C287D"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137E7CA7" wp14:editId="6E7C0EBF">
                <wp:simplePos x="0" y="0"/>
                <wp:positionH relativeFrom="margin">
                  <wp:posOffset>-900430</wp:posOffset>
                </wp:positionH>
                <wp:positionV relativeFrom="page">
                  <wp:posOffset>-21264</wp:posOffset>
                </wp:positionV>
                <wp:extent cx="7570798" cy="1070901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798" cy="107090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457457" w14:textId="3A5EC00A" w:rsidR="00A97160" w:rsidRPr="006923DF" w:rsidRDefault="000C7A80" w:rsidP="00011466">
          <w:pPr>
            <w:pStyle w:val="Title"/>
            <w:tabs>
              <w:tab w:val="left" w:pos="6379"/>
            </w:tabs>
            <w:spacing w:before="1200" w:after="120" w:line="720" w:lineRule="exact"/>
            <w:ind w:right="1982"/>
          </w:pPr>
          <w:r>
            <w:t xml:space="preserve">Strengthening </w:t>
          </w:r>
          <w:r w:rsidR="004C4742">
            <w:t>E</w:t>
          </w:r>
          <w:r>
            <w:t xml:space="preserve">valuation in the Australian </w:t>
          </w:r>
          <w:r w:rsidR="004C4742">
            <w:t>G</w:t>
          </w:r>
          <w:r>
            <w:t>overnment</w:t>
          </w:r>
        </w:p>
        <w:p w14:paraId="428D1455" w14:textId="426913A2" w:rsidR="00A97160" w:rsidRPr="006923DF" w:rsidRDefault="000C7A80" w:rsidP="004C2902">
          <w:pPr>
            <w:pStyle w:val="Subtitle"/>
            <w:spacing w:after="360"/>
          </w:pPr>
          <w:r>
            <w:t>Action Plan 202</w:t>
          </w:r>
          <w:r w:rsidR="00930E63">
            <w:t>6</w:t>
          </w:r>
          <w:r w:rsidR="00E37B73">
            <w:t>–</w:t>
          </w:r>
          <w:r>
            <w:t>2030</w:t>
          </w:r>
        </w:p>
        <w:p w14:paraId="2F533254" w14:textId="4024F83D" w:rsidR="004718C9" w:rsidRDefault="00E06BF9" w:rsidP="005F40BB">
          <w:pPr>
            <w:pStyle w:val="ReportDate"/>
          </w:pPr>
          <w:r>
            <w:rPr>
              <w:rStyle w:val="ReportDateChar"/>
            </w:rPr>
            <w:t>January</w:t>
          </w:r>
          <w:r w:rsidR="00447FC6">
            <w:rPr>
              <w:rStyle w:val="ReportDateChar"/>
            </w:rPr>
            <w:t xml:space="preserve"> 202</w:t>
          </w:r>
          <w:r>
            <w:rPr>
              <w:rStyle w:val="ReportDateChar"/>
            </w:rPr>
            <w:t>6</w:t>
          </w:r>
          <w:r w:rsidR="00A97160">
            <w:br w:type="page"/>
          </w:r>
        </w:p>
      </w:sdtContent>
    </w:sdt>
    <w:p w14:paraId="1BBE8C09" w14:textId="7E93B552" w:rsidR="006469CC" w:rsidRDefault="000E0B74" w:rsidP="005877AC">
      <w:pPr>
        <w:spacing w:before="0" w:after="160" w:line="259" w:lineRule="auto"/>
      </w:pPr>
      <w:r w:rsidRPr="00661BF0">
        <w:lastRenderedPageBreak/>
        <w:t xml:space="preserve">© Commonwealth of Australia </w:t>
      </w:r>
      <w:r w:rsidRPr="00956E72">
        <w:t>20</w:t>
      </w:r>
      <w:r w:rsidR="00D64CEC" w:rsidRPr="00956E72">
        <w:t>2</w:t>
      </w:r>
      <w:r w:rsidR="00120C1C">
        <w:t>6</w:t>
      </w:r>
    </w:p>
    <w:p w14:paraId="3149DE95" w14:textId="77E0D3E7" w:rsidR="008C59DB" w:rsidRPr="00086F82" w:rsidRDefault="008C59DB" w:rsidP="008C59DB">
      <w:pPr>
        <w:tabs>
          <w:tab w:val="left" w:pos="1650"/>
        </w:tabs>
        <w:spacing w:before="240"/>
        <w:rPr>
          <w:rFonts w:cstheme="minorBidi"/>
          <w:sz w:val="24"/>
          <w:szCs w:val="24"/>
        </w:rPr>
      </w:pPr>
      <w:r w:rsidRPr="004F5B51">
        <w:t xml:space="preserve">This publication is available for your use under a </w:t>
      </w:r>
      <w:hyperlink r:id="rId13" w:history="1">
        <w:r w:rsidRPr="0067588D">
          <w:rPr>
            <w:rStyle w:val="Hyperlink"/>
          </w:rPr>
          <w:t>Creative Commons Attribution 4.0 International</w:t>
        </w:r>
      </w:hyperlink>
      <w:r w:rsidRPr="004F5B51">
        <w:t xml:space="preserve"> licence, with the exception of the Commonwealth Coat of Arms, the Treasury logo, photographs, images, third party materials, materials protected by a trademark, signatures and where otherwise stated. The full licence ter</w:t>
      </w:r>
      <w:r w:rsidR="00B9177D">
        <w:t>m</w:t>
      </w:r>
      <w:r w:rsidRPr="004F5B51">
        <w:t xml:space="preserve">s are available from </w:t>
      </w:r>
      <w:hyperlink r:id="rId14" w:history="1">
        <w:r w:rsidRPr="00EB7BA9">
          <w:rPr>
            <w:rStyle w:val="Hyperlink"/>
          </w:rPr>
          <w:t>creativecommons.org/licenses/by/4.0/</w:t>
        </w:r>
        <w:proofErr w:type="spellStart"/>
        <w:r w:rsidRPr="00EB7BA9">
          <w:rPr>
            <w:rStyle w:val="Hyperlink"/>
          </w:rPr>
          <w:t>legalcode</w:t>
        </w:r>
        <w:proofErr w:type="spellEnd"/>
      </w:hyperlink>
      <w:r w:rsidRPr="004F5B51">
        <w:t>.</w:t>
      </w:r>
      <w:r w:rsidRPr="00D06A21">
        <w:rPr>
          <w:sz w:val="24"/>
          <w:szCs w:val="24"/>
        </w:rPr>
        <w:t xml:space="preserve"> </w:t>
      </w:r>
    </w:p>
    <w:p w14:paraId="79ECC55B" w14:textId="77777777" w:rsidR="008C59DB" w:rsidRDefault="008C59DB" w:rsidP="008C59DB">
      <w:pPr>
        <w:pStyle w:val="ChartGraphic"/>
        <w:jc w:val="left"/>
      </w:pPr>
      <w:r w:rsidRPr="00E56DFB">
        <w:rPr>
          <w:noProof/>
        </w:rPr>
        <w:drawing>
          <wp:inline distT="0" distB="0" distL="0" distR="0" wp14:anchorId="1CE800FD" wp14:editId="46E96A0C">
            <wp:extent cx="809625" cy="285750"/>
            <wp:effectExtent l="0" t="0" r="9525" b="0"/>
            <wp:docPr id="3" name="Picture 1" descr="Creative Commons attribution licence 4.0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reative Commons attribution licence 4.0 ic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B5C1BFD" w14:textId="77777777" w:rsidR="008C59DB" w:rsidRPr="006627B4" w:rsidRDefault="008C59DB" w:rsidP="00E06BF9">
      <w:pPr>
        <w:tabs>
          <w:tab w:val="left" w:pos="1650"/>
        </w:tabs>
      </w:pPr>
      <w:r w:rsidRPr="006627B4">
        <w:t>Use of Treasury material under a</w:t>
      </w:r>
      <w:r w:rsidRPr="00476F09">
        <w:rPr>
          <w:rFonts w:cstheme="minorHAnsi"/>
          <w:sz w:val="24"/>
          <w:szCs w:val="24"/>
        </w:rPr>
        <w:t xml:space="preserve"> </w:t>
      </w:r>
      <w:hyperlink r:id="rId16" w:history="1">
        <w:r w:rsidRPr="0067588D">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43FD250B" w14:textId="6D8B9FA6" w:rsidR="00E06BF9" w:rsidRDefault="008C59DB" w:rsidP="008C59DB">
      <w:pPr>
        <w:spacing w:before="240"/>
      </w:pPr>
      <w:r w:rsidRPr="006469CC">
        <w:rPr>
          <w:b/>
        </w:rPr>
        <w:t xml:space="preserve">Treasury material used </w:t>
      </w:r>
      <w:r w:rsidR="00E076EA">
        <w:rPr>
          <w:b/>
        </w:rPr>
        <w:t>‘</w:t>
      </w:r>
      <w:r w:rsidRPr="006469CC">
        <w:rPr>
          <w:b/>
        </w:rPr>
        <w:t>as supplied</w:t>
      </w:r>
      <w:r w:rsidR="00E076EA">
        <w:rPr>
          <w:b/>
        </w:rPr>
        <w:t>’</w:t>
      </w:r>
    </w:p>
    <w:p w14:paraId="26178E90" w14:textId="695AA82B" w:rsidR="008C59DB" w:rsidRPr="00F67F29" w:rsidRDefault="008C59DB" w:rsidP="00E06BF9">
      <w:pPr>
        <w:rPr>
          <w:b/>
        </w:rPr>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E076EA">
        <w:t xml:space="preserve"> –</w:t>
      </w:r>
      <w:r>
        <w:t>then Treasury prefers t</w:t>
      </w:r>
      <w:r w:rsidRPr="00476F09">
        <w:t xml:space="preserve">he following attribution: </w:t>
      </w:r>
    </w:p>
    <w:p w14:paraId="70C4F41D" w14:textId="2B7716CF" w:rsidR="008C59DB" w:rsidRPr="00056B72" w:rsidRDefault="008C59DB" w:rsidP="008C59DB">
      <w:pPr>
        <w:ind w:left="720"/>
        <w:rPr>
          <w:rStyle w:val="Emphasis"/>
        </w:rPr>
      </w:pPr>
      <w:r w:rsidRPr="00056B72">
        <w:rPr>
          <w:rStyle w:val="Emphasis"/>
        </w:rPr>
        <w:t xml:space="preserve">Source: The Australian Government the Treasury </w:t>
      </w:r>
    </w:p>
    <w:p w14:paraId="26D39A23" w14:textId="1A981077" w:rsidR="008C59DB" w:rsidRPr="00F67F29" w:rsidRDefault="008C59DB" w:rsidP="008C59DB">
      <w:pPr>
        <w:spacing w:before="240"/>
        <w:rPr>
          <w:b/>
        </w:rPr>
      </w:pPr>
      <w:r w:rsidRPr="006627B4">
        <w:rPr>
          <w:b/>
        </w:rPr>
        <w:t>Use of the Coat of Arms</w:t>
      </w:r>
      <w:r>
        <w:rPr>
          <w:b/>
        </w:rPr>
        <w:t xml:space="preserve">: </w:t>
      </w:r>
      <w:r w:rsidRPr="005C503A">
        <w:t>The terms under which the Coat of Arms can be used are set out on the Department of the Prime Minister and Cabinet website</w:t>
      </w:r>
      <w:r w:rsidR="00230766">
        <w:br/>
      </w:r>
      <w:r w:rsidRPr="005C503A">
        <w:t>(see</w:t>
      </w:r>
      <w:r w:rsidR="00230766">
        <w:t xml:space="preserve"> </w:t>
      </w:r>
      <w:hyperlink r:id="rId17" w:history="1">
        <w:r w:rsidR="00230766" w:rsidRPr="00BD3CE1">
          <w:rPr>
            <w:rStyle w:val="Hyperlink"/>
          </w:rPr>
          <w:t>https://www.pmc.gov.au/honours</w:t>
        </w:r>
        <w:r w:rsidR="00E076EA">
          <w:rPr>
            <w:rStyle w:val="Hyperlink"/>
          </w:rPr>
          <w:noBreakHyphen/>
        </w:r>
        <w:r w:rsidR="00230766" w:rsidRPr="00BD3CE1">
          <w:rPr>
            <w:rStyle w:val="Hyperlink"/>
          </w:rPr>
          <w:t>and</w:t>
        </w:r>
        <w:r w:rsidR="00E076EA">
          <w:rPr>
            <w:rStyle w:val="Hyperlink"/>
          </w:rPr>
          <w:noBreakHyphen/>
        </w:r>
        <w:r w:rsidR="00230766" w:rsidRPr="00BD3CE1">
          <w:rPr>
            <w:rStyle w:val="Hyperlink"/>
          </w:rPr>
          <w:t>symbols/commonwealth</w:t>
        </w:r>
        <w:r w:rsidR="00E076EA">
          <w:rPr>
            <w:rStyle w:val="Hyperlink"/>
          </w:rPr>
          <w:noBreakHyphen/>
        </w:r>
        <w:r w:rsidR="00230766" w:rsidRPr="00BD3CE1">
          <w:rPr>
            <w:rStyle w:val="Hyperlink"/>
          </w:rPr>
          <w:t>coat</w:t>
        </w:r>
        <w:r w:rsidR="00E076EA">
          <w:rPr>
            <w:rStyle w:val="Hyperlink"/>
          </w:rPr>
          <w:noBreakHyphen/>
        </w:r>
        <w:r w:rsidR="00230766" w:rsidRPr="00BD3CE1">
          <w:rPr>
            <w:rStyle w:val="Hyperlink"/>
          </w:rPr>
          <w:t>arms</w:t>
        </w:r>
      </w:hyperlink>
      <w:r w:rsidRPr="005C503A">
        <w:t>).</w:t>
      </w:r>
    </w:p>
    <w:p w14:paraId="3837FC7F" w14:textId="277E6923" w:rsidR="008C59DB" w:rsidRPr="00F67F29" w:rsidRDefault="008C59DB" w:rsidP="008C59DB">
      <w:pPr>
        <w:spacing w:before="240"/>
        <w:rPr>
          <w:b/>
        </w:rPr>
      </w:pPr>
      <w:r>
        <w:rPr>
          <w:b/>
        </w:rPr>
        <w:t>Other u</w:t>
      </w:r>
      <w:r w:rsidRPr="006627B4">
        <w:rPr>
          <w:b/>
        </w:rPr>
        <w:t>ses</w:t>
      </w:r>
      <w:r>
        <w:t>: E</w:t>
      </w:r>
      <w:r w:rsidRPr="006627B4">
        <w:t>nquiries regarding this licence and any other use of this document are welcome at:</w:t>
      </w:r>
    </w:p>
    <w:p w14:paraId="05D7B4B8" w14:textId="3EFFFCDC" w:rsidR="008C59DB" w:rsidRDefault="008C59DB" w:rsidP="008C59DB">
      <w:pPr>
        <w:ind w:left="720"/>
        <w:rPr>
          <w:rStyle w:val="Hyperlink"/>
        </w:rPr>
      </w:pPr>
      <w:r w:rsidRPr="006627B4">
        <w:t>Manager</w:t>
      </w:r>
      <w:r>
        <w:br/>
        <w:t>Media Unit</w:t>
      </w:r>
      <w:r>
        <w:br/>
      </w:r>
      <w:r w:rsidRPr="006627B4">
        <w:t>The Treasury</w:t>
      </w:r>
      <w:r>
        <w:br/>
      </w:r>
      <w:r w:rsidRPr="006627B4">
        <w:t xml:space="preserve">Langton Crescent </w:t>
      </w:r>
      <w:r>
        <w:br/>
      </w:r>
      <w:r w:rsidR="00CA005B" w:rsidRPr="006627B4">
        <w:t xml:space="preserve">Parkes </w:t>
      </w:r>
      <w:r w:rsidR="00CA005B">
        <w:t>ACT</w:t>
      </w:r>
      <w:r w:rsidRPr="006627B4">
        <w:t xml:space="preserve"> </w:t>
      </w:r>
      <w:r>
        <w:t xml:space="preserve"> </w:t>
      </w:r>
      <w:r w:rsidRPr="006627B4">
        <w:t>2600</w:t>
      </w:r>
      <w:r>
        <w:br/>
      </w:r>
      <w:r w:rsidRPr="006627B4">
        <w:t xml:space="preserve">Email: </w:t>
      </w:r>
      <w:hyperlink r:id="rId18" w:history="1">
        <w:r>
          <w:rPr>
            <w:rStyle w:val="Hyperlink"/>
          </w:rPr>
          <w:t>media@treasury.gov.au</w:t>
        </w:r>
      </w:hyperlink>
    </w:p>
    <w:p w14:paraId="77B49596" w14:textId="77777777" w:rsidR="000438D7" w:rsidRPr="000438D7" w:rsidRDefault="000438D7" w:rsidP="000438D7"/>
    <w:p w14:paraId="7D7BA668" w14:textId="77777777" w:rsidR="008206F9" w:rsidRDefault="008C59DB" w:rsidP="008C59DB">
      <w:pPr>
        <w:rPr>
          <w:rStyle w:val="Emphasis"/>
        </w:rPr>
        <w:sectPr w:rsidR="008206F9" w:rsidSect="00CE5974">
          <w:footerReference w:type="even" r:id="rId19"/>
          <w:footerReference w:type="first" r:id="rId20"/>
          <w:pgSz w:w="11906" w:h="16838" w:code="9"/>
          <w:pgMar w:top="1843" w:right="1418" w:bottom="1418" w:left="1418" w:header="709" w:footer="709" w:gutter="0"/>
          <w:pgNumType w:fmt="lowerRoman" w:start="3"/>
          <w:cols w:space="708"/>
          <w:titlePg/>
          <w:docGrid w:linePitch="360"/>
        </w:sect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02759B2B" w14:textId="77777777" w:rsidR="008C59DB" w:rsidRDefault="000E0B74" w:rsidP="000206DB">
      <w:pPr>
        <w:pStyle w:val="Heading1"/>
        <w:spacing w:before="0"/>
        <w:rPr>
          <w:noProof/>
        </w:rPr>
      </w:pPr>
      <w:bookmarkStart w:id="0" w:name="_Toc111026801"/>
      <w:r w:rsidRPr="001F1B27">
        <w:lastRenderedPageBreak/>
        <w:t>Contents</w:t>
      </w:r>
      <w:r w:rsidR="001D7B35">
        <w:fldChar w:fldCharType="begin"/>
      </w:r>
      <w:r w:rsidR="001D7B35">
        <w:instrText xml:space="preserve"> TOC \o "1-2" \h \z \u </w:instrText>
      </w:r>
      <w:r w:rsidR="001D7B35">
        <w:fldChar w:fldCharType="separate"/>
      </w:r>
    </w:p>
    <w:p w14:paraId="74CE71EC" w14:textId="63A2E8FB" w:rsidR="008C59DB" w:rsidRDefault="008C59DB">
      <w:pPr>
        <w:pStyle w:val="TOC1"/>
        <w:rPr>
          <w:rFonts w:asciiTheme="minorHAnsi" w:eastAsiaTheme="minorEastAsia" w:hAnsiTheme="minorHAnsi" w:cstheme="minorBidi"/>
          <w:b w:val="0"/>
          <w:color w:val="auto"/>
          <w:kern w:val="2"/>
          <w:sz w:val="24"/>
          <w:szCs w:val="24"/>
          <w14:ligatures w14:val="standardContextual"/>
        </w:rPr>
      </w:pPr>
      <w:hyperlink w:anchor="_Toc211837394" w:history="1">
        <w:r w:rsidRPr="006F36C6">
          <w:rPr>
            <w:rStyle w:val="Hyperlink"/>
          </w:rPr>
          <w:t>Summary</w:t>
        </w:r>
        <w:r>
          <w:rPr>
            <w:webHidden/>
          </w:rPr>
          <w:tab/>
        </w:r>
        <w:r>
          <w:rPr>
            <w:webHidden/>
          </w:rPr>
          <w:fldChar w:fldCharType="begin"/>
        </w:r>
        <w:r>
          <w:rPr>
            <w:webHidden/>
          </w:rPr>
          <w:instrText xml:space="preserve"> PAGEREF _Toc211837394 \h </w:instrText>
        </w:r>
        <w:r>
          <w:rPr>
            <w:webHidden/>
          </w:rPr>
        </w:r>
        <w:r>
          <w:rPr>
            <w:webHidden/>
          </w:rPr>
          <w:fldChar w:fldCharType="separate"/>
        </w:r>
        <w:r w:rsidR="00642CF2">
          <w:rPr>
            <w:webHidden/>
          </w:rPr>
          <w:t>1</w:t>
        </w:r>
        <w:r>
          <w:rPr>
            <w:webHidden/>
          </w:rPr>
          <w:fldChar w:fldCharType="end"/>
        </w:r>
      </w:hyperlink>
    </w:p>
    <w:p w14:paraId="2EF55882" w14:textId="0282BE24" w:rsidR="008C59DB" w:rsidRDefault="008C59DB">
      <w:pPr>
        <w:pStyle w:val="TOC1"/>
        <w:rPr>
          <w:rFonts w:asciiTheme="minorHAnsi" w:eastAsiaTheme="minorEastAsia" w:hAnsiTheme="minorHAnsi" w:cstheme="minorBidi"/>
          <w:b w:val="0"/>
          <w:color w:val="auto"/>
          <w:kern w:val="2"/>
          <w:sz w:val="24"/>
          <w:szCs w:val="24"/>
          <w14:ligatures w14:val="standardContextual"/>
        </w:rPr>
      </w:pPr>
      <w:hyperlink w:anchor="_Toc211837395" w:history="1">
        <w:r w:rsidRPr="006F36C6">
          <w:rPr>
            <w:rStyle w:val="Hyperlink"/>
          </w:rPr>
          <w:t>Introduction</w:t>
        </w:r>
        <w:r>
          <w:rPr>
            <w:webHidden/>
          </w:rPr>
          <w:tab/>
        </w:r>
        <w:r>
          <w:rPr>
            <w:webHidden/>
          </w:rPr>
          <w:fldChar w:fldCharType="begin"/>
        </w:r>
        <w:r>
          <w:rPr>
            <w:webHidden/>
          </w:rPr>
          <w:instrText xml:space="preserve"> PAGEREF _Toc211837395 \h </w:instrText>
        </w:r>
        <w:r>
          <w:rPr>
            <w:webHidden/>
          </w:rPr>
        </w:r>
        <w:r>
          <w:rPr>
            <w:webHidden/>
          </w:rPr>
          <w:fldChar w:fldCharType="separate"/>
        </w:r>
        <w:r w:rsidR="00642CF2">
          <w:rPr>
            <w:webHidden/>
          </w:rPr>
          <w:t>2</w:t>
        </w:r>
        <w:r>
          <w:rPr>
            <w:webHidden/>
          </w:rPr>
          <w:fldChar w:fldCharType="end"/>
        </w:r>
      </w:hyperlink>
    </w:p>
    <w:p w14:paraId="155141AE" w14:textId="61461E5A"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396" w:history="1">
        <w:r w:rsidRPr="006F36C6">
          <w:rPr>
            <w:rStyle w:val="Hyperlink"/>
          </w:rPr>
          <w:t>Purpose and scope</w:t>
        </w:r>
        <w:r>
          <w:rPr>
            <w:webHidden/>
          </w:rPr>
          <w:tab/>
        </w:r>
        <w:r>
          <w:rPr>
            <w:webHidden/>
          </w:rPr>
          <w:fldChar w:fldCharType="begin"/>
        </w:r>
        <w:r>
          <w:rPr>
            <w:webHidden/>
          </w:rPr>
          <w:instrText xml:space="preserve"> PAGEREF _Toc211837396 \h </w:instrText>
        </w:r>
        <w:r>
          <w:rPr>
            <w:webHidden/>
          </w:rPr>
        </w:r>
        <w:r>
          <w:rPr>
            <w:webHidden/>
          </w:rPr>
          <w:fldChar w:fldCharType="separate"/>
        </w:r>
        <w:r w:rsidR="00642CF2">
          <w:rPr>
            <w:webHidden/>
          </w:rPr>
          <w:t>2</w:t>
        </w:r>
        <w:r>
          <w:rPr>
            <w:webHidden/>
          </w:rPr>
          <w:fldChar w:fldCharType="end"/>
        </w:r>
      </w:hyperlink>
    </w:p>
    <w:p w14:paraId="69516A81" w14:textId="67786E16"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397" w:history="1">
        <w:r w:rsidRPr="006F36C6">
          <w:rPr>
            <w:rStyle w:val="Hyperlink"/>
          </w:rPr>
          <w:t>Vision</w:t>
        </w:r>
        <w:r>
          <w:rPr>
            <w:webHidden/>
          </w:rPr>
          <w:tab/>
        </w:r>
        <w:r>
          <w:rPr>
            <w:webHidden/>
          </w:rPr>
          <w:fldChar w:fldCharType="begin"/>
        </w:r>
        <w:r>
          <w:rPr>
            <w:webHidden/>
          </w:rPr>
          <w:instrText xml:space="preserve"> PAGEREF _Toc211837397 \h </w:instrText>
        </w:r>
        <w:r>
          <w:rPr>
            <w:webHidden/>
          </w:rPr>
        </w:r>
        <w:r>
          <w:rPr>
            <w:webHidden/>
          </w:rPr>
          <w:fldChar w:fldCharType="separate"/>
        </w:r>
        <w:r w:rsidR="00642CF2">
          <w:rPr>
            <w:webHidden/>
          </w:rPr>
          <w:t>2</w:t>
        </w:r>
        <w:r>
          <w:rPr>
            <w:webHidden/>
          </w:rPr>
          <w:fldChar w:fldCharType="end"/>
        </w:r>
      </w:hyperlink>
    </w:p>
    <w:p w14:paraId="736FBCD6" w14:textId="141D8910"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398" w:history="1">
        <w:r w:rsidRPr="006F36C6">
          <w:rPr>
            <w:rStyle w:val="Hyperlink"/>
          </w:rPr>
          <w:t>Background</w:t>
        </w:r>
        <w:r>
          <w:rPr>
            <w:webHidden/>
          </w:rPr>
          <w:tab/>
        </w:r>
        <w:r>
          <w:rPr>
            <w:webHidden/>
          </w:rPr>
          <w:fldChar w:fldCharType="begin"/>
        </w:r>
        <w:r>
          <w:rPr>
            <w:webHidden/>
          </w:rPr>
          <w:instrText xml:space="preserve"> PAGEREF _Toc211837398 \h </w:instrText>
        </w:r>
        <w:r>
          <w:rPr>
            <w:webHidden/>
          </w:rPr>
        </w:r>
        <w:r>
          <w:rPr>
            <w:webHidden/>
          </w:rPr>
          <w:fldChar w:fldCharType="separate"/>
        </w:r>
        <w:r w:rsidR="00642CF2">
          <w:rPr>
            <w:webHidden/>
          </w:rPr>
          <w:t>2</w:t>
        </w:r>
        <w:r>
          <w:rPr>
            <w:webHidden/>
          </w:rPr>
          <w:fldChar w:fldCharType="end"/>
        </w:r>
      </w:hyperlink>
    </w:p>
    <w:p w14:paraId="20AC661D" w14:textId="7F9977CA" w:rsidR="008C59DB" w:rsidRDefault="008C59DB">
      <w:pPr>
        <w:pStyle w:val="TOC1"/>
        <w:rPr>
          <w:rFonts w:asciiTheme="minorHAnsi" w:eastAsiaTheme="minorEastAsia" w:hAnsiTheme="minorHAnsi" w:cstheme="minorBidi"/>
          <w:b w:val="0"/>
          <w:color w:val="auto"/>
          <w:kern w:val="2"/>
          <w:sz w:val="24"/>
          <w:szCs w:val="24"/>
          <w14:ligatures w14:val="standardContextual"/>
        </w:rPr>
      </w:pPr>
      <w:hyperlink w:anchor="_Toc211837399" w:history="1">
        <w:r w:rsidRPr="006F36C6">
          <w:rPr>
            <w:rStyle w:val="Hyperlink"/>
          </w:rPr>
          <w:t>Priorities and action plan</w:t>
        </w:r>
        <w:r>
          <w:rPr>
            <w:webHidden/>
          </w:rPr>
          <w:tab/>
        </w:r>
        <w:r>
          <w:rPr>
            <w:webHidden/>
          </w:rPr>
          <w:fldChar w:fldCharType="begin"/>
        </w:r>
        <w:r>
          <w:rPr>
            <w:webHidden/>
          </w:rPr>
          <w:instrText xml:space="preserve"> PAGEREF _Toc211837399 \h </w:instrText>
        </w:r>
        <w:r>
          <w:rPr>
            <w:webHidden/>
          </w:rPr>
        </w:r>
        <w:r>
          <w:rPr>
            <w:webHidden/>
          </w:rPr>
          <w:fldChar w:fldCharType="separate"/>
        </w:r>
        <w:r w:rsidR="00642CF2">
          <w:rPr>
            <w:webHidden/>
          </w:rPr>
          <w:t>3</w:t>
        </w:r>
        <w:r>
          <w:rPr>
            <w:webHidden/>
          </w:rPr>
          <w:fldChar w:fldCharType="end"/>
        </w:r>
      </w:hyperlink>
    </w:p>
    <w:p w14:paraId="10D6307E" w14:textId="2BEB86CF"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0" w:history="1">
        <w:r w:rsidRPr="006F36C6">
          <w:rPr>
            <w:rStyle w:val="Hyperlink"/>
          </w:rPr>
          <w:t>Priority 1: Evaluation leadership and culture</w:t>
        </w:r>
        <w:r>
          <w:rPr>
            <w:webHidden/>
          </w:rPr>
          <w:tab/>
        </w:r>
        <w:r>
          <w:rPr>
            <w:webHidden/>
          </w:rPr>
          <w:fldChar w:fldCharType="begin"/>
        </w:r>
        <w:r>
          <w:rPr>
            <w:webHidden/>
          </w:rPr>
          <w:instrText xml:space="preserve"> PAGEREF _Toc211837400 \h </w:instrText>
        </w:r>
        <w:r>
          <w:rPr>
            <w:webHidden/>
          </w:rPr>
        </w:r>
        <w:r>
          <w:rPr>
            <w:webHidden/>
          </w:rPr>
          <w:fldChar w:fldCharType="separate"/>
        </w:r>
        <w:r w:rsidR="00642CF2">
          <w:rPr>
            <w:webHidden/>
          </w:rPr>
          <w:t>3</w:t>
        </w:r>
        <w:r>
          <w:rPr>
            <w:webHidden/>
          </w:rPr>
          <w:fldChar w:fldCharType="end"/>
        </w:r>
      </w:hyperlink>
    </w:p>
    <w:p w14:paraId="040F0FF8" w14:textId="52FB80F0"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1" w:history="1">
        <w:r w:rsidRPr="006F36C6">
          <w:rPr>
            <w:rStyle w:val="Hyperlink"/>
          </w:rPr>
          <w:t>Priority 2: Evaluation capability</w:t>
        </w:r>
        <w:r>
          <w:rPr>
            <w:webHidden/>
          </w:rPr>
          <w:tab/>
        </w:r>
        <w:r>
          <w:rPr>
            <w:webHidden/>
          </w:rPr>
          <w:fldChar w:fldCharType="begin"/>
        </w:r>
        <w:r>
          <w:rPr>
            <w:webHidden/>
          </w:rPr>
          <w:instrText xml:space="preserve"> PAGEREF _Toc211837401 \h </w:instrText>
        </w:r>
        <w:r>
          <w:rPr>
            <w:webHidden/>
          </w:rPr>
        </w:r>
        <w:r>
          <w:rPr>
            <w:webHidden/>
          </w:rPr>
          <w:fldChar w:fldCharType="separate"/>
        </w:r>
        <w:r w:rsidR="00642CF2">
          <w:rPr>
            <w:webHidden/>
          </w:rPr>
          <w:t>4</w:t>
        </w:r>
        <w:r>
          <w:rPr>
            <w:webHidden/>
          </w:rPr>
          <w:fldChar w:fldCharType="end"/>
        </w:r>
      </w:hyperlink>
    </w:p>
    <w:p w14:paraId="50E4476D" w14:textId="0E8DF951"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2" w:history="1">
        <w:r w:rsidRPr="006F36C6">
          <w:rPr>
            <w:rStyle w:val="Hyperlink"/>
          </w:rPr>
          <w:t>Priority 3: Evaluation planning and delivery</w:t>
        </w:r>
        <w:r>
          <w:rPr>
            <w:webHidden/>
          </w:rPr>
          <w:tab/>
        </w:r>
        <w:r>
          <w:rPr>
            <w:webHidden/>
          </w:rPr>
          <w:fldChar w:fldCharType="begin"/>
        </w:r>
        <w:r>
          <w:rPr>
            <w:webHidden/>
          </w:rPr>
          <w:instrText xml:space="preserve"> PAGEREF _Toc211837402 \h </w:instrText>
        </w:r>
        <w:r>
          <w:rPr>
            <w:webHidden/>
          </w:rPr>
        </w:r>
        <w:r>
          <w:rPr>
            <w:webHidden/>
          </w:rPr>
          <w:fldChar w:fldCharType="separate"/>
        </w:r>
        <w:r w:rsidR="00642CF2">
          <w:rPr>
            <w:webHidden/>
          </w:rPr>
          <w:t>4</w:t>
        </w:r>
        <w:r>
          <w:rPr>
            <w:webHidden/>
          </w:rPr>
          <w:fldChar w:fldCharType="end"/>
        </w:r>
      </w:hyperlink>
    </w:p>
    <w:p w14:paraId="6095127D" w14:textId="268922A3"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3" w:history="1">
        <w:r w:rsidRPr="006F36C6">
          <w:rPr>
            <w:rStyle w:val="Hyperlink"/>
          </w:rPr>
          <w:t>Priority 4: Use of evaluation evidence</w:t>
        </w:r>
        <w:r>
          <w:rPr>
            <w:webHidden/>
          </w:rPr>
          <w:tab/>
        </w:r>
        <w:r>
          <w:rPr>
            <w:webHidden/>
          </w:rPr>
          <w:fldChar w:fldCharType="begin"/>
        </w:r>
        <w:r>
          <w:rPr>
            <w:webHidden/>
          </w:rPr>
          <w:instrText xml:space="preserve"> PAGEREF _Toc211837403 \h </w:instrText>
        </w:r>
        <w:r>
          <w:rPr>
            <w:webHidden/>
          </w:rPr>
        </w:r>
        <w:r>
          <w:rPr>
            <w:webHidden/>
          </w:rPr>
          <w:fldChar w:fldCharType="separate"/>
        </w:r>
        <w:r w:rsidR="00642CF2">
          <w:rPr>
            <w:webHidden/>
          </w:rPr>
          <w:t>5</w:t>
        </w:r>
        <w:r>
          <w:rPr>
            <w:webHidden/>
          </w:rPr>
          <w:fldChar w:fldCharType="end"/>
        </w:r>
      </w:hyperlink>
    </w:p>
    <w:p w14:paraId="51F322D8" w14:textId="5BD87F8D" w:rsidR="008C59DB" w:rsidRDefault="008C59DB">
      <w:pPr>
        <w:pStyle w:val="TOC1"/>
        <w:rPr>
          <w:rFonts w:asciiTheme="minorHAnsi" w:eastAsiaTheme="minorEastAsia" w:hAnsiTheme="minorHAnsi" w:cstheme="minorBidi"/>
          <w:b w:val="0"/>
          <w:color w:val="auto"/>
          <w:kern w:val="2"/>
          <w:sz w:val="24"/>
          <w:szCs w:val="24"/>
          <w14:ligatures w14:val="standardContextual"/>
        </w:rPr>
      </w:pPr>
      <w:hyperlink w:anchor="_Toc211837404" w:history="1">
        <w:r w:rsidRPr="006F36C6">
          <w:rPr>
            <w:rStyle w:val="Hyperlink"/>
          </w:rPr>
          <w:t>Governance and implementation</w:t>
        </w:r>
        <w:r>
          <w:rPr>
            <w:webHidden/>
          </w:rPr>
          <w:tab/>
        </w:r>
        <w:r>
          <w:rPr>
            <w:webHidden/>
          </w:rPr>
          <w:fldChar w:fldCharType="begin"/>
        </w:r>
        <w:r>
          <w:rPr>
            <w:webHidden/>
          </w:rPr>
          <w:instrText xml:space="preserve"> PAGEREF _Toc211837404 \h </w:instrText>
        </w:r>
        <w:r>
          <w:rPr>
            <w:webHidden/>
          </w:rPr>
        </w:r>
        <w:r>
          <w:rPr>
            <w:webHidden/>
          </w:rPr>
          <w:fldChar w:fldCharType="separate"/>
        </w:r>
        <w:r w:rsidR="00642CF2">
          <w:rPr>
            <w:webHidden/>
          </w:rPr>
          <w:t>6</w:t>
        </w:r>
        <w:r>
          <w:rPr>
            <w:webHidden/>
          </w:rPr>
          <w:fldChar w:fldCharType="end"/>
        </w:r>
      </w:hyperlink>
    </w:p>
    <w:p w14:paraId="778CA5B6" w14:textId="39C36B4E"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5" w:history="1">
        <w:r w:rsidRPr="006F36C6">
          <w:rPr>
            <w:rStyle w:val="Hyperlink"/>
          </w:rPr>
          <w:t>Whole</w:t>
        </w:r>
        <w:r w:rsidR="00E076EA">
          <w:rPr>
            <w:rStyle w:val="Hyperlink"/>
          </w:rPr>
          <w:noBreakHyphen/>
        </w:r>
        <w:r w:rsidRPr="006F36C6">
          <w:rPr>
            <w:rStyle w:val="Hyperlink"/>
          </w:rPr>
          <w:t>of</w:t>
        </w:r>
        <w:r w:rsidR="00E076EA">
          <w:rPr>
            <w:rStyle w:val="Hyperlink"/>
          </w:rPr>
          <w:noBreakHyphen/>
        </w:r>
        <w:r w:rsidRPr="006F36C6">
          <w:rPr>
            <w:rStyle w:val="Hyperlink"/>
          </w:rPr>
          <w:t>government governance</w:t>
        </w:r>
        <w:r>
          <w:rPr>
            <w:webHidden/>
          </w:rPr>
          <w:tab/>
        </w:r>
        <w:r>
          <w:rPr>
            <w:webHidden/>
          </w:rPr>
          <w:fldChar w:fldCharType="begin"/>
        </w:r>
        <w:r>
          <w:rPr>
            <w:webHidden/>
          </w:rPr>
          <w:instrText xml:space="preserve"> PAGEREF _Toc211837405 \h </w:instrText>
        </w:r>
        <w:r>
          <w:rPr>
            <w:webHidden/>
          </w:rPr>
        </w:r>
        <w:r>
          <w:rPr>
            <w:webHidden/>
          </w:rPr>
          <w:fldChar w:fldCharType="separate"/>
        </w:r>
        <w:r w:rsidR="00642CF2">
          <w:rPr>
            <w:webHidden/>
          </w:rPr>
          <w:t>6</w:t>
        </w:r>
        <w:r>
          <w:rPr>
            <w:webHidden/>
          </w:rPr>
          <w:fldChar w:fldCharType="end"/>
        </w:r>
      </w:hyperlink>
    </w:p>
    <w:p w14:paraId="69BE30E0" w14:textId="0EADE097"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6" w:history="1">
        <w:r w:rsidRPr="006F36C6">
          <w:rPr>
            <w:rStyle w:val="Hyperlink"/>
          </w:rPr>
          <w:t>Entity</w:t>
        </w:r>
        <w:r w:rsidR="00E076EA">
          <w:rPr>
            <w:rStyle w:val="Hyperlink"/>
          </w:rPr>
          <w:noBreakHyphen/>
        </w:r>
        <w:r w:rsidRPr="006F36C6">
          <w:rPr>
            <w:rStyle w:val="Hyperlink"/>
          </w:rPr>
          <w:t>level governance</w:t>
        </w:r>
        <w:r>
          <w:rPr>
            <w:webHidden/>
          </w:rPr>
          <w:tab/>
        </w:r>
        <w:r>
          <w:rPr>
            <w:webHidden/>
          </w:rPr>
          <w:fldChar w:fldCharType="begin"/>
        </w:r>
        <w:r>
          <w:rPr>
            <w:webHidden/>
          </w:rPr>
          <w:instrText xml:space="preserve"> PAGEREF _Toc211837406 \h </w:instrText>
        </w:r>
        <w:r>
          <w:rPr>
            <w:webHidden/>
          </w:rPr>
        </w:r>
        <w:r>
          <w:rPr>
            <w:webHidden/>
          </w:rPr>
          <w:fldChar w:fldCharType="separate"/>
        </w:r>
        <w:r w:rsidR="00642CF2">
          <w:rPr>
            <w:webHidden/>
          </w:rPr>
          <w:t>6</w:t>
        </w:r>
        <w:r>
          <w:rPr>
            <w:webHidden/>
          </w:rPr>
          <w:fldChar w:fldCharType="end"/>
        </w:r>
      </w:hyperlink>
    </w:p>
    <w:p w14:paraId="4065E1A8" w14:textId="3A62F184"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7" w:history="1">
        <w:r w:rsidRPr="006F36C6">
          <w:rPr>
            <w:rStyle w:val="Hyperlink"/>
          </w:rPr>
          <w:t>Resourcing and review</w:t>
        </w:r>
        <w:r>
          <w:rPr>
            <w:webHidden/>
          </w:rPr>
          <w:tab/>
        </w:r>
        <w:r>
          <w:rPr>
            <w:webHidden/>
          </w:rPr>
          <w:fldChar w:fldCharType="begin"/>
        </w:r>
        <w:r>
          <w:rPr>
            <w:webHidden/>
          </w:rPr>
          <w:instrText xml:space="preserve"> PAGEREF _Toc211837407 \h </w:instrText>
        </w:r>
        <w:r>
          <w:rPr>
            <w:webHidden/>
          </w:rPr>
        </w:r>
        <w:r>
          <w:rPr>
            <w:webHidden/>
          </w:rPr>
          <w:fldChar w:fldCharType="separate"/>
        </w:r>
        <w:r w:rsidR="00642CF2">
          <w:rPr>
            <w:webHidden/>
          </w:rPr>
          <w:t>7</w:t>
        </w:r>
        <w:r>
          <w:rPr>
            <w:webHidden/>
          </w:rPr>
          <w:fldChar w:fldCharType="end"/>
        </w:r>
      </w:hyperlink>
    </w:p>
    <w:p w14:paraId="1F8ED388" w14:textId="0145AAE3" w:rsidR="008C59DB" w:rsidRDefault="008C59DB">
      <w:pPr>
        <w:pStyle w:val="TOC2"/>
        <w:rPr>
          <w:rFonts w:asciiTheme="minorHAnsi" w:eastAsiaTheme="minorEastAsia" w:hAnsiTheme="minorHAnsi" w:cstheme="minorBidi"/>
          <w:color w:val="auto"/>
          <w:kern w:val="2"/>
          <w:sz w:val="24"/>
          <w:szCs w:val="24"/>
          <w14:ligatures w14:val="standardContextual"/>
        </w:rPr>
      </w:pPr>
      <w:hyperlink w:anchor="_Toc211837408" w:history="1">
        <w:r w:rsidRPr="006F36C6">
          <w:rPr>
            <w:rStyle w:val="Hyperlink"/>
          </w:rPr>
          <w:t>Monitoring progress</w:t>
        </w:r>
        <w:r>
          <w:rPr>
            <w:webHidden/>
          </w:rPr>
          <w:tab/>
        </w:r>
        <w:r>
          <w:rPr>
            <w:webHidden/>
          </w:rPr>
          <w:fldChar w:fldCharType="begin"/>
        </w:r>
        <w:r>
          <w:rPr>
            <w:webHidden/>
          </w:rPr>
          <w:instrText xml:space="preserve"> PAGEREF _Toc211837408 \h </w:instrText>
        </w:r>
        <w:r>
          <w:rPr>
            <w:webHidden/>
          </w:rPr>
        </w:r>
        <w:r>
          <w:rPr>
            <w:webHidden/>
          </w:rPr>
          <w:fldChar w:fldCharType="separate"/>
        </w:r>
        <w:r w:rsidR="00642CF2">
          <w:rPr>
            <w:webHidden/>
          </w:rPr>
          <w:t>7</w:t>
        </w:r>
        <w:r>
          <w:rPr>
            <w:webHidden/>
          </w:rPr>
          <w:fldChar w:fldCharType="end"/>
        </w:r>
      </w:hyperlink>
    </w:p>
    <w:p w14:paraId="59DA436D" w14:textId="77777777" w:rsidR="00E533DD" w:rsidRDefault="001D7B35" w:rsidP="00E533DD">
      <w:pPr>
        <w:pStyle w:val="TOC1"/>
        <w:rPr>
          <w:rFonts w:ascii="Calibri" w:hAnsi="Calibri" w:cs="Arial"/>
          <w:color w:val="004A7F"/>
          <w:kern w:val="32"/>
          <w:sz w:val="44"/>
        </w:rPr>
        <w:sectPr w:rsidR="00E533DD" w:rsidSect="00CE5974">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843" w:right="1418" w:bottom="1418" w:left="1418" w:header="709" w:footer="709" w:gutter="0"/>
          <w:pgNumType w:fmt="lowerRoman" w:start="3"/>
          <w:cols w:space="708"/>
          <w:docGrid w:linePitch="360"/>
        </w:sectPr>
      </w:pPr>
      <w:r>
        <w:rPr>
          <w:rFonts w:ascii="Calibri" w:hAnsi="Calibri" w:cs="Arial"/>
          <w:color w:val="004A7F"/>
          <w:kern w:val="32"/>
          <w:sz w:val="44"/>
        </w:rPr>
        <w:fldChar w:fldCharType="end"/>
      </w:r>
      <w:bookmarkStart w:id="1" w:name="_Toc432067104"/>
      <w:bookmarkStart w:id="2" w:name="_Toc452635031"/>
      <w:bookmarkStart w:id="3" w:name="_Toc211837394"/>
      <w:bookmarkEnd w:id="0"/>
    </w:p>
    <w:p w14:paraId="32BED198" w14:textId="4789C32D" w:rsidR="006C5B73" w:rsidRDefault="006C5B73" w:rsidP="00E533DD">
      <w:pPr>
        <w:pStyle w:val="Heading1"/>
        <w:spacing w:before="0"/>
      </w:pPr>
      <w:r w:rsidRPr="00A524B9">
        <w:lastRenderedPageBreak/>
        <w:t>Summary</w:t>
      </w:r>
      <w:bookmarkEnd w:id="1"/>
      <w:bookmarkEnd w:id="2"/>
      <w:bookmarkEnd w:id="3"/>
      <w:r w:rsidR="00C555AC">
        <w:t xml:space="preserve"> </w:t>
      </w:r>
    </w:p>
    <w:p w14:paraId="732BEC6C" w14:textId="2B296D31" w:rsidR="009E3766" w:rsidRDefault="00601236" w:rsidP="00EF0702">
      <w:r>
        <w:t>This</w:t>
      </w:r>
      <w:r w:rsidR="007D43AC" w:rsidRPr="00CB193D">
        <w:t xml:space="preserve"> </w:t>
      </w:r>
      <w:r w:rsidR="00327B67" w:rsidRPr="00CB193D">
        <w:t>whole</w:t>
      </w:r>
      <w:r w:rsidR="00E076EA">
        <w:noBreakHyphen/>
      </w:r>
      <w:r w:rsidR="00327B67" w:rsidRPr="00CB193D">
        <w:t>of</w:t>
      </w:r>
      <w:r w:rsidR="00E076EA">
        <w:noBreakHyphen/>
      </w:r>
      <w:r w:rsidR="00327B67" w:rsidRPr="00CB193D">
        <w:t xml:space="preserve">government </w:t>
      </w:r>
      <w:r w:rsidR="007D43AC" w:rsidRPr="00CB193D">
        <w:t xml:space="preserve">action plan for </w:t>
      </w:r>
      <w:r w:rsidR="00930E63">
        <w:t>2026</w:t>
      </w:r>
      <w:r w:rsidR="007D43AC" w:rsidRPr="00CB193D">
        <w:t xml:space="preserve"> to 2030</w:t>
      </w:r>
      <w:r w:rsidR="00263C41" w:rsidRPr="00CB193D">
        <w:t xml:space="preserve"> s</w:t>
      </w:r>
      <w:r w:rsidR="007D43AC" w:rsidRPr="00CB193D">
        <w:t xml:space="preserve">ets out a </w:t>
      </w:r>
      <w:r w:rsidR="00327B67">
        <w:t>roadmap to</w:t>
      </w:r>
      <w:r w:rsidR="007D43AC" w:rsidRPr="00CB193D">
        <w:t xml:space="preserve"> strengthen and embed</w:t>
      </w:r>
      <w:r w:rsidR="000A4BCD">
        <w:t> </w:t>
      </w:r>
      <w:r w:rsidR="007D43AC" w:rsidRPr="00CB193D">
        <w:t>high</w:t>
      </w:r>
      <w:r w:rsidR="00E076EA">
        <w:noBreakHyphen/>
      </w:r>
      <w:r w:rsidR="007D43AC" w:rsidRPr="00CB193D">
        <w:t xml:space="preserve">quality evaluation across </w:t>
      </w:r>
      <w:r w:rsidR="00C933D6" w:rsidRPr="003E1485">
        <w:t xml:space="preserve">the </w:t>
      </w:r>
      <w:r w:rsidR="00C933D6">
        <w:t xml:space="preserve">Australian </w:t>
      </w:r>
      <w:r w:rsidR="00987832">
        <w:t>G</w:t>
      </w:r>
      <w:r w:rsidR="00C933D6" w:rsidRPr="003E1485">
        <w:t>overnment</w:t>
      </w:r>
      <w:r w:rsidR="007D43AC" w:rsidRPr="00CB193D">
        <w:t>.</w:t>
      </w:r>
      <w:r w:rsidR="00263C41" w:rsidRPr="00CB193D">
        <w:t xml:space="preserve"> </w:t>
      </w:r>
      <w:r w:rsidR="00A54CA3" w:rsidRPr="00CB193D">
        <w:t>Its vision is an A</w:t>
      </w:r>
      <w:r w:rsidR="0026545A">
        <w:t xml:space="preserve">ustralian </w:t>
      </w:r>
      <w:r w:rsidR="00A54CA3" w:rsidRPr="00CB193D">
        <w:t>P</w:t>
      </w:r>
      <w:r w:rsidR="0026545A">
        <w:t xml:space="preserve">ublic </w:t>
      </w:r>
      <w:r w:rsidR="00A54CA3" w:rsidRPr="00CB193D">
        <w:t>S</w:t>
      </w:r>
      <w:r w:rsidR="0026545A">
        <w:t>ervice (APS)</w:t>
      </w:r>
      <w:r w:rsidR="00A54CA3" w:rsidRPr="00CB193D">
        <w:t xml:space="preserve"> that </w:t>
      </w:r>
      <w:r w:rsidR="00D01598">
        <w:t>valu</w:t>
      </w:r>
      <w:r w:rsidR="0090539E">
        <w:t>es</w:t>
      </w:r>
      <w:r w:rsidR="00D01598">
        <w:t xml:space="preserve"> and </w:t>
      </w:r>
      <w:r w:rsidR="00A54CA3" w:rsidRPr="00CB193D">
        <w:t>routinely us</w:t>
      </w:r>
      <w:r w:rsidR="0090539E">
        <w:t>es</w:t>
      </w:r>
      <w:r w:rsidR="00A54CA3" w:rsidRPr="00CB193D">
        <w:t xml:space="preserve"> </w:t>
      </w:r>
      <w:r w:rsidR="00152931" w:rsidRPr="00CB193D">
        <w:t>high</w:t>
      </w:r>
      <w:r w:rsidR="00E076EA">
        <w:noBreakHyphen/>
      </w:r>
      <w:r w:rsidR="00152931" w:rsidRPr="00CB193D">
        <w:t xml:space="preserve">quality </w:t>
      </w:r>
      <w:r w:rsidR="00152931">
        <w:t xml:space="preserve">and </w:t>
      </w:r>
      <w:r w:rsidR="00A54CA3" w:rsidRPr="00CB193D">
        <w:t xml:space="preserve">culturally safe evaluation </w:t>
      </w:r>
      <w:r w:rsidR="0090539E">
        <w:t xml:space="preserve">to </w:t>
      </w:r>
      <w:r w:rsidR="0090539E" w:rsidRPr="008370B3">
        <w:t>drive better</w:t>
      </w:r>
      <w:r w:rsidR="000A4BCD">
        <w:t> </w:t>
      </w:r>
      <w:r w:rsidR="0090539E" w:rsidRPr="008370B3">
        <w:t xml:space="preserve">outcomes for </w:t>
      </w:r>
      <w:r w:rsidR="0090539E">
        <w:t>Australians</w:t>
      </w:r>
      <w:r w:rsidR="004655BC">
        <w:t xml:space="preserve">. </w:t>
      </w:r>
    </w:p>
    <w:p w14:paraId="77D429A6" w14:textId="3D284298" w:rsidR="00833423" w:rsidRPr="00CB193D" w:rsidRDefault="00B03162" w:rsidP="00A32A6E">
      <w:r>
        <w:t>This plan builds on</w:t>
      </w:r>
      <w:r w:rsidR="00D736C0">
        <w:t xml:space="preserve"> </w:t>
      </w:r>
      <w:r w:rsidR="005052A2">
        <w:t>existing</w:t>
      </w:r>
      <w:r w:rsidR="008943CB">
        <w:t xml:space="preserve"> </w:t>
      </w:r>
      <w:r w:rsidR="00E60051">
        <w:t>evaluation</w:t>
      </w:r>
      <w:r w:rsidR="001E285F">
        <w:t xml:space="preserve"> </w:t>
      </w:r>
      <w:r w:rsidR="00411E49">
        <w:t>efforts across the Australian Government. These include</w:t>
      </w:r>
      <w:r w:rsidR="00B93306">
        <w:t>:</w:t>
      </w:r>
      <w:r w:rsidR="00411E49">
        <w:t xml:space="preserve"> the longstanding arrangements </w:t>
      </w:r>
      <w:r w:rsidR="00546AAA">
        <w:t>under the</w:t>
      </w:r>
      <w:r w:rsidR="008943CB" w:rsidRPr="008943CB">
        <w:t xml:space="preserve"> </w:t>
      </w:r>
      <w:r w:rsidR="00F0311F">
        <w:t>Australian Government Guide to</w:t>
      </w:r>
      <w:r w:rsidR="008943CB" w:rsidRPr="008943CB">
        <w:t xml:space="preserve"> Policy Impact Analysis</w:t>
      </w:r>
      <w:r w:rsidR="00546AAA">
        <w:t xml:space="preserve"> </w:t>
      </w:r>
      <w:r w:rsidR="00B5168B">
        <w:t xml:space="preserve">for </w:t>
      </w:r>
      <w:r w:rsidR="00EA1488" w:rsidRPr="00EA1488">
        <w:t>ex ante</w:t>
      </w:r>
      <w:r w:rsidR="00EA1488">
        <w:t xml:space="preserve"> </w:t>
      </w:r>
      <w:r w:rsidR="008943CB" w:rsidRPr="008943CB">
        <w:t xml:space="preserve">evaluation of </w:t>
      </w:r>
      <w:r w:rsidR="00B5168B">
        <w:t xml:space="preserve">policy options, </w:t>
      </w:r>
      <w:r w:rsidR="009C6CC8">
        <w:t>i</w:t>
      </w:r>
      <w:r w:rsidR="008943CB" w:rsidRPr="008943CB">
        <w:t>n</w:t>
      </w:r>
      <w:r w:rsidR="00E076EA">
        <w:noBreakHyphen/>
      </w:r>
      <w:r w:rsidR="008943CB" w:rsidRPr="008943CB">
        <w:t>house evaluation units</w:t>
      </w:r>
      <w:r w:rsidR="00B93306">
        <w:t xml:space="preserve"> or functions in </w:t>
      </w:r>
      <w:r w:rsidR="00BD7365">
        <w:t xml:space="preserve">many </w:t>
      </w:r>
      <w:r w:rsidR="00B93306">
        <w:t xml:space="preserve">departments </w:t>
      </w:r>
      <w:r w:rsidR="00B82015">
        <w:t>and</w:t>
      </w:r>
      <w:r w:rsidR="000A4BCD">
        <w:t> </w:t>
      </w:r>
      <w:r w:rsidR="00B93306">
        <w:t>agencies</w:t>
      </w:r>
      <w:r w:rsidR="00BD7365">
        <w:t xml:space="preserve">, </w:t>
      </w:r>
      <w:r w:rsidR="00B93306">
        <w:t xml:space="preserve">the adoption of </w:t>
      </w:r>
      <w:r w:rsidR="00001FC2" w:rsidRPr="00CB193D">
        <w:t>the Commonwealth Evaluation Policy</w:t>
      </w:r>
      <w:r w:rsidR="00AD273F">
        <w:t>,</w:t>
      </w:r>
      <w:r w:rsidR="00B93306">
        <w:t xml:space="preserve"> and</w:t>
      </w:r>
      <w:r w:rsidR="00E7684C">
        <w:t xml:space="preserve"> </w:t>
      </w:r>
      <w:r w:rsidR="00001FC2">
        <w:t xml:space="preserve">the </w:t>
      </w:r>
      <w:r w:rsidR="00964795" w:rsidRPr="00CB193D">
        <w:t xml:space="preserve">establishment of </w:t>
      </w:r>
      <w:r w:rsidR="00E7684C">
        <w:t>the Evaluation Profession</w:t>
      </w:r>
      <w:r w:rsidR="00091EEA">
        <w:t xml:space="preserve">. </w:t>
      </w:r>
      <w:r w:rsidR="000003D0" w:rsidRPr="00CB193D">
        <w:t>The plan is structured around 4 interconnected priorities.</w:t>
      </w:r>
    </w:p>
    <w:p w14:paraId="217398EC" w14:textId="07120563" w:rsidR="00A70C49" w:rsidRDefault="000F2F68" w:rsidP="00F14100">
      <w:r>
        <w:rPr>
          <w:rStyle w:val="Strong"/>
          <w:lang w:val="en-GB"/>
        </w:rPr>
        <w:t xml:space="preserve">Priority </w:t>
      </w:r>
      <w:r w:rsidR="00833423" w:rsidRPr="00CB193D">
        <w:rPr>
          <w:rStyle w:val="Strong"/>
          <w:lang w:val="en-GB"/>
        </w:rPr>
        <w:t>1. Evaluation leadership and culture:</w:t>
      </w:r>
      <w:r w:rsidR="00833423" w:rsidRPr="00833423">
        <w:rPr>
          <w:lang w:val="en-GB"/>
        </w:rPr>
        <w:t xml:space="preserve"> </w:t>
      </w:r>
      <w:r w:rsidR="00833423" w:rsidRPr="00CB193D">
        <w:t>fostering a</w:t>
      </w:r>
      <w:r w:rsidR="00D714A7">
        <w:t xml:space="preserve"> culture where </w:t>
      </w:r>
      <w:r w:rsidR="00833423" w:rsidRPr="00CB193D">
        <w:t>evaluation is championed by</w:t>
      </w:r>
      <w:r w:rsidR="000A4BCD">
        <w:t> </w:t>
      </w:r>
      <w:r w:rsidR="00833423" w:rsidRPr="00CB193D">
        <w:t>senior leaders and valued across the APS. Key actions</w:t>
      </w:r>
      <w:r w:rsidR="00D529AA">
        <w:t>:</w:t>
      </w:r>
      <w:r w:rsidR="00833423" w:rsidRPr="00CB193D">
        <w:t xml:space="preserve"> </w:t>
      </w:r>
    </w:p>
    <w:p w14:paraId="3AD74C2E" w14:textId="42A84B47" w:rsidR="00A70C49" w:rsidRPr="00F14100" w:rsidRDefault="00833423" w:rsidP="000A4BCD">
      <w:pPr>
        <w:pStyle w:val="Bullet"/>
        <w:rPr>
          <w:lang w:val="en-GB"/>
        </w:rPr>
      </w:pPr>
      <w:r w:rsidRPr="00CB193D">
        <w:t xml:space="preserve">appoint </w:t>
      </w:r>
      <w:r w:rsidRPr="000A4BCD">
        <w:t>chief</w:t>
      </w:r>
      <w:r w:rsidRPr="00CB193D">
        <w:t xml:space="preserve"> evaluation officers</w:t>
      </w:r>
      <w:r w:rsidR="003F278C">
        <w:t xml:space="preserve"> or </w:t>
      </w:r>
      <w:r w:rsidR="00D529AA">
        <w:t xml:space="preserve">evaluation </w:t>
      </w:r>
      <w:r w:rsidR="003F278C">
        <w:t>champions</w:t>
      </w:r>
      <w:r w:rsidRPr="00CB193D">
        <w:t xml:space="preserve"> in entities, </w:t>
      </w:r>
    </w:p>
    <w:p w14:paraId="428FFD5D" w14:textId="4D165E94" w:rsidR="004547A7" w:rsidRPr="004547A7" w:rsidRDefault="004547A7" w:rsidP="00A70C49">
      <w:pPr>
        <w:pStyle w:val="Bullet"/>
        <w:rPr>
          <w:lang w:val="en-GB"/>
        </w:rPr>
      </w:pPr>
      <w:r>
        <w:rPr>
          <w:lang w:val="en-GB"/>
        </w:rPr>
        <w:t>a</w:t>
      </w:r>
      <w:r w:rsidRPr="004547A7">
        <w:rPr>
          <w:lang w:val="en-GB"/>
        </w:rPr>
        <w:t xml:space="preserve">ppoint </w:t>
      </w:r>
      <w:r w:rsidR="007A381A">
        <w:rPr>
          <w:lang w:val="en-GB"/>
        </w:rPr>
        <w:t xml:space="preserve">an </w:t>
      </w:r>
      <w:r w:rsidRPr="004547A7">
        <w:rPr>
          <w:lang w:val="en-GB"/>
        </w:rPr>
        <w:t xml:space="preserve">evaluation committee or embed evaluation into </w:t>
      </w:r>
      <w:r w:rsidR="007A381A">
        <w:rPr>
          <w:lang w:val="en-GB"/>
        </w:rPr>
        <w:t xml:space="preserve">an </w:t>
      </w:r>
      <w:r w:rsidRPr="004547A7">
        <w:rPr>
          <w:lang w:val="en-GB"/>
        </w:rPr>
        <w:t>existing committee or process</w:t>
      </w:r>
    </w:p>
    <w:p w14:paraId="75F6808E" w14:textId="1746456F" w:rsidR="00A70C49" w:rsidRPr="00F14100" w:rsidRDefault="007177B9" w:rsidP="00A70C49">
      <w:pPr>
        <w:pStyle w:val="Bullet"/>
        <w:rPr>
          <w:lang w:val="en-GB"/>
        </w:rPr>
      </w:pPr>
      <w:r>
        <w:t xml:space="preserve">include </w:t>
      </w:r>
      <w:r w:rsidR="00833423" w:rsidRPr="00CB193D">
        <w:t xml:space="preserve">evaluation in </w:t>
      </w:r>
      <w:r w:rsidR="009811DA" w:rsidRPr="00CB193D">
        <w:t>S</w:t>
      </w:r>
      <w:r w:rsidR="00651520">
        <w:t xml:space="preserve">enior Executive Service </w:t>
      </w:r>
      <w:r w:rsidR="009811DA" w:rsidRPr="00CB193D">
        <w:t>performance plans</w:t>
      </w:r>
    </w:p>
    <w:p w14:paraId="12ED4860" w14:textId="6C553CB5" w:rsidR="009811DA" w:rsidRDefault="00E53CBA" w:rsidP="00F14100">
      <w:pPr>
        <w:pStyle w:val="Bullet"/>
        <w:rPr>
          <w:lang w:val="en-GB"/>
        </w:rPr>
      </w:pPr>
      <w:r>
        <w:t xml:space="preserve">implement processes to </w:t>
      </w:r>
      <w:r w:rsidR="009811DA" w:rsidRPr="00CB193D">
        <w:t>ensur</w:t>
      </w:r>
      <w:r w:rsidR="004547A7">
        <w:t>e</w:t>
      </w:r>
      <w:r w:rsidR="009811DA" w:rsidRPr="00CB193D">
        <w:t xml:space="preserve"> evaluations are culturally safe</w:t>
      </w:r>
      <w:r w:rsidR="00651520">
        <w:t xml:space="preserve"> and ethical</w:t>
      </w:r>
      <w:r w:rsidR="009811DA" w:rsidRPr="00CB193D">
        <w:t>.</w:t>
      </w:r>
      <w:r w:rsidR="009811DA" w:rsidRPr="009811DA">
        <w:rPr>
          <w:lang w:val="en-GB"/>
        </w:rPr>
        <w:t xml:space="preserve"> </w:t>
      </w:r>
    </w:p>
    <w:p w14:paraId="5D5F4F25" w14:textId="73FEE426" w:rsidR="00920CDD" w:rsidRDefault="000F2F68" w:rsidP="00EF0702">
      <w:r>
        <w:rPr>
          <w:rStyle w:val="Strong"/>
        </w:rPr>
        <w:t xml:space="preserve">Priority </w:t>
      </w:r>
      <w:r w:rsidR="009811DA" w:rsidRPr="00CB193D">
        <w:rPr>
          <w:rStyle w:val="Strong"/>
        </w:rPr>
        <w:t xml:space="preserve">2. </w:t>
      </w:r>
      <w:r w:rsidR="009811DA" w:rsidRPr="00CB193D">
        <w:rPr>
          <w:rStyle w:val="Strong"/>
          <w:lang w:val="en-GB"/>
        </w:rPr>
        <w:t xml:space="preserve">Evaluation </w:t>
      </w:r>
      <w:r w:rsidR="00897082">
        <w:rPr>
          <w:rStyle w:val="Strong"/>
          <w:lang w:val="en-GB"/>
        </w:rPr>
        <w:t>c</w:t>
      </w:r>
      <w:r w:rsidR="009811DA" w:rsidRPr="00CB193D">
        <w:rPr>
          <w:rStyle w:val="Strong"/>
          <w:lang w:val="en-GB"/>
        </w:rPr>
        <w:t>apability:</w:t>
      </w:r>
      <w:r w:rsidR="009811DA">
        <w:rPr>
          <w:lang w:val="en-GB"/>
        </w:rPr>
        <w:t xml:space="preserve"> </w:t>
      </w:r>
      <w:r w:rsidR="00E7082F" w:rsidRPr="00CB193D">
        <w:t>investing in and building the necessary evaluation skills</w:t>
      </w:r>
      <w:r w:rsidR="004D728D">
        <w:t>, resources and networks</w:t>
      </w:r>
      <w:r w:rsidR="00E7082F" w:rsidRPr="00CB193D">
        <w:t xml:space="preserve"> across the workforce. </w:t>
      </w:r>
      <w:r w:rsidR="00920CDD">
        <w:t>Key actions</w:t>
      </w:r>
      <w:r w:rsidR="009669AB">
        <w:t xml:space="preserve"> that are already planned or underway</w:t>
      </w:r>
      <w:r w:rsidR="005D60D3">
        <w:t>:</w:t>
      </w:r>
      <w:r w:rsidR="00E7082F" w:rsidRPr="00CB193D">
        <w:t xml:space="preserve"> </w:t>
      </w:r>
    </w:p>
    <w:p w14:paraId="28B51F34" w14:textId="1997F97E" w:rsidR="00920CDD" w:rsidRPr="00121D58" w:rsidRDefault="0044588F" w:rsidP="00920CDD">
      <w:pPr>
        <w:pStyle w:val="Bullet"/>
        <w:rPr>
          <w:lang w:val="en-GB"/>
        </w:rPr>
      </w:pPr>
      <w:r>
        <w:t>deliver training to build foundational evaluation skills throughout the APS</w:t>
      </w:r>
    </w:p>
    <w:p w14:paraId="7D5BC786" w14:textId="44376FEA" w:rsidR="00920CDD" w:rsidRPr="0044588F" w:rsidRDefault="00E7082F" w:rsidP="00920CDD">
      <w:pPr>
        <w:pStyle w:val="Bullet"/>
        <w:rPr>
          <w:lang w:val="en-GB"/>
        </w:rPr>
      </w:pPr>
      <w:r w:rsidRPr="00CB193D">
        <w:t>establish a network of evaluation trainers</w:t>
      </w:r>
    </w:p>
    <w:p w14:paraId="157C7B4B" w14:textId="16767D2A" w:rsidR="0044588F" w:rsidRPr="008E2A3F" w:rsidRDefault="0044588F" w:rsidP="00920CDD">
      <w:pPr>
        <w:pStyle w:val="Bullet"/>
        <w:rPr>
          <w:lang w:val="en-GB"/>
        </w:rPr>
      </w:pPr>
      <w:r>
        <w:t xml:space="preserve">deliver training to </w:t>
      </w:r>
      <w:r w:rsidR="00283D33">
        <w:t>build specialist evaluation expertise</w:t>
      </w:r>
      <w:r w:rsidR="00A403F3">
        <w:t>.</w:t>
      </w:r>
    </w:p>
    <w:p w14:paraId="6B43F8C8" w14:textId="3CF457D8" w:rsidR="00920CDD" w:rsidRDefault="000F2F68" w:rsidP="00EF0702">
      <w:r>
        <w:rPr>
          <w:rStyle w:val="Strong"/>
        </w:rPr>
        <w:t xml:space="preserve">Priority </w:t>
      </w:r>
      <w:r w:rsidR="0071002D" w:rsidRPr="00CB193D">
        <w:rPr>
          <w:rStyle w:val="Strong"/>
        </w:rPr>
        <w:t>3.</w:t>
      </w:r>
      <w:r w:rsidR="00D27B9E" w:rsidRPr="00CB193D">
        <w:rPr>
          <w:rStyle w:val="Strong"/>
          <w:lang w:val="en-GB"/>
        </w:rPr>
        <w:t xml:space="preserve"> </w:t>
      </w:r>
      <w:r>
        <w:rPr>
          <w:rStyle w:val="Strong"/>
          <w:lang w:val="en-GB"/>
        </w:rPr>
        <w:t>Evaluation p</w:t>
      </w:r>
      <w:r w:rsidR="00D27B9E" w:rsidRPr="00CB193D">
        <w:rPr>
          <w:rStyle w:val="Strong"/>
          <w:lang w:val="en-GB"/>
        </w:rPr>
        <w:t>lanning and delivery:</w:t>
      </w:r>
      <w:r w:rsidR="00D27B9E" w:rsidRPr="00D27B9E">
        <w:rPr>
          <w:lang w:val="en-GB"/>
        </w:rPr>
        <w:t xml:space="preserve"> </w:t>
      </w:r>
      <w:r w:rsidR="00D27B9E" w:rsidRPr="00CB193D">
        <w:t>systematically embed high</w:t>
      </w:r>
      <w:r w:rsidR="00E076EA">
        <w:noBreakHyphen/>
      </w:r>
      <w:r w:rsidR="00D27B9E" w:rsidRPr="00CB193D">
        <w:t>quality evaluation practi</w:t>
      </w:r>
      <w:r w:rsidR="00184CDE">
        <w:t>c</w:t>
      </w:r>
      <w:r w:rsidR="00D27B9E" w:rsidRPr="00CB193D">
        <w:t xml:space="preserve">es into the policy and program life cycle. </w:t>
      </w:r>
      <w:r w:rsidR="00920CDD">
        <w:t>Key actions</w:t>
      </w:r>
      <w:r w:rsidR="00C827AB">
        <w:t>:</w:t>
      </w:r>
      <w:r w:rsidR="00D27B9E" w:rsidRPr="00CB193D">
        <w:t xml:space="preserve"> </w:t>
      </w:r>
    </w:p>
    <w:p w14:paraId="0C73EFC9" w14:textId="77777777" w:rsidR="003149F7" w:rsidRPr="003149F7" w:rsidRDefault="005B75A6" w:rsidP="00920CDD">
      <w:pPr>
        <w:pStyle w:val="Bullet"/>
        <w:rPr>
          <w:lang w:val="en-GB"/>
        </w:rPr>
      </w:pPr>
      <w:r>
        <w:t>consider stronger policy, legislative or regulatory requirements for evaluation</w:t>
      </w:r>
    </w:p>
    <w:p w14:paraId="69E9113B" w14:textId="79C4D1E8" w:rsidR="00920CDD" w:rsidRPr="00121D58" w:rsidRDefault="00DD4543" w:rsidP="00920CDD">
      <w:pPr>
        <w:pStyle w:val="Bullet"/>
        <w:rPr>
          <w:lang w:val="en-GB"/>
        </w:rPr>
      </w:pPr>
      <w:r>
        <w:t>develop entity evaluation strategies</w:t>
      </w:r>
    </w:p>
    <w:p w14:paraId="397B9926" w14:textId="5A9007DE" w:rsidR="00920CDD" w:rsidRPr="00121D58" w:rsidRDefault="00D27B9E" w:rsidP="00920CDD">
      <w:pPr>
        <w:pStyle w:val="Bullet"/>
        <w:rPr>
          <w:lang w:val="en-GB"/>
        </w:rPr>
      </w:pPr>
      <w:r w:rsidRPr="00CB193D">
        <w:t xml:space="preserve">establish </w:t>
      </w:r>
      <w:r w:rsidR="00920CDD">
        <w:t xml:space="preserve">or maintain </w:t>
      </w:r>
      <w:r w:rsidRPr="00CB193D">
        <w:t>dedicated in</w:t>
      </w:r>
      <w:r w:rsidR="00E076EA">
        <w:noBreakHyphen/>
      </w:r>
      <w:r w:rsidRPr="00CB193D">
        <w:t>house evaluation</w:t>
      </w:r>
      <w:r w:rsidR="006562A7">
        <w:t xml:space="preserve"> roles or</w:t>
      </w:r>
      <w:r w:rsidRPr="00CB193D">
        <w:t xml:space="preserve"> units in large entities </w:t>
      </w:r>
    </w:p>
    <w:p w14:paraId="38F32D00" w14:textId="511252E0" w:rsidR="0071002D" w:rsidRDefault="00D27B9E" w:rsidP="00121D58">
      <w:pPr>
        <w:pStyle w:val="Bullet"/>
        <w:rPr>
          <w:lang w:val="en-GB"/>
        </w:rPr>
      </w:pPr>
      <w:r w:rsidRPr="00CB193D">
        <w:t xml:space="preserve">develop </w:t>
      </w:r>
      <w:r w:rsidR="00DD4543">
        <w:t xml:space="preserve">evaluation </w:t>
      </w:r>
      <w:r w:rsidRPr="00CB193D">
        <w:t>quality guidelines</w:t>
      </w:r>
      <w:r w:rsidR="002423ED">
        <w:t xml:space="preserve"> and standards</w:t>
      </w:r>
      <w:r w:rsidR="00E53CBA">
        <w:t>,</w:t>
      </w:r>
      <w:r w:rsidR="005B75A6">
        <w:t xml:space="preserve"> as appropriate</w:t>
      </w:r>
      <w:r w:rsidRPr="00CB193D">
        <w:t>.</w:t>
      </w:r>
    </w:p>
    <w:p w14:paraId="31C05C93" w14:textId="575B24CC" w:rsidR="009775C5" w:rsidRDefault="000F2F68" w:rsidP="00EF0702">
      <w:r>
        <w:rPr>
          <w:rStyle w:val="Strong"/>
        </w:rPr>
        <w:t xml:space="preserve">Priority </w:t>
      </w:r>
      <w:r w:rsidR="0071002D" w:rsidRPr="00CB193D">
        <w:rPr>
          <w:rStyle w:val="Strong"/>
        </w:rPr>
        <w:t>4</w:t>
      </w:r>
      <w:r w:rsidR="00E7082F" w:rsidRPr="00CB193D">
        <w:rPr>
          <w:rStyle w:val="Strong"/>
        </w:rPr>
        <w:t>.</w:t>
      </w:r>
      <w:r w:rsidR="00B127A2" w:rsidRPr="00CB193D">
        <w:rPr>
          <w:rStyle w:val="Strong"/>
          <w:lang w:val="en-GB"/>
        </w:rPr>
        <w:t xml:space="preserve"> </w:t>
      </w:r>
      <w:r w:rsidR="00E66020">
        <w:rPr>
          <w:rStyle w:val="Strong"/>
          <w:lang w:val="en-GB"/>
        </w:rPr>
        <w:t>Use of evaluation evidence</w:t>
      </w:r>
      <w:r w:rsidR="00B127A2" w:rsidRPr="00CB193D">
        <w:rPr>
          <w:rStyle w:val="Strong"/>
          <w:lang w:val="en-GB"/>
        </w:rPr>
        <w:t>:</w:t>
      </w:r>
      <w:r w:rsidR="00B127A2" w:rsidRPr="00CB193D">
        <w:t xml:space="preserve"> ensure that robust evaluation findings are consistently used to inform government decisions, funding allocations</w:t>
      </w:r>
      <w:r w:rsidR="00844D21">
        <w:t xml:space="preserve"> </w:t>
      </w:r>
      <w:r w:rsidR="00B127A2" w:rsidRPr="00CB193D">
        <w:t xml:space="preserve">and continuous learning. </w:t>
      </w:r>
      <w:r w:rsidR="009775C5">
        <w:t>Key actions</w:t>
      </w:r>
      <w:r w:rsidR="00941EB5">
        <w:t>:</w:t>
      </w:r>
      <w:r w:rsidR="00B127A2" w:rsidRPr="00CB193D">
        <w:t xml:space="preserve"> </w:t>
      </w:r>
    </w:p>
    <w:p w14:paraId="48072311" w14:textId="2F2A1D28" w:rsidR="009775C5" w:rsidRPr="00121D58" w:rsidRDefault="00B127A2" w:rsidP="009775C5">
      <w:pPr>
        <w:pStyle w:val="Bullet"/>
        <w:rPr>
          <w:lang w:val="en-GB"/>
        </w:rPr>
      </w:pPr>
      <w:r w:rsidRPr="00CB193D">
        <w:t>routinely shar</w:t>
      </w:r>
      <w:r w:rsidR="00E53CBA">
        <w:t>e evaluation</w:t>
      </w:r>
      <w:r w:rsidRPr="00CB193D">
        <w:t xml:space="preserve"> findings</w:t>
      </w:r>
      <w:r w:rsidR="00702D79">
        <w:t xml:space="preserve"> and publish where appropriate</w:t>
      </w:r>
    </w:p>
    <w:p w14:paraId="28F658CD" w14:textId="75FA954E" w:rsidR="009775C5" w:rsidRPr="00121D58" w:rsidRDefault="00B127A2" w:rsidP="009775C5">
      <w:pPr>
        <w:pStyle w:val="Bullet"/>
        <w:rPr>
          <w:lang w:val="en-GB"/>
        </w:rPr>
      </w:pPr>
      <w:r w:rsidRPr="00CB193D">
        <w:t>implement formal management responses</w:t>
      </w:r>
      <w:r w:rsidR="00222341">
        <w:t xml:space="preserve"> to evaluations</w:t>
      </w:r>
      <w:r w:rsidRPr="00CB193D">
        <w:t xml:space="preserve"> </w:t>
      </w:r>
    </w:p>
    <w:p w14:paraId="7530A288" w14:textId="764C6719" w:rsidR="000B2786" w:rsidRDefault="00B127A2" w:rsidP="00121D58">
      <w:pPr>
        <w:pStyle w:val="Bullet"/>
        <w:rPr>
          <w:lang w:val="en-GB"/>
        </w:rPr>
      </w:pPr>
      <w:r w:rsidRPr="00CB193D">
        <w:t>promot</w:t>
      </w:r>
      <w:r w:rsidR="00E53CBA">
        <w:t>e</w:t>
      </w:r>
      <w:r w:rsidRPr="00CB193D">
        <w:t xml:space="preserve"> the use of </w:t>
      </w:r>
      <w:r w:rsidR="007270F0">
        <w:t xml:space="preserve">evaluation </w:t>
      </w:r>
      <w:r w:rsidRPr="00CB193D">
        <w:t xml:space="preserve">evidence in </w:t>
      </w:r>
      <w:r w:rsidR="007270F0">
        <w:t>funding</w:t>
      </w:r>
      <w:r w:rsidR="0078476C">
        <w:t xml:space="preserve"> decisions and budget</w:t>
      </w:r>
      <w:r w:rsidR="007270F0" w:rsidRPr="00CB193D">
        <w:t xml:space="preserve"> </w:t>
      </w:r>
      <w:r w:rsidRPr="00CB193D">
        <w:t>process</w:t>
      </w:r>
      <w:r w:rsidR="00651520">
        <w:t>es</w:t>
      </w:r>
      <w:r w:rsidRPr="00CB193D">
        <w:t>.</w:t>
      </w:r>
    </w:p>
    <w:p w14:paraId="4501395A" w14:textId="24FCC1B8" w:rsidR="00846037" w:rsidRDefault="000B2786" w:rsidP="00846037">
      <w:r w:rsidRPr="00CB193D">
        <w:t xml:space="preserve">Implementation </w:t>
      </w:r>
      <w:r w:rsidR="00222341">
        <w:t xml:space="preserve">of this plan </w:t>
      </w:r>
      <w:r w:rsidRPr="00CB193D">
        <w:t xml:space="preserve">will </w:t>
      </w:r>
      <w:r w:rsidR="001E3292">
        <w:t>be</w:t>
      </w:r>
      <w:r w:rsidR="006C269E">
        <w:t xml:space="preserve"> </w:t>
      </w:r>
      <w:r w:rsidR="002D53A3">
        <w:t xml:space="preserve">overseen by </w:t>
      </w:r>
      <w:r w:rsidRPr="00CB193D">
        <w:t xml:space="preserve">the </w:t>
      </w:r>
      <w:r w:rsidR="00BE5B82">
        <w:t>Commonwealth E</w:t>
      </w:r>
      <w:r w:rsidRPr="00CB193D">
        <w:t xml:space="preserve">valuation </w:t>
      </w:r>
      <w:r w:rsidR="00BE5B82">
        <w:t>R</w:t>
      </w:r>
      <w:r w:rsidRPr="00CB193D">
        <w:t xml:space="preserve">eference </w:t>
      </w:r>
      <w:r w:rsidR="00BE5B82">
        <w:t>G</w:t>
      </w:r>
      <w:r w:rsidRPr="00CB193D">
        <w:t>roup</w:t>
      </w:r>
      <w:r w:rsidR="002D53A3">
        <w:t xml:space="preserve"> (for</w:t>
      </w:r>
      <w:r w:rsidR="000A4BCD">
        <w:t> </w:t>
      </w:r>
      <w:r w:rsidR="002D53A3">
        <w:t>system</w:t>
      </w:r>
      <w:r w:rsidR="00E076EA">
        <w:noBreakHyphen/>
      </w:r>
      <w:r w:rsidR="002D53A3">
        <w:t>wide actions</w:t>
      </w:r>
      <w:r w:rsidR="00C54946">
        <w:t>)</w:t>
      </w:r>
      <w:r w:rsidRPr="00CB193D">
        <w:t xml:space="preserve"> and entity</w:t>
      </w:r>
      <w:r w:rsidR="00E076EA">
        <w:noBreakHyphen/>
      </w:r>
      <w:r w:rsidRPr="00CB193D">
        <w:t xml:space="preserve">level </w:t>
      </w:r>
      <w:r w:rsidR="00C54946">
        <w:t>oversight</w:t>
      </w:r>
      <w:r w:rsidRPr="00CB193D">
        <w:t xml:space="preserve">. </w:t>
      </w:r>
      <w:r w:rsidR="00DE0C05">
        <w:t>Individual entities will retain discretion on</w:t>
      </w:r>
      <w:r w:rsidR="00FE4CA4">
        <w:t xml:space="preserve"> </w:t>
      </w:r>
      <w:r w:rsidR="007250C1">
        <w:t xml:space="preserve">how best to </w:t>
      </w:r>
      <w:r w:rsidR="00FE4CA4">
        <w:t>implement</w:t>
      </w:r>
      <w:r w:rsidR="007250C1">
        <w:t xml:space="preserve"> the </w:t>
      </w:r>
      <w:r w:rsidR="00DE0C05">
        <w:t xml:space="preserve">actions in this </w:t>
      </w:r>
      <w:r w:rsidR="00EB1EE8">
        <w:t>plan</w:t>
      </w:r>
      <w:r w:rsidR="00DE0C05">
        <w:t>, consistent</w:t>
      </w:r>
      <w:r w:rsidR="00FE4CA4">
        <w:t xml:space="preserve"> with </w:t>
      </w:r>
      <w:r w:rsidR="00DE0C05">
        <w:t>the overall intent of this plan.</w:t>
      </w:r>
      <w:r w:rsidR="00FE4CA4">
        <w:t xml:space="preserve"> </w:t>
      </w:r>
      <w:r w:rsidRPr="00CB193D">
        <w:t xml:space="preserve">Progress will be monitored </w:t>
      </w:r>
      <w:r w:rsidR="00EB1EE8">
        <w:t>through</w:t>
      </w:r>
      <w:r w:rsidRPr="00CB193D">
        <w:t xml:space="preserve"> </w:t>
      </w:r>
      <w:r w:rsidR="00DD17AA">
        <w:t xml:space="preserve">the </w:t>
      </w:r>
      <w:r w:rsidRPr="00CB193D">
        <w:t xml:space="preserve">annual </w:t>
      </w:r>
      <w:r w:rsidR="00DD17AA">
        <w:t>State of Evaluation</w:t>
      </w:r>
      <w:r w:rsidR="00D20A7E">
        <w:t xml:space="preserve"> in the Australian Government</w:t>
      </w:r>
      <w:r w:rsidR="00DD17AA">
        <w:t xml:space="preserve"> </w:t>
      </w:r>
      <w:r w:rsidRPr="00CB193D">
        <w:t xml:space="preserve">survey, with reports provided to the Secretaries Board </w:t>
      </w:r>
      <w:r w:rsidR="00E57E15">
        <w:t>and subsequently published</w:t>
      </w:r>
      <w:r w:rsidRPr="00CB193D">
        <w:t>.</w:t>
      </w:r>
      <w:bookmarkStart w:id="4" w:name="_Toc207875553"/>
      <w:bookmarkStart w:id="5" w:name="_Toc211837395"/>
    </w:p>
    <w:p w14:paraId="0E2904E2" w14:textId="0F54D878" w:rsidR="00FB0248" w:rsidRPr="003E1485" w:rsidRDefault="00FB0248" w:rsidP="00846037">
      <w:pPr>
        <w:pStyle w:val="Heading1"/>
      </w:pPr>
      <w:r w:rsidRPr="007B2368">
        <w:lastRenderedPageBreak/>
        <w:t>Introduction</w:t>
      </w:r>
      <w:bookmarkEnd w:id="4"/>
      <w:bookmarkEnd w:id="5"/>
    </w:p>
    <w:p w14:paraId="56AD0101" w14:textId="3B98A878" w:rsidR="00FB0248" w:rsidRPr="003E1485" w:rsidRDefault="00FB0248" w:rsidP="004E7686">
      <w:pPr>
        <w:pStyle w:val="Heading2"/>
      </w:pPr>
      <w:bookmarkStart w:id="6" w:name="1.1._Purpose_of_the_Document_"/>
      <w:bookmarkStart w:id="7" w:name="_Toc207875554"/>
      <w:bookmarkStart w:id="8" w:name="_Toc211837396"/>
      <w:bookmarkEnd w:id="6"/>
      <w:r w:rsidRPr="003E1485">
        <w:t xml:space="preserve">Purpose </w:t>
      </w:r>
      <w:r w:rsidR="004C3F7A">
        <w:t>and scope</w:t>
      </w:r>
      <w:bookmarkEnd w:id="7"/>
      <w:bookmarkEnd w:id="8"/>
    </w:p>
    <w:p w14:paraId="33C0E51C" w14:textId="1E05E560" w:rsidR="00A90A72" w:rsidRDefault="00FB0248" w:rsidP="00FB0248">
      <w:r w:rsidRPr="003E1485">
        <w:t xml:space="preserve">This document outlines </w:t>
      </w:r>
      <w:r>
        <w:t>a</w:t>
      </w:r>
      <w:r w:rsidRPr="003E1485">
        <w:t xml:space="preserve"> whole</w:t>
      </w:r>
      <w:r w:rsidR="00E076EA">
        <w:noBreakHyphen/>
      </w:r>
      <w:r w:rsidRPr="003E1485">
        <w:t>of</w:t>
      </w:r>
      <w:r w:rsidR="00E076EA">
        <w:noBreakHyphen/>
      </w:r>
      <w:r w:rsidRPr="003E1485">
        <w:t>government action plan</w:t>
      </w:r>
      <w:r>
        <w:t xml:space="preserve"> for </w:t>
      </w:r>
      <w:r w:rsidR="00930E63">
        <w:t>2026</w:t>
      </w:r>
      <w:r w:rsidR="00E076EA">
        <w:noBreakHyphen/>
      </w:r>
      <w:r>
        <w:t>2030</w:t>
      </w:r>
      <w:r w:rsidRPr="003E1485">
        <w:t xml:space="preserve"> to strengthen the </w:t>
      </w:r>
      <w:r w:rsidR="00AA6F74">
        <w:t xml:space="preserve">volume, quality and </w:t>
      </w:r>
      <w:r w:rsidRPr="003E1485">
        <w:t xml:space="preserve">use of evaluation </w:t>
      </w:r>
      <w:r w:rsidR="005319F2">
        <w:t xml:space="preserve">in advice on </w:t>
      </w:r>
      <w:r w:rsidRPr="003E1485">
        <w:t>polic</w:t>
      </w:r>
      <w:r w:rsidR="005319F2">
        <w:t>ies,</w:t>
      </w:r>
      <w:r w:rsidR="00AA6F74">
        <w:t xml:space="preserve"> </w:t>
      </w:r>
      <w:r w:rsidRPr="003E1485">
        <w:t>program</w:t>
      </w:r>
      <w:r w:rsidR="005319F2">
        <w:t xml:space="preserve">, </w:t>
      </w:r>
      <w:r w:rsidR="00AA6F74">
        <w:t>regulation</w:t>
      </w:r>
      <w:r w:rsidR="005319F2">
        <w:t>s</w:t>
      </w:r>
      <w:r w:rsidRPr="003E1485">
        <w:t xml:space="preserve"> </w:t>
      </w:r>
      <w:r w:rsidR="00AA6F74">
        <w:t xml:space="preserve">and service </w:t>
      </w:r>
      <w:r w:rsidRPr="003E1485">
        <w:t>delivery.</w:t>
      </w:r>
    </w:p>
    <w:p w14:paraId="0A6B43D4" w14:textId="4C59FDE1" w:rsidR="004C3F7A" w:rsidRPr="003E1485" w:rsidRDefault="005907B9" w:rsidP="00FB0248">
      <w:r w:rsidRPr="003E1485">
        <w:t xml:space="preserve">This </w:t>
      </w:r>
      <w:r>
        <w:t>plan</w:t>
      </w:r>
      <w:r w:rsidRPr="003E1485">
        <w:t xml:space="preserve"> applies to all </w:t>
      </w:r>
      <w:r>
        <w:t>Commonwealth entities and companies.</w:t>
      </w:r>
      <w:r w:rsidRPr="003E1485">
        <w:t xml:space="preserve"> </w:t>
      </w:r>
      <w:r w:rsidR="00FB0248">
        <w:t>It details action</w:t>
      </w:r>
      <w:r w:rsidR="002518D3">
        <w:t>s</w:t>
      </w:r>
      <w:r w:rsidR="00FB0248">
        <w:t xml:space="preserve"> that can be taken at </w:t>
      </w:r>
      <w:r w:rsidR="00A90A72">
        <w:t xml:space="preserve">both </w:t>
      </w:r>
      <w:r w:rsidR="00FB0248">
        <w:t xml:space="preserve">a system and entity level over the next </w:t>
      </w:r>
      <w:r w:rsidR="006D6913">
        <w:t>5 </w:t>
      </w:r>
      <w:r w:rsidR="00FB0248">
        <w:t>years to help embed an enduring culture of evaluation across the Australian Government.</w:t>
      </w:r>
      <w:r>
        <w:t xml:space="preserve"> </w:t>
      </w:r>
      <w:r w:rsidR="004C3F7A" w:rsidRPr="001150C2">
        <w:t>The plan is intended for all Australian public servants, but especially for APS leaders and evaluation professionals.</w:t>
      </w:r>
    </w:p>
    <w:p w14:paraId="63AED1B0" w14:textId="77777777" w:rsidR="00FF3344" w:rsidRPr="003E1485" w:rsidRDefault="00FF3344" w:rsidP="00FF3344">
      <w:pPr>
        <w:pStyle w:val="Heading2"/>
      </w:pPr>
      <w:bookmarkStart w:id="9" w:name="1.2._Scope_and_Audience_"/>
      <w:bookmarkStart w:id="10" w:name="1.3._Background_"/>
      <w:bookmarkStart w:id="11" w:name="_Toc207875558"/>
      <w:bookmarkStart w:id="12" w:name="_Toc211837397"/>
      <w:bookmarkStart w:id="13" w:name="_Toc207875556"/>
      <w:bookmarkEnd w:id="9"/>
      <w:bookmarkEnd w:id="10"/>
      <w:r w:rsidRPr="003E1485">
        <w:t>Vision</w:t>
      </w:r>
      <w:bookmarkEnd w:id="11"/>
      <w:bookmarkEnd w:id="12"/>
      <w:r w:rsidRPr="003E1485">
        <w:t xml:space="preserve"> </w:t>
      </w:r>
    </w:p>
    <w:p w14:paraId="44AF3D8E" w14:textId="447C101D" w:rsidR="00FF3344" w:rsidRDefault="00FF3344" w:rsidP="00FF3344">
      <w:bookmarkStart w:id="14" w:name="2.2._Guiding_Principles_"/>
      <w:bookmarkEnd w:id="14"/>
      <w:r w:rsidRPr="003E1485">
        <w:t>A</w:t>
      </w:r>
      <w:r>
        <w:t>n APS</w:t>
      </w:r>
      <w:r w:rsidRPr="003E1485">
        <w:t xml:space="preserve"> that values and routinely uses high</w:t>
      </w:r>
      <w:r w:rsidR="00E076EA">
        <w:noBreakHyphen/>
      </w:r>
      <w:r w:rsidRPr="003E1485">
        <w:t>quality</w:t>
      </w:r>
      <w:r>
        <w:t xml:space="preserve"> and culturally safe</w:t>
      </w:r>
      <w:r w:rsidRPr="003E1485">
        <w:t xml:space="preserve"> evaluation to </w:t>
      </w:r>
      <w:r>
        <w:t xml:space="preserve">inform decisions, </w:t>
      </w:r>
      <w:r w:rsidRPr="003E1485">
        <w:t xml:space="preserve">drive continuous improvement, foster accountability, and deliver effective </w:t>
      </w:r>
      <w:r>
        <w:t xml:space="preserve">programs and </w:t>
      </w:r>
      <w:r w:rsidRPr="003E1485">
        <w:t>services.</w:t>
      </w:r>
      <w:r>
        <w:t xml:space="preserve"> This will </w:t>
      </w:r>
      <w:r w:rsidRPr="008370B3">
        <w:t xml:space="preserve">help drive better outcomes for individuals </w:t>
      </w:r>
      <w:r w:rsidR="00312223">
        <w:t xml:space="preserve">and </w:t>
      </w:r>
      <w:r w:rsidRPr="008370B3">
        <w:t>communities.</w:t>
      </w:r>
    </w:p>
    <w:p w14:paraId="49011704" w14:textId="77777777" w:rsidR="00FB0248" w:rsidRPr="003E1485" w:rsidRDefault="00FB0248" w:rsidP="004E7686">
      <w:pPr>
        <w:pStyle w:val="Heading2"/>
      </w:pPr>
      <w:bookmarkStart w:id="15" w:name="_Toc211837398"/>
      <w:r w:rsidRPr="003E1485">
        <w:t>Background</w:t>
      </w:r>
      <w:bookmarkEnd w:id="13"/>
      <w:bookmarkEnd w:id="15"/>
    </w:p>
    <w:p w14:paraId="3938CA05" w14:textId="47EBE5B6" w:rsidR="00FB0248" w:rsidRDefault="00C96671" w:rsidP="00FB0248">
      <w:r>
        <w:t>The delivery and use of h</w:t>
      </w:r>
      <w:r w:rsidRPr="003E1485">
        <w:t>igh</w:t>
      </w:r>
      <w:r w:rsidR="00E076EA">
        <w:noBreakHyphen/>
      </w:r>
      <w:r w:rsidR="00FB0248" w:rsidRPr="003E1485">
        <w:t xml:space="preserve">quality evaluation is </w:t>
      </w:r>
      <w:r w:rsidR="00C42935">
        <w:t>fundamental to</w:t>
      </w:r>
      <w:r w:rsidR="00B077A3">
        <w:t xml:space="preserve"> policy</w:t>
      </w:r>
      <w:r w:rsidR="001A2E19">
        <w:t xml:space="preserve"> making</w:t>
      </w:r>
      <w:r w:rsidR="00B077A3">
        <w:t>, regulation, and program and service delivery that improves the wellbeing of the Australian people</w:t>
      </w:r>
      <w:r w:rsidR="00C42935">
        <w:t xml:space="preserve">. </w:t>
      </w:r>
      <w:r w:rsidR="00A249D2">
        <w:t xml:space="preserve">A culture of </w:t>
      </w:r>
      <w:r w:rsidR="00F76183">
        <w:t xml:space="preserve">evaluation </w:t>
      </w:r>
      <w:r w:rsidR="00A249D2">
        <w:t xml:space="preserve">supports </w:t>
      </w:r>
      <w:r w:rsidR="0074731E" w:rsidRPr="003E1485">
        <w:t>a culture of learning</w:t>
      </w:r>
      <w:r w:rsidR="00B077A3">
        <w:t xml:space="preserve"> and </w:t>
      </w:r>
      <w:r w:rsidR="0074731E" w:rsidRPr="003E1485">
        <w:t xml:space="preserve">continuous improvement </w:t>
      </w:r>
      <w:r w:rsidR="002C5A05">
        <w:t xml:space="preserve">within the public </w:t>
      </w:r>
      <w:r w:rsidR="000847BA">
        <w:t>service and</w:t>
      </w:r>
      <w:r w:rsidR="005D58C7">
        <w:t xml:space="preserve"> </w:t>
      </w:r>
      <w:r w:rsidR="00FB0248" w:rsidRPr="003E1485">
        <w:t>generat</w:t>
      </w:r>
      <w:r w:rsidR="002C5A05">
        <w:t>es</w:t>
      </w:r>
      <w:r w:rsidR="00FB0248" w:rsidRPr="003E1485">
        <w:t xml:space="preserve"> actionable evidence to inform government decisions. </w:t>
      </w:r>
      <w:r w:rsidR="00610F3F">
        <w:t xml:space="preserve">It also </w:t>
      </w:r>
      <w:r w:rsidR="004912BD">
        <w:t xml:space="preserve">ensures the </w:t>
      </w:r>
      <w:r w:rsidR="00A97FF6">
        <w:t>government</w:t>
      </w:r>
      <w:r w:rsidR="005D58C7">
        <w:t xml:space="preserve"> </w:t>
      </w:r>
      <w:r w:rsidR="00A97FF6">
        <w:t>is</w:t>
      </w:r>
      <w:r w:rsidR="005D58C7">
        <w:t xml:space="preserve"> </w:t>
      </w:r>
      <w:r w:rsidR="00FB0248" w:rsidRPr="003E1485">
        <w:t xml:space="preserve">meeting the requirements of the </w:t>
      </w:r>
      <w:r w:rsidR="00FB0248" w:rsidRPr="00A97FF6">
        <w:rPr>
          <w:i/>
        </w:rPr>
        <w:t>Public</w:t>
      </w:r>
      <w:r w:rsidR="005D58C7">
        <w:rPr>
          <w:i/>
        </w:rPr>
        <w:t> </w:t>
      </w:r>
      <w:r w:rsidR="00FB0248" w:rsidRPr="00A97FF6">
        <w:rPr>
          <w:i/>
        </w:rPr>
        <w:t>Governance,</w:t>
      </w:r>
      <w:r w:rsidR="005D58C7">
        <w:rPr>
          <w:i/>
        </w:rPr>
        <w:t xml:space="preserve"> </w:t>
      </w:r>
      <w:r w:rsidR="00FB0248" w:rsidRPr="00A97FF6">
        <w:rPr>
          <w:i/>
        </w:rPr>
        <w:t>Performance</w:t>
      </w:r>
      <w:r w:rsidR="005D58C7">
        <w:rPr>
          <w:i/>
        </w:rPr>
        <w:t xml:space="preserve"> </w:t>
      </w:r>
      <w:r w:rsidR="00FB0248" w:rsidRPr="00A97FF6">
        <w:rPr>
          <w:i/>
        </w:rPr>
        <w:t>and</w:t>
      </w:r>
      <w:r w:rsidR="005D58C7">
        <w:rPr>
          <w:i/>
        </w:rPr>
        <w:t xml:space="preserve"> </w:t>
      </w:r>
      <w:r w:rsidR="00FB0248" w:rsidRPr="00A97FF6">
        <w:rPr>
          <w:i/>
        </w:rPr>
        <w:t>Accountability</w:t>
      </w:r>
      <w:r w:rsidR="005D58C7">
        <w:rPr>
          <w:i/>
        </w:rPr>
        <w:t xml:space="preserve"> </w:t>
      </w:r>
      <w:r w:rsidR="00FB0248" w:rsidRPr="00A97FF6">
        <w:rPr>
          <w:i/>
        </w:rPr>
        <w:t>Act</w:t>
      </w:r>
      <w:r w:rsidR="005D58C7">
        <w:t xml:space="preserve"> </w:t>
      </w:r>
      <w:r w:rsidR="00FB0248" w:rsidRPr="003E1485">
        <w:t>2013</w:t>
      </w:r>
      <w:r w:rsidR="005D58C7">
        <w:t xml:space="preserve"> </w:t>
      </w:r>
      <w:r w:rsidR="00FB0248" w:rsidRPr="003E1485">
        <w:t>(PGPA</w:t>
      </w:r>
      <w:r w:rsidR="000206DB">
        <w:t> </w:t>
      </w:r>
      <w:r w:rsidR="00FB0248" w:rsidRPr="003E1485">
        <w:t>Act)</w:t>
      </w:r>
      <w:r w:rsidR="002134A4">
        <w:t>.</w:t>
      </w:r>
    </w:p>
    <w:p w14:paraId="7DC464ED" w14:textId="12E11A0C" w:rsidR="005A6194" w:rsidRDefault="005A6194" w:rsidP="005A6194">
      <w:r>
        <w:t xml:space="preserve">The Australian Government </w:t>
      </w:r>
      <w:r w:rsidR="00B1675E">
        <w:t xml:space="preserve">has </w:t>
      </w:r>
      <w:r w:rsidR="003C5933">
        <w:t xml:space="preserve">some </w:t>
      </w:r>
      <w:r w:rsidR="0014084F">
        <w:t>well</w:t>
      </w:r>
      <w:r w:rsidR="00E076EA">
        <w:noBreakHyphen/>
      </w:r>
      <w:r w:rsidR="0014084F">
        <w:t>established</w:t>
      </w:r>
      <w:r w:rsidR="003C5933">
        <w:t xml:space="preserve"> </w:t>
      </w:r>
      <w:r w:rsidR="00DC18CB">
        <w:t>evaluation functions and institutions. Notably,</w:t>
      </w:r>
      <w:r w:rsidR="00EF229D">
        <w:t> </w:t>
      </w:r>
      <w:r w:rsidR="00DA7B06">
        <w:t xml:space="preserve">the Australian Guide to </w:t>
      </w:r>
      <w:r w:rsidRPr="00BC4FCC">
        <w:t>Policy Impact Analysis</w:t>
      </w:r>
      <w:r w:rsidR="00A95C98">
        <w:t xml:space="preserve"> has</w:t>
      </w:r>
      <w:r w:rsidR="00F70D9C">
        <w:t>, in various forms,</w:t>
      </w:r>
      <w:r w:rsidR="00A95C98">
        <w:t xml:space="preserve"> provided the foundation for e</w:t>
      </w:r>
      <w:r w:rsidR="00A95C98" w:rsidRPr="00BC4FCC">
        <w:t>x</w:t>
      </w:r>
      <w:r w:rsidR="00E076EA">
        <w:noBreakHyphen/>
      </w:r>
      <w:r w:rsidR="00A95C98" w:rsidRPr="00BC4FCC">
        <w:t xml:space="preserve">ante evaluation of </w:t>
      </w:r>
      <w:r w:rsidR="005907B9">
        <w:t>policy options</w:t>
      </w:r>
      <w:r w:rsidR="00A95C98" w:rsidRPr="00BC4FCC">
        <w:t xml:space="preserve"> </w:t>
      </w:r>
      <w:r w:rsidR="00F70D9C">
        <w:t xml:space="preserve">since the 1980s. </w:t>
      </w:r>
      <w:r w:rsidR="00312223">
        <w:t xml:space="preserve">Many </w:t>
      </w:r>
      <w:r w:rsidR="00A05F02">
        <w:t xml:space="preserve">government departments have longstanding </w:t>
      </w:r>
      <w:r w:rsidR="00987B40">
        <w:t xml:space="preserve">record of supporting evaluation through </w:t>
      </w:r>
      <w:r w:rsidRPr="00197F4F">
        <w:t>in</w:t>
      </w:r>
      <w:r w:rsidR="00E076EA">
        <w:noBreakHyphen/>
      </w:r>
      <w:r w:rsidRPr="00197F4F">
        <w:t>house evaluation units</w:t>
      </w:r>
      <w:r w:rsidR="00A05F02">
        <w:t xml:space="preserve"> and </w:t>
      </w:r>
      <w:r w:rsidR="00987B40">
        <w:t xml:space="preserve">the regular </w:t>
      </w:r>
      <w:r w:rsidR="006B641E">
        <w:t xml:space="preserve">delivery </w:t>
      </w:r>
      <w:r w:rsidR="000F3769">
        <w:t>and publi</w:t>
      </w:r>
      <w:r w:rsidR="00987B40">
        <w:t xml:space="preserve">cation of policy </w:t>
      </w:r>
      <w:r w:rsidR="000F3769">
        <w:t>evaluation</w:t>
      </w:r>
      <w:r w:rsidR="00987B40">
        <w:t>.</w:t>
      </w:r>
    </w:p>
    <w:p w14:paraId="24030270" w14:textId="7BF9D926" w:rsidR="00FF3344" w:rsidRPr="001277E4" w:rsidRDefault="007705A6" w:rsidP="00EA41F9">
      <w:r>
        <w:t xml:space="preserve">Since the </w:t>
      </w:r>
      <w:r w:rsidR="00BB5FD4">
        <w:t>2019</w:t>
      </w:r>
      <w:r>
        <w:t xml:space="preserve"> </w:t>
      </w:r>
      <w:r w:rsidR="00346E61">
        <w:t>Independent Review of the APS</w:t>
      </w:r>
      <w:r w:rsidR="006A78A8" w:rsidRPr="00485CC3">
        <w:rPr>
          <w:rStyle w:val="FootnoteReference"/>
          <w:vertAlign w:val="superscript"/>
        </w:rPr>
        <w:footnoteReference w:id="2"/>
      </w:r>
      <w:r>
        <w:rPr>
          <w:rStyle w:val="CommentReference"/>
          <w:rFonts w:ascii="Calibri" w:hAnsi="Calibri"/>
        </w:rPr>
        <w:t>,</w:t>
      </w:r>
      <w:r w:rsidR="00F0611A">
        <w:rPr>
          <w:rStyle w:val="CommentReference"/>
          <w:rFonts w:ascii="Calibri" w:hAnsi="Calibri"/>
        </w:rPr>
        <w:t xml:space="preserve"> </w:t>
      </w:r>
      <w:r w:rsidR="00F0611A">
        <w:t xml:space="preserve">a range of reforms have </w:t>
      </w:r>
      <w:r w:rsidR="00FB0248" w:rsidRPr="003E1485">
        <w:t xml:space="preserve">been implemented to </w:t>
      </w:r>
      <w:r w:rsidR="00EA41F9">
        <w:t>strengthen evaluation leadership, practice and capability across the Australian government. These</w:t>
      </w:r>
      <w:r w:rsidR="00EF229D">
        <w:t> </w:t>
      </w:r>
      <w:r w:rsidR="00EA41F9">
        <w:t xml:space="preserve">include: </w:t>
      </w:r>
    </w:p>
    <w:p w14:paraId="71595971" w14:textId="57DC752F" w:rsidR="001573D3" w:rsidRDefault="00962563" w:rsidP="001573D3">
      <w:pPr>
        <w:pStyle w:val="Bullet"/>
        <w:widowControl w:val="0"/>
        <w:tabs>
          <w:tab w:val="clear" w:pos="720"/>
          <w:tab w:val="num" w:pos="520"/>
        </w:tabs>
        <w:autoSpaceDE w:val="0"/>
        <w:autoSpaceDN w:val="0"/>
        <w:spacing w:after="0" w:line="240" w:lineRule="auto"/>
        <w:ind w:left="520" w:hanging="520"/>
      </w:pPr>
      <w:r>
        <w:t>the i</w:t>
      </w:r>
      <w:r w:rsidR="001573D3">
        <w:t>ntroduction of the Commonwealth Evaluation Policy</w:t>
      </w:r>
    </w:p>
    <w:p w14:paraId="1E27E3AF" w14:textId="6A81F672" w:rsidR="00FB0248" w:rsidRDefault="00BB5FD4" w:rsidP="00FB0248">
      <w:pPr>
        <w:pStyle w:val="Bullet"/>
        <w:widowControl w:val="0"/>
        <w:tabs>
          <w:tab w:val="clear" w:pos="720"/>
          <w:tab w:val="num" w:pos="520"/>
        </w:tabs>
        <w:autoSpaceDE w:val="0"/>
        <w:autoSpaceDN w:val="0"/>
        <w:spacing w:after="0" w:line="240" w:lineRule="auto"/>
        <w:ind w:left="520" w:hanging="520"/>
      </w:pPr>
      <w:r>
        <w:t>new</w:t>
      </w:r>
      <w:r w:rsidR="00447B6F">
        <w:t xml:space="preserve"> </w:t>
      </w:r>
      <w:r w:rsidR="007C409A">
        <w:t xml:space="preserve">requirements regarding evaluation planning in </w:t>
      </w:r>
      <w:r w:rsidR="00FB0248" w:rsidRPr="003E1485">
        <w:t>the Budget Process Operational Rules</w:t>
      </w:r>
    </w:p>
    <w:p w14:paraId="3BD354B3" w14:textId="2E4E66FE" w:rsidR="00FB0248" w:rsidRDefault="00FF3356" w:rsidP="00672421">
      <w:pPr>
        <w:pStyle w:val="Bullet"/>
        <w:widowControl w:val="0"/>
        <w:tabs>
          <w:tab w:val="clear" w:pos="720"/>
          <w:tab w:val="num" w:pos="520"/>
        </w:tabs>
        <w:autoSpaceDE w:val="0"/>
        <w:autoSpaceDN w:val="0"/>
        <w:spacing w:after="0" w:line="240" w:lineRule="auto"/>
        <w:ind w:left="520" w:hanging="520"/>
      </w:pPr>
      <w:r>
        <w:t>the establishment of the</w:t>
      </w:r>
      <w:r w:rsidR="00672421">
        <w:t xml:space="preserve"> </w:t>
      </w:r>
      <w:r w:rsidR="00FB0248" w:rsidRPr="003E1485">
        <w:t>Australian Centre for Evaluation (ACE)</w:t>
      </w:r>
    </w:p>
    <w:p w14:paraId="4E213F50" w14:textId="28AD59AB" w:rsidR="00D03813" w:rsidRDefault="00D03813" w:rsidP="00FB0248">
      <w:pPr>
        <w:pStyle w:val="Bullet"/>
        <w:widowControl w:val="0"/>
        <w:tabs>
          <w:tab w:val="clear" w:pos="720"/>
          <w:tab w:val="num" w:pos="520"/>
        </w:tabs>
        <w:autoSpaceDE w:val="0"/>
        <w:autoSpaceDN w:val="0"/>
        <w:spacing w:after="0" w:line="240" w:lineRule="auto"/>
        <w:ind w:left="520" w:hanging="520"/>
      </w:pPr>
      <w:r>
        <w:t>the establishment of the Commonwealth Evaluation Reference Group</w:t>
      </w:r>
    </w:p>
    <w:p w14:paraId="356536DD" w14:textId="7EF8F3A5" w:rsidR="00FB0248" w:rsidRDefault="00FB0248" w:rsidP="00FB0248">
      <w:pPr>
        <w:pStyle w:val="Bullet"/>
        <w:widowControl w:val="0"/>
        <w:tabs>
          <w:tab w:val="clear" w:pos="720"/>
          <w:tab w:val="num" w:pos="520"/>
        </w:tabs>
        <w:autoSpaceDE w:val="0"/>
        <w:autoSpaceDN w:val="0"/>
        <w:spacing w:after="0" w:line="240" w:lineRule="auto"/>
        <w:ind w:left="520" w:hanging="520"/>
      </w:pPr>
      <w:r w:rsidRPr="003E1485">
        <w:t xml:space="preserve">the </w:t>
      </w:r>
      <w:r>
        <w:t xml:space="preserve">establishment of the APS </w:t>
      </w:r>
      <w:r w:rsidRPr="003E1485">
        <w:t xml:space="preserve">Evaluation </w:t>
      </w:r>
      <w:r>
        <w:t>Profession</w:t>
      </w:r>
    </w:p>
    <w:p w14:paraId="79B91C4E" w14:textId="102A99A8" w:rsidR="003228EA" w:rsidRDefault="00942C94" w:rsidP="00FB0248">
      <w:pPr>
        <w:pStyle w:val="Bullet"/>
        <w:widowControl w:val="0"/>
        <w:tabs>
          <w:tab w:val="clear" w:pos="720"/>
          <w:tab w:val="num" w:pos="520"/>
        </w:tabs>
        <w:autoSpaceDE w:val="0"/>
        <w:autoSpaceDN w:val="0"/>
        <w:spacing w:after="0" w:line="240" w:lineRule="auto"/>
        <w:ind w:left="520" w:hanging="520"/>
      </w:pPr>
      <w:r>
        <w:t>e</w:t>
      </w:r>
      <w:r w:rsidR="00D562CA">
        <w:t xml:space="preserve">mbedding evaluation in </w:t>
      </w:r>
      <w:r w:rsidR="00BD00A9">
        <w:t>guidance</w:t>
      </w:r>
      <w:r w:rsidR="00D562CA">
        <w:t xml:space="preserve"> on </w:t>
      </w:r>
      <w:r w:rsidR="00BD00A9">
        <w:t xml:space="preserve">the APS Value of </w:t>
      </w:r>
      <w:r w:rsidR="00D562CA">
        <w:t>Stewardship</w:t>
      </w:r>
      <w:r w:rsidR="0096778B">
        <w:t>.</w:t>
      </w:r>
    </w:p>
    <w:p w14:paraId="6D11CA3F" w14:textId="0588E165" w:rsidR="00FB0248" w:rsidRPr="003559AB" w:rsidRDefault="00FB0248" w:rsidP="009A5D8B">
      <w:pPr>
        <w:pStyle w:val="Heading1"/>
      </w:pPr>
      <w:bookmarkStart w:id="16" w:name="3._Strategic_Pillars_"/>
      <w:bookmarkStart w:id="17" w:name="_Toc207875560"/>
      <w:bookmarkStart w:id="18" w:name="_Toc211837399"/>
      <w:bookmarkEnd w:id="16"/>
      <w:r w:rsidRPr="003559AB">
        <w:lastRenderedPageBreak/>
        <w:t>Priorities</w:t>
      </w:r>
      <w:bookmarkEnd w:id="17"/>
      <w:r w:rsidR="005403C7" w:rsidRPr="003559AB">
        <w:t xml:space="preserve"> and action plan</w:t>
      </w:r>
      <w:bookmarkEnd w:id="18"/>
    </w:p>
    <w:p w14:paraId="653019BE" w14:textId="06F7465D" w:rsidR="00840951" w:rsidRDefault="00FB0248" w:rsidP="001F70BF">
      <w:pPr>
        <w:ind w:right="-426"/>
      </w:pPr>
      <w:r w:rsidRPr="003E1485">
        <w:t xml:space="preserve">This </w:t>
      </w:r>
      <w:r w:rsidR="005771C4">
        <w:t>plan</w:t>
      </w:r>
      <w:r w:rsidRPr="003E1485">
        <w:t xml:space="preserve"> is structured around </w:t>
      </w:r>
      <w:r w:rsidR="006D7B6B">
        <w:t>4 </w:t>
      </w:r>
      <w:r>
        <w:t>priorities</w:t>
      </w:r>
      <w:r w:rsidR="0090032D">
        <w:t xml:space="preserve"> with </w:t>
      </w:r>
      <w:r w:rsidR="00E82DA8">
        <w:t xml:space="preserve">14 </w:t>
      </w:r>
      <w:r w:rsidR="0090032D">
        <w:t>actions</w:t>
      </w:r>
      <w:r w:rsidRPr="003E1485">
        <w:t xml:space="preserve"> to achieve the overall vision.</w:t>
      </w:r>
      <w:r w:rsidR="00821E13">
        <w:t xml:space="preserve"> </w:t>
      </w:r>
      <w:r w:rsidR="00FA2753">
        <w:t>T</w:t>
      </w:r>
      <w:r w:rsidR="00CE1ED8">
        <w:t xml:space="preserve">he tables under each priority </w:t>
      </w:r>
      <w:r w:rsidR="004A160D">
        <w:t>describe t</w:t>
      </w:r>
      <w:r w:rsidR="0085545C">
        <w:t xml:space="preserve">hese actions </w:t>
      </w:r>
      <w:r w:rsidR="004A160D">
        <w:t>along</w:t>
      </w:r>
      <w:r w:rsidR="0085545C">
        <w:t xml:space="preserve"> with </w:t>
      </w:r>
      <w:r w:rsidR="004A160D">
        <w:t xml:space="preserve">lead responsibility, </w:t>
      </w:r>
      <w:r w:rsidR="0085545C">
        <w:t>t</w:t>
      </w:r>
      <w:r w:rsidR="00770215">
        <w:t>imeline</w:t>
      </w:r>
      <w:r w:rsidR="004A160D">
        <w:t xml:space="preserve"> for </w:t>
      </w:r>
      <w:r w:rsidR="00770215">
        <w:t>implementation</w:t>
      </w:r>
      <w:r w:rsidR="004A160D">
        <w:t>, and intended outputs. For actions</w:t>
      </w:r>
      <w:r w:rsidR="002969A6">
        <w:t xml:space="preserve"> that</w:t>
      </w:r>
      <w:r w:rsidR="00D21752">
        <w:t xml:space="preserve"> </w:t>
      </w:r>
      <w:bookmarkStart w:id="19" w:name="_Hlk210827692"/>
      <w:r w:rsidR="004A160D">
        <w:t>lie with individual entities to implement, each</w:t>
      </w:r>
      <w:r w:rsidR="00213430">
        <w:t xml:space="preserve"> entity </w:t>
      </w:r>
      <w:bookmarkEnd w:id="19"/>
      <w:r w:rsidR="004A160D">
        <w:t>retains discretion about how best to adopt the action, consistent with the intent of this plan.</w:t>
      </w:r>
      <w:r w:rsidR="00E841B1">
        <w:t xml:space="preserve"> </w:t>
      </w:r>
      <w:r w:rsidR="0041442C">
        <w:t>T</w:t>
      </w:r>
      <w:r w:rsidR="007F4CE8">
        <w:t xml:space="preserve">he ACE will </w:t>
      </w:r>
      <w:r w:rsidR="00996B54">
        <w:t xml:space="preserve">work with the Commonwealth Evaluation Reference Group to prepare </w:t>
      </w:r>
      <w:r w:rsidR="00E635B5">
        <w:t>supp</w:t>
      </w:r>
      <w:r w:rsidR="000F0728">
        <w:t>lementary guidance</w:t>
      </w:r>
      <w:r w:rsidR="0041442C">
        <w:t>, as needed,</w:t>
      </w:r>
      <w:r w:rsidR="00A761F5">
        <w:t xml:space="preserve"> to assist </w:t>
      </w:r>
      <w:r w:rsidR="0059277E">
        <w:t xml:space="preserve">entities </w:t>
      </w:r>
      <w:r w:rsidR="00A761F5">
        <w:t>with implementation of these actions</w:t>
      </w:r>
      <w:r w:rsidR="00950B54">
        <w:t>.</w:t>
      </w:r>
    </w:p>
    <w:p w14:paraId="40A41BDC" w14:textId="77777777" w:rsidR="00FB0248" w:rsidRPr="004E7686" w:rsidRDefault="00FB0248" w:rsidP="00BF05AC">
      <w:pPr>
        <w:pStyle w:val="Heading2"/>
      </w:pPr>
      <w:bookmarkStart w:id="20" w:name="3.1._Evaluation_leadership_and_culture_"/>
      <w:bookmarkStart w:id="21" w:name="_Toc207875561"/>
      <w:bookmarkStart w:id="22" w:name="_Toc211837400"/>
      <w:bookmarkEnd w:id="20"/>
      <w:r w:rsidRPr="004E7686">
        <w:t>Priority 1: Evaluation leadership and culture</w:t>
      </w:r>
      <w:bookmarkEnd w:id="21"/>
      <w:bookmarkEnd w:id="22"/>
    </w:p>
    <w:p w14:paraId="72CDA8C7" w14:textId="3ACA73F6" w:rsidR="00FB0248" w:rsidRDefault="00FB0248" w:rsidP="00FB0248">
      <w:r w:rsidRPr="003E1485">
        <w:t xml:space="preserve">This </w:t>
      </w:r>
      <w:r>
        <w:t>priority</w:t>
      </w:r>
      <w:r w:rsidRPr="003E1485">
        <w:t xml:space="preserve"> focuses on fostering a strong culture where evaluation is valued and championed by leaders across the</w:t>
      </w:r>
      <w:r>
        <w:t xml:space="preserve"> </w:t>
      </w:r>
      <w:r w:rsidR="00A142D8">
        <w:t>APS</w:t>
      </w:r>
      <w:r w:rsidRPr="003E1485">
        <w:t xml:space="preserve">. </w:t>
      </w:r>
      <w:r w:rsidR="00763B0B" w:rsidRPr="00763B0B">
        <w:t xml:space="preserve">The actions aim to strengthen evaluation leadership and governance across government, </w:t>
      </w:r>
      <w:r w:rsidR="00763B0B" w:rsidRPr="003E1485">
        <w:t>embed</w:t>
      </w:r>
      <w:r w:rsidR="00763B0B">
        <w:t>ding</w:t>
      </w:r>
      <w:r w:rsidR="00763B0B" w:rsidRPr="003E1485">
        <w:t xml:space="preserve"> evaluation into key governance processes</w:t>
      </w:r>
      <w:r w:rsidR="00763B0B">
        <w:t xml:space="preserve"> at the entity level, </w:t>
      </w:r>
      <w:r w:rsidR="00763B0B" w:rsidRPr="00763B0B">
        <w:t>and ensuring all evaluation practices uphold cultural safety and ethical standards.</w:t>
      </w:r>
    </w:p>
    <w:p w14:paraId="20E2FF5B" w14:textId="26F5069D" w:rsidR="00FB0248" w:rsidRPr="003E1485" w:rsidRDefault="004C04C1" w:rsidP="00FB0248">
      <w:r>
        <w:rPr>
          <w:rStyle w:val="Strong"/>
        </w:rPr>
        <w:t xml:space="preserve">Vision for </w:t>
      </w:r>
      <w:r w:rsidR="00FB0248" w:rsidRPr="007A5115">
        <w:rPr>
          <w:rStyle w:val="Strong"/>
        </w:rPr>
        <w:t>2030:</w:t>
      </w:r>
      <w:r w:rsidR="00FB0248" w:rsidRPr="003E1485">
        <w:t xml:space="preserve"> A</w:t>
      </w:r>
      <w:r w:rsidR="00FC251F">
        <w:t xml:space="preserve">n </w:t>
      </w:r>
      <w:r w:rsidR="0091603A">
        <w:t>APS</w:t>
      </w:r>
      <w:r w:rsidR="00FB0248" w:rsidRPr="003E1485">
        <w:t xml:space="preserve"> where evaluation is a core tenet of public </w:t>
      </w:r>
      <w:r w:rsidR="00833E20">
        <w:t xml:space="preserve">policy and </w:t>
      </w:r>
      <w:r w:rsidR="00FB0248" w:rsidRPr="003E1485">
        <w:t xml:space="preserve">administration, actively championed </w:t>
      </w:r>
      <w:r w:rsidR="00E57282">
        <w:t xml:space="preserve">and demanded </w:t>
      </w:r>
      <w:r w:rsidR="00FB0248" w:rsidRPr="003E1485">
        <w:t>by senior leaders</w:t>
      </w:r>
      <w:r w:rsidR="00E57282">
        <w:t>,</w:t>
      </w:r>
      <w:r w:rsidR="00FB0248" w:rsidRPr="003E1485">
        <w:t xml:space="preserve"> and embedded in key decision</w:t>
      </w:r>
      <w:r w:rsidR="00E076EA">
        <w:noBreakHyphen/>
      </w:r>
      <w:r w:rsidR="00FB0248" w:rsidRPr="003E1485">
        <w:t>making processes.</w:t>
      </w:r>
      <w:r w:rsidR="00A823EF" w:rsidRPr="00A823EF">
        <w:t xml:space="preserve"> </w:t>
      </w:r>
      <w:r w:rsidR="00A823EF" w:rsidRPr="003E1485">
        <w:t xml:space="preserve">A </w:t>
      </w:r>
      <w:r w:rsidR="00A823EF">
        <w:t>robust network of in</w:t>
      </w:r>
      <w:r w:rsidR="00E076EA">
        <w:noBreakHyphen/>
      </w:r>
      <w:r w:rsidR="00A823EF">
        <w:t>house evaluation units from across government that works in partnership to promote and strengthen the practice and use of evaluation.</w:t>
      </w:r>
    </w:p>
    <w:p w14:paraId="4F4744A3" w14:textId="53A3B554" w:rsidR="00852781" w:rsidRPr="003559AB" w:rsidRDefault="005712EF" w:rsidP="003C3506">
      <w:pPr>
        <w:pStyle w:val="TableMainHeading"/>
      </w:pPr>
      <w:r>
        <w:t>A</w:t>
      </w:r>
      <w:r w:rsidR="00AA13E5">
        <w:t>ction plan</w:t>
      </w:r>
      <w:r w:rsidR="00E076EA">
        <w:t xml:space="preserve"> – </w:t>
      </w:r>
      <w:r>
        <w:t>e</w:t>
      </w:r>
      <w:r w:rsidRPr="005712EF">
        <w:t>valuation leadership and culture</w:t>
      </w:r>
    </w:p>
    <w:tbl>
      <w:tblPr>
        <w:tblW w:w="5000" w:type="pct"/>
        <w:tblInd w:w="-10" w:type="dxa"/>
        <w:tblBorders>
          <w:top w:val="single" w:sz="8" w:space="0" w:color="2C384A" w:themeColor="accent1"/>
          <w:left w:val="single" w:sz="8" w:space="0" w:color="2C384A" w:themeColor="accent1"/>
          <w:bottom w:val="single" w:sz="8" w:space="0" w:color="2C384A" w:themeColor="accent1"/>
          <w:right w:val="single" w:sz="8" w:space="0" w:color="2C384A" w:themeColor="accent1"/>
          <w:insideH w:val="single" w:sz="8" w:space="0" w:color="2C384A" w:themeColor="accent1"/>
          <w:insideV w:val="single" w:sz="8" w:space="0" w:color="2C384A" w:themeColor="accent1"/>
        </w:tblBorders>
        <w:tblLayout w:type="fixed"/>
        <w:tblCellMar>
          <w:left w:w="0" w:type="dxa"/>
          <w:right w:w="0" w:type="dxa"/>
        </w:tblCellMar>
        <w:tblLook w:val="01E0" w:firstRow="1" w:lastRow="1" w:firstColumn="1" w:lastColumn="1" w:noHBand="0" w:noVBand="0"/>
      </w:tblPr>
      <w:tblGrid>
        <w:gridCol w:w="3420"/>
        <w:gridCol w:w="1037"/>
        <w:gridCol w:w="947"/>
        <w:gridCol w:w="3648"/>
      </w:tblGrid>
      <w:tr w:rsidR="007A19B4" w:rsidRPr="00E076EA" w14:paraId="34BF04BD" w14:textId="77777777" w:rsidTr="00D545FF">
        <w:trPr>
          <w:trHeight w:val="412"/>
          <w:tblHeader/>
        </w:trPr>
        <w:tc>
          <w:tcPr>
            <w:tcW w:w="3407" w:type="dxa"/>
            <w:shd w:val="clear" w:color="auto" w:fill="2C384A" w:themeFill="accent1"/>
            <w:tcMar>
              <w:left w:w="108" w:type="dxa"/>
              <w:right w:w="108" w:type="dxa"/>
            </w:tcMar>
          </w:tcPr>
          <w:p w14:paraId="5B2C4012" w14:textId="6BBBE5AD" w:rsidR="007A19B4" w:rsidRPr="00E076EA" w:rsidRDefault="007A19B4" w:rsidP="00264D8B">
            <w:pPr>
              <w:pStyle w:val="TableColumnHeadingLeft"/>
              <w:rPr>
                <w:color w:val="FFFFFF" w:themeColor="background1"/>
              </w:rPr>
            </w:pPr>
            <w:r w:rsidRPr="00E076EA">
              <w:rPr>
                <w:color w:val="FFFFFF" w:themeColor="background1"/>
              </w:rPr>
              <w:t xml:space="preserve">Action </w:t>
            </w:r>
          </w:p>
        </w:tc>
        <w:tc>
          <w:tcPr>
            <w:tcW w:w="1033" w:type="dxa"/>
            <w:shd w:val="clear" w:color="auto" w:fill="2C384A" w:themeFill="accent1"/>
            <w:tcMar>
              <w:left w:w="108" w:type="dxa"/>
              <w:right w:w="108" w:type="dxa"/>
            </w:tcMar>
          </w:tcPr>
          <w:p w14:paraId="4BA2CD94" w14:textId="77777777" w:rsidR="007A19B4" w:rsidRPr="00E076EA" w:rsidRDefault="007A19B4" w:rsidP="00264D8B">
            <w:pPr>
              <w:pStyle w:val="TableColumnHeadingLeft"/>
              <w:rPr>
                <w:color w:val="FFFFFF" w:themeColor="background1"/>
              </w:rPr>
            </w:pPr>
            <w:r w:rsidRPr="00E076EA">
              <w:rPr>
                <w:color w:val="FFFFFF" w:themeColor="background1"/>
              </w:rPr>
              <w:t xml:space="preserve">Lead </w:t>
            </w:r>
          </w:p>
        </w:tc>
        <w:tc>
          <w:tcPr>
            <w:tcW w:w="943" w:type="dxa"/>
            <w:shd w:val="clear" w:color="auto" w:fill="2C384A" w:themeFill="accent1"/>
            <w:tcMar>
              <w:left w:w="108" w:type="dxa"/>
              <w:right w:w="108" w:type="dxa"/>
            </w:tcMar>
          </w:tcPr>
          <w:p w14:paraId="3FB574D7" w14:textId="77777777" w:rsidR="007A19B4" w:rsidRPr="00E076EA" w:rsidRDefault="007A19B4" w:rsidP="00264D8B">
            <w:pPr>
              <w:pStyle w:val="TableColumnHeadingLeft"/>
              <w:rPr>
                <w:color w:val="FFFFFF" w:themeColor="background1"/>
              </w:rPr>
            </w:pPr>
            <w:r w:rsidRPr="00E076EA">
              <w:rPr>
                <w:color w:val="FFFFFF" w:themeColor="background1"/>
              </w:rPr>
              <w:t>Timeline</w:t>
            </w:r>
          </w:p>
        </w:tc>
        <w:tc>
          <w:tcPr>
            <w:tcW w:w="3633" w:type="dxa"/>
            <w:shd w:val="clear" w:color="auto" w:fill="2C384A" w:themeFill="accent1"/>
            <w:tcMar>
              <w:left w:w="108" w:type="dxa"/>
              <w:right w:w="108" w:type="dxa"/>
            </w:tcMar>
          </w:tcPr>
          <w:p w14:paraId="2F504049" w14:textId="77777777" w:rsidR="007A19B4" w:rsidRPr="00E076EA" w:rsidRDefault="007A19B4" w:rsidP="00264D8B">
            <w:pPr>
              <w:pStyle w:val="TableColumnHeadingLeft"/>
              <w:rPr>
                <w:color w:val="FFFFFF" w:themeColor="background1"/>
              </w:rPr>
            </w:pPr>
            <w:r w:rsidRPr="00E076EA">
              <w:rPr>
                <w:color w:val="FFFFFF" w:themeColor="background1"/>
              </w:rPr>
              <w:t>Outputs</w:t>
            </w:r>
          </w:p>
        </w:tc>
      </w:tr>
      <w:tr w:rsidR="007A19B4" w:rsidRPr="00E076EA" w14:paraId="0C9FE5D8" w14:textId="77777777" w:rsidTr="00D545FF">
        <w:trPr>
          <w:trHeight w:val="974"/>
        </w:trPr>
        <w:tc>
          <w:tcPr>
            <w:tcW w:w="3407" w:type="dxa"/>
            <w:tcMar>
              <w:left w:w="108" w:type="dxa"/>
              <w:right w:w="108" w:type="dxa"/>
            </w:tcMar>
          </w:tcPr>
          <w:p w14:paraId="3B25C372" w14:textId="1F334ED1" w:rsidR="007A19B4" w:rsidRPr="00E076EA" w:rsidRDefault="002B376B" w:rsidP="005363A0">
            <w:pPr>
              <w:pStyle w:val="TableTextLeft"/>
            </w:pPr>
            <w:r w:rsidRPr="00E076EA">
              <w:rPr>
                <w:b/>
                <w:bCs/>
              </w:rPr>
              <w:t xml:space="preserve">1.1 </w:t>
            </w:r>
            <w:r w:rsidR="005712EF" w:rsidRPr="00E076EA">
              <w:rPr>
                <w:b/>
                <w:bCs/>
              </w:rPr>
              <w:t>Chief Evaluation Officers</w:t>
            </w:r>
            <w:r w:rsidR="005712EF" w:rsidRPr="00E076EA">
              <w:t xml:space="preserve">: </w:t>
            </w:r>
            <w:r w:rsidR="001154B5" w:rsidRPr="00E076EA">
              <w:t>Appoint Chief Evaluation Officers or Senior Executive Service (SES)</w:t>
            </w:r>
            <w:r w:rsidR="001154B5" w:rsidRPr="00E076EA">
              <w:noBreakHyphen/>
              <w:t>level (or equivalent) evaluation champions.</w:t>
            </w:r>
          </w:p>
        </w:tc>
        <w:tc>
          <w:tcPr>
            <w:tcW w:w="1033" w:type="dxa"/>
            <w:tcMar>
              <w:left w:w="108" w:type="dxa"/>
              <w:right w:w="108" w:type="dxa"/>
            </w:tcMar>
          </w:tcPr>
          <w:p w14:paraId="32C7ADE7" w14:textId="77777777" w:rsidR="007A19B4" w:rsidRPr="00E076EA" w:rsidRDefault="007A19B4" w:rsidP="005363A0">
            <w:pPr>
              <w:pStyle w:val="TableTextLeft"/>
            </w:pPr>
            <w:r w:rsidRPr="00E076EA">
              <w:t>Individual entities</w:t>
            </w:r>
          </w:p>
        </w:tc>
        <w:tc>
          <w:tcPr>
            <w:tcW w:w="943" w:type="dxa"/>
            <w:tcMar>
              <w:left w:w="108" w:type="dxa"/>
              <w:right w:w="108" w:type="dxa"/>
            </w:tcMar>
          </w:tcPr>
          <w:p w14:paraId="31674751" w14:textId="77777777" w:rsidR="007A19B4" w:rsidRPr="00E076EA" w:rsidRDefault="007A19B4" w:rsidP="005363A0">
            <w:pPr>
              <w:pStyle w:val="TableTextLeft"/>
            </w:pPr>
            <w:r w:rsidRPr="00E076EA">
              <w:t>From 2026</w:t>
            </w:r>
          </w:p>
        </w:tc>
        <w:tc>
          <w:tcPr>
            <w:tcW w:w="3633" w:type="dxa"/>
            <w:tcMar>
              <w:left w:w="108" w:type="dxa"/>
              <w:right w:w="108" w:type="dxa"/>
            </w:tcMar>
          </w:tcPr>
          <w:p w14:paraId="2AA810F9" w14:textId="5F4775AB" w:rsidR="007A19B4" w:rsidRPr="00E076EA" w:rsidRDefault="007A19B4" w:rsidP="005363A0">
            <w:pPr>
              <w:pStyle w:val="TableTextLeft"/>
            </w:pPr>
            <w:r w:rsidRPr="00E076EA">
              <w:t>* Chief Evaluation Officers or SES</w:t>
            </w:r>
            <w:r w:rsidRPr="00E076EA">
              <w:noBreakHyphen/>
              <w:t>level (or equivalent) evaluation champions.</w:t>
            </w:r>
          </w:p>
        </w:tc>
      </w:tr>
      <w:tr w:rsidR="007A19B4" w:rsidRPr="00E076EA" w14:paraId="2971B965" w14:textId="77777777" w:rsidTr="00D545FF">
        <w:trPr>
          <w:trHeight w:val="894"/>
        </w:trPr>
        <w:tc>
          <w:tcPr>
            <w:tcW w:w="3407" w:type="dxa"/>
            <w:tcMar>
              <w:left w:w="108" w:type="dxa"/>
              <w:right w:w="108" w:type="dxa"/>
            </w:tcMar>
          </w:tcPr>
          <w:p w14:paraId="7CD74264" w14:textId="010F2E27" w:rsidR="007A19B4" w:rsidRPr="00E076EA" w:rsidRDefault="002B376B" w:rsidP="005363A0">
            <w:pPr>
              <w:pStyle w:val="TableTextLeft"/>
            </w:pPr>
            <w:r w:rsidRPr="00E076EA">
              <w:rPr>
                <w:b/>
                <w:bCs/>
              </w:rPr>
              <w:t xml:space="preserve">1.2 </w:t>
            </w:r>
            <w:r w:rsidR="005712EF" w:rsidRPr="00E076EA">
              <w:rPr>
                <w:b/>
                <w:bCs/>
              </w:rPr>
              <w:t>Evaluation committee</w:t>
            </w:r>
            <w:r w:rsidR="005712EF" w:rsidRPr="00E076EA">
              <w:t xml:space="preserve">: </w:t>
            </w:r>
            <w:r w:rsidR="001154B5" w:rsidRPr="00E076EA">
              <w:t>Appoint entity</w:t>
            </w:r>
            <w:r w:rsidR="00175B6D" w:rsidRPr="00E076EA">
              <w:noBreakHyphen/>
            </w:r>
            <w:r w:rsidR="001154B5" w:rsidRPr="00E076EA">
              <w:t xml:space="preserve">level evaluation committees or embed evaluation into </w:t>
            </w:r>
            <w:r w:rsidR="0032796F" w:rsidRPr="00E076EA">
              <w:t>an existing</w:t>
            </w:r>
            <w:r w:rsidR="00D0076F" w:rsidRPr="00E076EA">
              <w:t xml:space="preserve"> committee or</w:t>
            </w:r>
            <w:r w:rsidR="001154B5" w:rsidRPr="00E076EA">
              <w:t xml:space="preserve"> governance </w:t>
            </w:r>
            <w:r w:rsidR="00D0076F" w:rsidRPr="00E076EA">
              <w:t>process</w:t>
            </w:r>
            <w:r w:rsidR="004F2EB4" w:rsidRPr="00E076EA">
              <w:t xml:space="preserve"> </w:t>
            </w:r>
            <w:r w:rsidR="004F2EB4" w:rsidRPr="00E076EA">
              <w:rPr>
                <w:szCs w:val="18"/>
              </w:rPr>
              <w:t>to: plan and prioritise future evaluations, review evaluation capability, and consider management responses to completed evaluations</w:t>
            </w:r>
            <w:r w:rsidR="008A32DF" w:rsidRPr="00E076EA">
              <w:t>.</w:t>
            </w:r>
          </w:p>
        </w:tc>
        <w:tc>
          <w:tcPr>
            <w:tcW w:w="1033" w:type="dxa"/>
            <w:tcMar>
              <w:left w:w="108" w:type="dxa"/>
              <w:right w:w="108" w:type="dxa"/>
            </w:tcMar>
          </w:tcPr>
          <w:p w14:paraId="691AF7BA" w14:textId="77777777" w:rsidR="007A19B4" w:rsidRPr="00E076EA" w:rsidRDefault="007A19B4" w:rsidP="005363A0">
            <w:pPr>
              <w:pStyle w:val="TableTextLeft"/>
            </w:pPr>
            <w:r w:rsidRPr="00E076EA">
              <w:t>Individual entities</w:t>
            </w:r>
          </w:p>
        </w:tc>
        <w:tc>
          <w:tcPr>
            <w:tcW w:w="943" w:type="dxa"/>
            <w:tcMar>
              <w:left w:w="108" w:type="dxa"/>
              <w:right w:w="108" w:type="dxa"/>
            </w:tcMar>
          </w:tcPr>
          <w:p w14:paraId="4A9E8F15" w14:textId="77777777" w:rsidR="007A19B4" w:rsidRPr="00E076EA" w:rsidRDefault="007A19B4" w:rsidP="005363A0">
            <w:pPr>
              <w:pStyle w:val="TableTextLeft"/>
            </w:pPr>
            <w:r w:rsidRPr="00E076EA">
              <w:t>From 2026</w:t>
            </w:r>
          </w:p>
        </w:tc>
        <w:tc>
          <w:tcPr>
            <w:tcW w:w="3633" w:type="dxa"/>
            <w:tcMar>
              <w:left w:w="108" w:type="dxa"/>
              <w:right w:w="108" w:type="dxa"/>
            </w:tcMar>
          </w:tcPr>
          <w:p w14:paraId="314BFBD9" w14:textId="17F43EA8" w:rsidR="007A19B4" w:rsidRPr="00E076EA" w:rsidRDefault="007A19B4" w:rsidP="005363A0">
            <w:pPr>
              <w:pStyle w:val="TableTextLeft"/>
            </w:pPr>
            <w:r w:rsidRPr="00E076EA">
              <w:t xml:space="preserve">* Evaluation committees </w:t>
            </w:r>
            <w:r w:rsidR="00B72F42" w:rsidRPr="00E076EA">
              <w:t xml:space="preserve">(or equivalent) </w:t>
            </w:r>
            <w:r w:rsidRPr="00E076EA">
              <w:t>established and meeting regularly</w:t>
            </w:r>
            <w:r w:rsidR="005F30D7" w:rsidRPr="00E076EA">
              <w:t>.</w:t>
            </w:r>
          </w:p>
          <w:p w14:paraId="3FE403C7" w14:textId="30F5C093" w:rsidR="007A19B4" w:rsidRPr="00E076EA" w:rsidRDefault="007A19B4" w:rsidP="005363A0">
            <w:pPr>
              <w:pStyle w:val="TableTextLeft"/>
            </w:pPr>
            <w:r w:rsidRPr="00E076EA">
              <w:t>* Evaluation integrated into corporate governance, planning frameworks and processes</w:t>
            </w:r>
            <w:r w:rsidR="00053376" w:rsidRPr="00E076EA">
              <w:t xml:space="preserve"> as appropriate</w:t>
            </w:r>
            <w:r w:rsidRPr="00E076EA">
              <w:t>.</w:t>
            </w:r>
          </w:p>
        </w:tc>
      </w:tr>
      <w:tr w:rsidR="007A19B4" w:rsidRPr="00E076EA" w14:paraId="1E9B227E" w14:textId="77777777" w:rsidTr="00D545FF">
        <w:trPr>
          <w:trHeight w:val="926"/>
        </w:trPr>
        <w:tc>
          <w:tcPr>
            <w:tcW w:w="3407" w:type="dxa"/>
            <w:tcMar>
              <w:left w:w="108" w:type="dxa"/>
              <w:right w:w="108" w:type="dxa"/>
            </w:tcMar>
          </w:tcPr>
          <w:p w14:paraId="1DD316C9" w14:textId="0ED2C063" w:rsidR="007A19B4" w:rsidRPr="00E076EA" w:rsidRDefault="002B376B" w:rsidP="005363A0">
            <w:pPr>
              <w:pStyle w:val="TableTextLeft"/>
            </w:pPr>
            <w:r w:rsidRPr="00E076EA">
              <w:rPr>
                <w:b/>
                <w:bCs/>
              </w:rPr>
              <w:t xml:space="preserve">1.3 </w:t>
            </w:r>
            <w:r w:rsidR="00C27DF0" w:rsidRPr="00E076EA">
              <w:rPr>
                <w:b/>
                <w:bCs/>
              </w:rPr>
              <w:t>SES performance agreements</w:t>
            </w:r>
            <w:r w:rsidR="00C27DF0" w:rsidRPr="00E076EA">
              <w:t xml:space="preserve">: </w:t>
            </w:r>
            <w:r w:rsidR="007A19B4" w:rsidRPr="00E076EA">
              <w:t>Formalise the role of senior leaders in championing evaluation.</w:t>
            </w:r>
          </w:p>
        </w:tc>
        <w:tc>
          <w:tcPr>
            <w:tcW w:w="1033" w:type="dxa"/>
            <w:tcMar>
              <w:left w:w="108" w:type="dxa"/>
              <w:right w:w="108" w:type="dxa"/>
            </w:tcMar>
          </w:tcPr>
          <w:p w14:paraId="461DE0E8" w14:textId="77777777" w:rsidR="007A19B4" w:rsidRPr="00E076EA" w:rsidRDefault="007A19B4" w:rsidP="005363A0">
            <w:pPr>
              <w:pStyle w:val="TableTextLeft"/>
            </w:pPr>
            <w:r w:rsidRPr="00E076EA">
              <w:t>Individual entities</w:t>
            </w:r>
          </w:p>
        </w:tc>
        <w:tc>
          <w:tcPr>
            <w:tcW w:w="943" w:type="dxa"/>
            <w:tcMar>
              <w:left w:w="108" w:type="dxa"/>
              <w:right w:w="108" w:type="dxa"/>
            </w:tcMar>
          </w:tcPr>
          <w:p w14:paraId="0349ED7D" w14:textId="77777777" w:rsidR="007A19B4" w:rsidRPr="00E076EA" w:rsidRDefault="007A19B4" w:rsidP="005363A0">
            <w:pPr>
              <w:pStyle w:val="TableTextLeft"/>
            </w:pPr>
            <w:r w:rsidRPr="00E076EA">
              <w:t>From 2026</w:t>
            </w:r>
          </w:p>
        </w:tc>
        <w:tc>
          <w:tcPr>
            <w:tcW w:w="3633" w:type="dxa"/>
            <w:tcMar>
              <w:left w:w="108" w:type="dxa"/>
              <w:right w:w="108" w:type="dxa"/>
            </w:tcMar>
          </w:tcPr>
          <w:p w14:paraId="462899A5" w14:textId="08D7A85B" w:rsidR="007A19B4" w:rsidRPr="00E076EA" w:rsidRDefault="007A19B4" w:rsidP="005363A0">
            <w:pPr>
              <w:pStyle w:val="TableTextLeft"/>
            </w:pPr>
            <w:r w:rsidRPr="00E076EA">
              <w:t>* Evaluation</w:t>
            </w:r>
            <w:r w:rsidRPr="00E076EA">
              <w:noBreakHyphen/>
              <w:t>related performance targets included in SES performance agreements where appropriate.</w:t>
            </w:r>
          </w:p>
        </w:tc>
      </w:tr>
      <w:tr w:rsidR="007A19B4" w:rsidRPr="00E076EA" w14:paraId="22FDEFB1" w14:textId="77777777" w:rsidTr="00D545FF">
        <w:trPr>
          <w:trHeight w:val="2076"/>
        </w:trPr>
        <w:tc>
          <w:tcPr>
            <w:tcW w:w="3407" w:type="dxa"/>
            <w:tcMar>
              <w:left w:w="108" w:type="dxa"/>
              <w:right w:w="108" w:type="dxa"/>
            </w:tcMar>
          </w:tcPr>
          <w:p w14:paraId="1452F364" w14:textId="65E37D90" w:rsidR="007A19B4" w:rsidRPr="00E076EA" w:rsidRDefault="002B376B" w:rsidP="005363A0">
            <w:pPr>
              <w:pStyle w:val="TableTextLeft"/>
            </w:pPr>
            <w:r w:rsidRPr="00E076EA">
              <w:rPr>
                <w:b/>
                <w:bCs/>
              </w:rPr>
              <w:t xml:space="preserve">1.4 </w:t>
            </w:r>
            <w:r w:rsidR="005712EF" w:rsidRPr="00E076EA">
              <w:rPr>
                <w:b/>
              </w:rPr>
              <w:t xml:space="preserve">Ethics and cultural </w:t>
            </w:r>
            <w:r w:rsidR="005712EF" w:rsidRPr="00E076EA">
              <w:rPr>
                <w:b/>
                <w:bCs/>
              </w:rPr>
              <w:t>safet</w:t>
            </w:r>
            <w:r w:rsidR="008671BC" w:rsidRPr="00E076EA">
              <w:rPr>
                <w:b/>
                <w:bCs/>
              </w:rPr>
              <w:t>y</w:t>
            </w:r>
            <w:r w:rsidR="008671BC" w:rsidRPr="00E076EA">
              <w:t>:</w:t>
            </w:r>
            <w:r w:rsidR="005712EF" w:rsidRPr="00E076EA">
              <w:t xml:space="preserve"> </w:t>
            </w:r>
            <w:r w:rsidR="009C3020" w:rsidRPr="00E076EA">
              <w:t xml:space="preserve">Develop and implement processes to ensure that evaluations are </w:t>
            </w:r>
            <w:r w:rsidR="00053376" w:rsidRPr="00E076EA">
              <w:t xml:space="preserve">(a) </w:t>
            </w:r>
            <w:r w:rsidR="009C3020" w:rsidRPr="00E076EA">
              <w:t xml:space="preserve">culturally safe and </w:t>
            </w:r>
            <w:r w:rsidR="00053376" w:rsidRPr="00E076EA">
              <w:t xml:space="preserve">(b) </w:t>
            </w:r>
            <w:r w:rsidR="009C3020" w:rsidRPr="00E076EA">
              <w:t xml:space="preserve">subject to appropriate ethical review, consistent with the National Statement on Ethical Conduct in Human Research. </w:t>
            </w:r>
          </w:p>
        </w:tc>
        <w:tc>
          <w:tcPr>
            <w:tcW w:w="1033" w:type="dxa"/>
            <w:tcMar>
              <w:left w:w="108" w:type="dxa"/>
              <w:right w:w="108" w:type="dxa"/>
            </w:tcMar>
          </w:tcPr>
          <w:p w14:paraId="4D4FF2E8" w14:textId="77777777" w:rsidR="007A19B4" w:rsidRPr="00E076EA" w:rsidRDefault="007A19B4" w:rsidP="005363A0">
            <w:pPr>
              <w:pStyle w:val="TableTextLeft"/>
            </w:pPr>
            <w:r w:rsidRPr="00E076EA">
              <w:t>Individual entities &amp; ACE</w:t>
            </w:r>
          </w:p>
        </w:tc>
        <w:tc>
          <w:tcPr>
            <w:tcW w:w="943" w:type="dxa"/>
            <w:tcMar>
              <w:left w:w="108" w:type="dxa"/>
              <w:right w:w="108" w:type="dxa"/>
            </w:tcMar>
          </w:tcPr>
          <w:p w14:paraId="0F26953C" w14:textId="77777777" w:rsidR="007A19B4" w:rsidRPr="00E076EA" w:rsidRDefault="007A19B4" w:rsidP="005363A0">
            <w:pPr>
              <w:pStyle w:val="TableTextLeft"/>
            </w:pPr>
            <w:r w:rsidRPr="00E076EA">
              <w:t>From 2026</w:t>
            </w:r>
          </w:p>
        </w:tc>
        <w:tc>
          <w:tcPr>
            <w:tcW w:w="3633" w:type="dxa"/>
            <w:tcMar>
              <w:left w:w="108" w:type="dxa"/>
              <w:right w:w="108" w:type="dxa"/>
            </w:tcMar>
          </w:tcPr>
          <w:p w14:paraId="5637E84D" w14:textId="63ED28B5" w:rsidR="007A19B4" w:rsidRPr="00E076EA" w:rsidRDefault="007A19B4" w:rsidP="005363A0">
            <w:pPr>
              <w:pStyle w:val="TableTextLeft"/>
            </w:pPr>
            <w:r w:rsidRPr="00E076EA">
              <w:t xml:space="preserve">* </w:t>
            </w:r>
            <w:r w:rsidR="00763E81" w:rsidRPr="00E076EA">
              <w:t>Cultural safety integrated into e</w:t>
            </w:r>
            <w:r w:rsidRPr="00E076EA">
              <w:t>valuation planning, procurement and quality review processes.</w:t>
            </w:r>
          </w:p>
          <w:p w14:paraId="64A27A3E" w14:textId="3909C327" w:rsidR="007A19B4" w:rsidRPr="00E076EA" w:rsidRDefault="007A19B4" w:rsidP="005363A0">
            <w:pPr>
              <w:pStyle w:val="TableTextLeft"/>
            </w:pPr>
            <w:r w:rsidRPr="00E076EA">
              <w:t>*</w:t>
            </w:r>
            <w:r w:rsidR="006C2CF7" w:rsidRPr="00E076EA">
              <w:t xml:space="preserve"> </w:t>
            </w:r>
            <w:r w:rsidRPr="00E076EA">
              <w:t>Staff responsible for evaluation trained in culturally safe evaluation practice.</w:t>
            </w:r>
          </w:p>
          <w:p w14:paraId="39D7B315" w14:textId="34E82112" w:rsidR="007A19B4" w:rsidRPr="00E076EA" w:rsidRDefault="007A19B4" w:rsidP="005363A0">
            <w:pPr>
              <w:pStyle w:val="TableTextLeft"/>
            </w:pPr>
            <w:r w:rsidRPr="00E076EA">
              <w:t>* Entities have a procedure in place for ethics review and submit evaluation plans for ethics review</w:t>
            </w:r>
            <w:r w:rsidR="00F07D65" w:rsidRPr="00E076EA">
              <w:t xml:space="preserve"> where required</w:t>
            </w:r>
            <w:r w:rsidRPr="00E076EA">
              <w:t>.</w:t>
            </w:r>
          </w:p>
        </w:tc>
      </w:tr>
    </w:tbl>
    <w:p w14:paraId="7C51AED3" w14:textId="77777777" w:rsidR="00846037" w:rsidRPr="00846037" w:rsidRDefault="00846037" w:rsidP="00846037">
      <w:r>
        <w:rPr>
          <w:rStyle w:val="Strong"/>
        </w:rPr>
        <w:br w:type="page"/>
      </w:r>
    </w:p>
    <w:p w14:paraId="286003AC" w14:textId="5E1943C2" w:rsidR="00FB0248" w:rsidRPr="004E7686" w:rsidRDefault="00FB0248" w:rsidP="00BF05AC">
      <w:pPr>
        <w:pStyle w:val="Heading2"/>
      </w:pPr>
      <w:bookmarkStart w:id="23" w:name="3.2._Evaluation_capability_"/>
      <w:bookmarkStart w:id="24" w:name="_Toc207875563"/>
      <w:bookmarkStart w:id="25" w:name="_Toc211837401"/>
      <w:bookmarkEnd w:id="23"/>
      <w:r w:rsidRPr="004E7686">
        <w:lastRenderedPageBreak/>
        <w:t xml:space="preserve">Priority </w:t>
      </w:r>
      <w:r w:rsidR="00243E17">
        <w:t>2</w:t>
      </w:r>
      <w:r w:rsidRPr="004E7686">
        <w:t>: Evaluation capability</w:t>
      </w:r>
      <w:bookmarkEnd w:id="24"/>
      <w:bookmarkEnd w:id="25"/>
    </w:p>
    <w:p w14:paraId="0021B5A6" w14:textId="6F70E175" w:rsidR="00C64C9C" w:rsidRDefault="00FB0248" w:rsidP="00FB0248">
      <w:r w:rsidRPr="003E1485">
        <w:t xml:space="preserve">This </w:t>
      </w:r>
      <w:r>
        <w:t>priority</w:t>
      </w:r>
      <w:r w:rsidRPr="003E1485">
        <w:t xml:space="preserve"> is dedicated to investing in the development of evaluation skills across all staff</w:t>
      </w:r>
      <w:r w:rsidR="00B92CB7">
        <w:t>,</w:t>
      </w:r>
      <w:r w:rsidR="0000668D">
        <w:t xml:space="preserve"> commensurate with their role</w:t>
      </w:r>
      <w:r w:rsidRPr="003E1485">
        <w:t>.</w:t>
      </w:r>
      <w:r w:rsidR="00DD0405">
        <w:t xml:space="preserve"> </w:t>
      </w:r>
      <w:r w:rsidR="00275F48">
        <w:t xml:space="preserve">A series of actions to strengthen evaluation capability are already planned or underway, </w:t>
      </w:r>
      <w:r w:rsidR="00E100C1">
        <w:t>via</w:t>
      </w:r>
      <w:r w:rsidR="00275F48">
        <w:t xml:space="preserve"> t</w:t>
      </w:r>
      <w:r w:rsidR="00835BE9">
        <w:t>he Australian Centre for Evaluation, the Commonwealth Evaluation Reference Group</w:t>
      </w:r>
      <w:r w:rsidR="00275F48">
        <w:t xml:space="preserve">, the APS Commission, and </w:t>
      </w:r>
      <w:r w:rsidR="00835BE9">
        <w:t>the Evaluation Profession</w:t>
      </w:r>
      <w:r w:rsidR="00FB1FCA">
        <w:t>.</w:t>
      </w:r>
      <w:r w:rsidR="00275F48">
        <w:t xml:space="preserve"> These actions include delivery of foundational and specialised training (</w:t>
      </w:r>
      <w:r w:rsidR="00FB60F1">
        <w:t xml:space="preserve">delivered </w:t>
      </w:r>
      <w:r w:rsidR="00275F48">
        <w:t xml:space="preserve">in person </w:t>
      </w:r>
      <w:r w:rsidR="00FB60F1">
        <w:t xml:space="preserve">or </w:t>
      </w:r>
      <w:r w:rsidR="00275F48">
        <w:t xml:space="preserve">through online </w:t>
      </w:r>
      <w:r w:rsidR="00024F86">
        <w:t xml:space="preserve">modules or videos), </w:t>
      </w:r>
      <w:r w:rsidR="0058532A">
        <w:t>a</w:t>
      </w:r>
      <w:r w:rsidR="00264D8B">
        <w:t> </w:t>
      </w:r>
      <w:r w:rsidR="0058532A">
        <w:t>train</w:t>
      </w:r>
      <w:r w:rsidR="00E076EA">
        <w:noBreakHyphen/>
      </w:r>
      <w:r w:rsidR="0058532A">
        <w:t>the</w:t>
      </w:r>
      <w:r w:rsidR="00E076EA">
        <w:noBreakHyphen/>
      </w:r>
      <w:r w:rsidR="0058532A">
        <w:t>trainer model</w:t>
      </w:r>
      <w:r w:rsidR="00FB60F1">
        <w:t xml:space="preserve">, </w:t>
      </w:r>
      <w:r w:rsidR="005254ED">
        <w:t>professional networks and communities of practice,</w:t>
      </w:r>
      <w:r w:rsidR="00FB60F1">
        <w:t xml:space="preserve"> and </w:t>
      </w:r>
      <w:r w:rsidR="008A491C">
        <w:t>tools and resources to support evaluation.</w:t>
      </w:r>
      <w:r w:rsidR="00881735" w:rsidRPr="000E7655">
        <w:rPr>
          <w:rStyle w:val="FootnoteReference"/>
          <w:vertAlign w:val="superscript"/>
        </w:rPr>
        <w:footnoteReference w:id="3"/>
      </w:r>
      <w:r w:rsidR="008A491C">
        <w:t xml:space="preserve"> </w:t>
      </w:r>
      <w:r w:rsidR="006B124A">
        <w:t xml:space="preserve">Consequently, </w:t>
      </w:r>
      <w:r w:rsidR="00040D28">
        <w:t xml:space="preserve">the </w:t>
      </w:r>
      <w:r w:rsidR="006B124A">
        <w:t>actions proposed under this priority</w:t>
      </w:r>
      <w:r w:rsidR="00FC642B">
        <w:t xml:space="preserve"> commit to embedding</w:t>
      </w:r>
      <w:r w:rsidR="004F3DDD">
        <w:t xml:space="preserve"> and promoting</w:t>
      </w:r>
      <w:r w:rsidR="00FC642B">
        <w:t xml:space="preserve"> </w:t>
      </w:r>
      <w:r w:rsidR="00976378">
        <w:t>existing initiatives</w:t>
      </w:r>
      <w:r w:rsidR="004F3DDD">
        <w:t xml:space="preserve"> to build evaluation capability across the service</w:t>
      </w:r>
      <w:r w:rsidR="006B124A">
        <w:t>.</w:t>
      </w:r>
    </w:p>
    <w:p w14:paraId="6BC01BC7" w14:textId="11DD4BEE" w:rsidR="00467E07" w:rsidRDefault="004C04C1" w:rsidP="000C001E">
      <w:r>
        <w:rPr>
          <w:rStyle w:val="Strong"/>
        </w:rPr>
        <w:t xml:space="preserve">Vision for </w:t>
      </w:r>
      <w:r w:rsidR="00FB0248" w:rsidRPr="007A5115">
        <w:rPr>
          <w:rStyle w:val="Strong"/>
        </w:rPr>
        <w:t>2030:</w:t>
      </w:r>
      <w:r w:rsidR="00FB0248" w:rsidRPr="003E1485">
        <w:t xml:space="preserve"> </w:t>
      </w:r>
      <w:r w:rsidR="007300E5">
        <w:t xml:space="preserve">Staff at all levels across the APS have a foundational knowledge of evaluation and its importance for the design, delivery and ongoing improvement of policies, programs and services. </w:t>
      </w:r>
      <w:r w:rsidR="00FB0248" w:rsidRPr="003E1485">
        <w:t>The APS has a</w:t>
      </w:r>
      <w:r w:rsidR="00FB0248">
        <w:t xml:space="preserve"> well</w:t>
      </w:r>
      <w:r w:rsidR="00E076EA">
        <w:noBreakHyphen/>
      </w:r>
      <w:r w:rsidR="00FB0248">
        <w:t xml:space="preserve">established </w:t>
      </w:r>
      <w:r w:rsidR="00FB0248" w:rsidRPr="003E1485">
        <w:t>Evaluation Profession</w:t>
      </w:r>
      <w:r w:rsidR="00FB0248">
        <w:t>,</w:t>
      </w:r>
      <w:r w:rsidR="00FB0248" w:rsidRPr="003E1485">
        <w:t xml:space="preserve"> with </w:t>
      </w:r>
      <w:r w:rsidR="00FB0248">
        <w:t xml:space="preserve">membership across the APS at all levels, with </w:t>
      </w:r>
      <w:r w:rsidR="00FB0248" w:rsidRPr="003E1485">
        <w:t xml:space="preserve">the expertise to design, </w:t>
      </w:r>
      <w:r w:rsidR="00A552CD">
        <w:t>commission</w:t>
      </w:r>
      <w:r w:rsidR="00FB0248" w:rsidRPr="003E1485">
        <w:t xml:space="preserve">, deliver </w:t>
      </w:r>
      <w:r w:rsidR="00A50918">
        <w:t>and use</w:t>
      </w:r>
      <w:r w:rsidR="00FB0248" w:rsidRPr="003E1485">
        <w:t xml:space="preserve"> high</w:t>
      </w:r>
      <w:r w:rsidR="00E076EA">
        <w:noBreakHyphen/>
      </w:r>
      <w:r w:rsidR="00FB0248" w:rsidRPr="003E1485">
        <w:t>quality</w:t>
      </w:r>
      <w:r w:rsidR="00666FA2">
        <w:t>, fit</w:t>
      </w:r>
      <w:r w:rsidR="00E076EA">
        <w:noBreakHyphen/>
      </w:r>
      <w:r w:rsidR="00666FA2">
        <w:t>for</w:t>
      </w:r>
      <w:r w:rsidR="00E076EA">
        <w:noBreakHyphen/>
      </w:r>
      <w:r w:rsidR="00666FA2">
        <w:t xml:space="preserve">purpose </w:t>
      </w:r>
      <w:r w:rsidR="00FB0248" w:rsidRPr="003E1485">
        <w:t>evaluations</w:t>
      </w:r>
      <w:r w:rsidR="00F7352B">
        <w:t xml:space="preserve">. </w:t>
      </w:r>
      <w:bookmarkStart w:id="26" w:name="_Toc207875564"/>
    </w:p>
    <w:p w14:paraId="4B027F2B" w14:textId="1D19CEC1" w:rsidR="000C001E" w:rsidRPr="003559AB" w:rsidRDefault="00987AE2" w:rsidP="00264D8B">
      <w:pPr>
        <w:pStyle w:val="TableMainHeading"/>
      </w:pPr>
      <w:r>
        <w:t>A</w:t>
      </w:r>
      <w:r w:rsidR="007A19B4">
        <w:t>ction</w:t>
      </w:r>
      <w:r w:rsidR="006C2CF7">
        <w:t xml:space="preserve">s already planned or underway </w:t>
      </w:r>
      <w:r>
        <w:t>– e</w:t>
      </w:r>
      <w:r w:rsidRPr="00987AE2">
        <w:t>valuation capability</w:t>
      </w:r>
    </w:p>
    <w:tbl>
      <w:tblPr>
        <w:tblW w:w="5000" w:type="pct"/>
        <w:tblInd w:w="-10" w:type="dxa"/>
        <w:tblBorders>
          <w:top w:val="single" w:sz="8" w:space="0" w:color="2C384A" w:themeColor="accent1"/>
          <w:left w:val="single" w:sz="8" w:space="0" w:color="2C384A" w:themeColor="accent1"/>
          <w:bottom w:val="single" w:sz="8" w:space="0" w:color="2C384A" w:themeColor="accent1"/>
          <w:right w:val="single" w:sz="8" w:space="0" w:color="2C384A" w:themeColor="accent1"/>
          <w:insideH w:val="single" w:sz="8" w:space="0" w:color="2C384A" w:themeColor="accent1"/>
          <w:insideV w:val="single" w:sz="8" w:space="0" w:color="2C384A" w:themeColor="accent1"/>
        </w:tblBorders>
        <w:tblLayout w:type="fixed"/>
        <w:tblLook w:val="01E0" w:firstRow="1" w:lastRow="1" w:firstColumn="1" w:lastColumn="1" w:noHBand="0" w:noVBand="0"/>
      </w:tblPr>
      <w:tblGrid>
        <w:gridCol w:w="3545"/>
        <w:gridCol w:w="1275"/>
        <w:gridCol w:w="995"/>
        <w:gridCol w:w="3237"/>
      </w:tblGrid>
      <w:tr w:rsidR="008538C9" w:rsidRPr="00E076EA" w14:paraId="0ED075C5" w14:textId="77777777" w:rsidTr="00D545FF">
        <w:trPr>
          <w:trHeight w:val="414"/>
          <w:tblHeader/>
        </w:trPr>
        <w:tc>
          <w:tcPr>
            <w:tcW w:w="3549" w:type="dxa"/>
            <w:shd w:val="clear" w:color="auto" w:fill="2C384A" w:themeFill="accent1"/>
          </w:tcPr>
          <w:p w14:paraId="6800127C" w14:textId="4B8EA90F" w:rsidR="008538C9" w:rsidRPr="00E076EA" w:rsidRDefault="00935997" w:rsidP="00264D8B">
            <w:pPr>
              <w:pStyle w:val="TableColumnHeadingLeft"/>
              <w:rPr>
                <w:color w:val="FFFFFF" w:themeColor="background1"/>
              </w:rPr>
            </w:pPr>
            <w:r w:rsidRPr="00E076EA">
              <w:rPr>
                <w:color w:val="FFFFFF" w:themeColor="background1"/>
              </w:rPr>
              <w:t xml:space="preserve">Existing </w:t>
            </w:r>
            <w:r w:rsidR="008538C9" w:rsidRPr="00E076EA">
              <w:rPr>
                <w:color w:val="FFFFFF" w:themeColor="background1"/>
              </w:rPr>
              <w:t>Action</w:t>
            </w:r>
          </w:p>
        </w:tc>
        <w:tc>
          <w:tcPr>
            <w:tcW w:w="1276" w:type="dxa"/>
            <w:shd w:val="clear" w:color="auto" w:fill="2C384A" w:themeFill="accent1"/>
          </w:tcPr>
          <w:p w14:paraId="65D20CBD" w14:textId="77777777" w:rsidR="008538C9" w:rsidRPr="00E076EA" w:rsidRDefault="008538C9" w:rsidP="00264D8B">
            <w:pPr>
              <w:pStyle w:val="TableColumnHeadingLeft"/>
              <w:rPr>
                <w:color w:val="FFFFFF" w:themeColor="background1"/>
              </w:rPr>
            </w:pPr>
            <w:r w:rsidRPr="00E076EA">
              <w:rPr>
                <w:color w:val="FFFFFF" w:themeColor="background1"/>
              </w:rPr>
              <w:t>Lead</w:t>
            </w:r>
          </w:p>
        </w:tc>
        <w:tc>
          <w:tcPr>
            <w:tcW w:w="996" w:type="dxa"/>
            <w:shd w:val="clear" w:color="auto" w:fill="2C384A" w:themeFill="accent1"/>
          </w:tcPr>
          <w:p w14:paraId="463FABDE" w14:textId="77777777" w:rsidR="008538C9" w:rsidRPr="00E076EA" w:rsidRDefault="008538C9" w:rsidP="00264D8B">
            <w:pPr>
              <w:pStyle w:val="TableColumnHeadingLeft"/>
              <w:rPr>
                <w:color w:val="FFFFFF" w:themeColor="background1"/>
              </w:rPr>
            </w:pPr>
            <w:r w:rsidRPr="00E076EA">
              <w:rPr>
                <w:color w:val="FFFFFF" w:themeColor="background1"/>
              </w:rPr>
              <w:t>Timeline</w:t>
            </w:r>
          </w:p>
        </w:tc>
        <w:tc>
          <w:tcPr>
            <w:tcW w:w="3241" w:type="dxa"/>
            <w:shd w:val="clear" w:color="auto" w:fill="2C384A" w:themeFill="accent1"/>
          </w:tcPr>
          <w:p w14:paraId="13B12B22" w14:textId="77777777" w:rsidR="008538C9" w:rsidRPr="00E076EA" w:rsidRDefault="008538C9" w:rsidP="00264D8B">
            <w:pPr>
              <w:pStyle w:val="TableColumnHeadingLeft"/>
              <w:rPr>
                <w:color w:val="FFFFFF" w:themeColor="background1"/>
              </w:rPr>
            </w:pPr>
            <w:r w:rsidRPr="00E076EA">
              <w:rPr>
                <w:color w:val="FFFFFF" w:themeColor="background1"/>
              </w:rPr>
              <w:t>Outputs</w:t>
            </w:r>
          </w:p>
        </w:tc>
      </w:tr>
      <w:tr w:rsidR="008538C9" w:rsidRPr="00E076EA" w14:paraId="1594B2D0" w14:textId="77777777" w:rsidTr="00D545FF">
        <w:trPr>
          <w:trHeight w:val="954"/>
        </w:trPr>
        <w:tc>
          <w:tcPr>
            <w:tcW w:w="3549" w:type="dxa"/>
          </w:tcPr>
          <w:p w14:paraId="12AB555E" w14:textId="16D28197" w:rsidR="008538C9" w:rsidRPr="00E076EA" w:rsidRDefault="008B4A3E" w:rsidP="00264D8B">
            <w:pPr>
              <w:pStyle w:val="TableTextLeft"/>
            </w:pPr>
            <w:r w:rsidRPr="00E076EA">
              <w:rPr>
                <w:b/>
                <w:bCs/>
              </w:rPr>
              <w:t xml:space="preserve">2.1 </w:t>
            </w:r>
            <w:r w:rsidR="00C27DF0" w:rsidRPr="00E076EA">
              <w:rPr>
                <w:b/>
                <w:bCs/>
              </w:rPr>
              <w:t>Foundational training</w:t>
            </w:r>
            <w:r w:rsidR="00C27DF0" w:rsidRPr="00E076EA">
              <w:t xml:space="preserve">: </w:t>
            </w:r>
            <w:r w:rsidR="008538C9" w:rsidRPr="00E076EA">
              <w:t>Develop and deliver training to build foundational evaluation skills at all levels of the APS</w:t>
            </w:r>
            <w:r w:rsidR="00743723" w:rsidRPr="00E076EA">
              <w:t xml:space="preserve"> and for SES regarding their role as evaluation commissioners and champions</w:t>
            </w:r>
            <w:r w:rsidR="00AA6058" w:rsidRPr="00E076EA">
              <w:t>.</w:t>
            </w:r>
          </w:p>
        </w:tc>
        <w:tc>
          <w:tcPr>
            <w:tcW w:w="1276" w:type="dxa"/>
          </w:tcPr>
          <w:p w14:paraId="51F6AF6B" w14:textId="77777777" w:rsidR="008538C9" w:rsidRPr="00E076EA" w:rsidRDefault="008538C9" w:rsidP="00264D8B">
            <w:pPr>
              <w:pStyle w:val="TableTextLeft"/>
            </w:pPr>
            <w:r w:rsidRPr="00E076EA">
              <w:t>ACE &amp; APSC</w:t>
            </w:r>
          </w:p>
        </w:tc>
        <w:tc>
          <w:tcPr>
            <w:tcW w:w="996" w:type="dxa"/>
          </w:tcPr>
          <w:p w14:paraId="7FB48584" w14:textId="03C9AEAD" w:rsidR="008538C9" w:rsidRPr="00E076EA" w:rsidRDefault="008538C9" w:rsidP="00264D8B">
            <w:pPr>
              <w:pStyle w:val="TableTextLeft"/>
            </w:pPr>
            <w:r w:rsidRPr="00E076EA">
              <w:t>From 2026</w:t>
            </w:r>
          </w:p>
        </w:tc>
        <w:tc>
          <w:tcPr>
            <w:tcW w:w="3241" w:type="dxa"/>
          </w:tcPr>
          <w:p w14:paraId="4B731D80" w14:textId="211DBB61" w:rsidR="008538C9" w:rsidRPr="00E076EA" w:rsidRDefault="008538C9" w:rsidP="00264D8B">
            <w:pPr>
              <w:pStyle w:val="TableTextLeft"/>
            </w:pPr>
            <w:r w:rsidRPr="00E076EA">
              <w:t xml:space="preserve">* </w:t>
            </w:r>
            <w:r w:rsidR="00C6102A" w:rsidRPr="00E076EA">
              <w:t>C</w:t>
            </w:r>
            <w:r w:rsidRPr="00E076EA">
              <w:t>ore training modules</w:t>
            </w:r>
            <w:r w:rsidR="00C6102A" w:rsidRPr="00E076EA">
              <w:t xml:space="preserve"> available on APS</w:t>
            </w:r>
            <w:r w:rsidR="00264D8B" w:rsidRPr="00E076EA">
              <w:t> </w:t>
            </w:r>
            <w:r w:rsidR="00C6102A" w:rsidRPr="00E076EA">
              <w:t>Learn</w:t>
            </w:r>
            <w:r w:rsidRPr="00E076EA">
              <w:t>.</w:t>
            </w:r>
          </w:p>
          <w:p w14:paraId="1A3F9DC8" w14:textId="39667254" w:rsidR="008538C9" w:rsidRPr="00E076EA" w:rsidRDefault="008538C9" w:rsidP="00264D8B">
            <w:pPr>
              <w:pStyle w:val="TableTextLeft"/>
            </w:pPr>
            <w:r w:rsidRPr="00E076EA">
              <w:t>* Training delivered for graduates, new</w:t>
            </w:r>
            <w:r w:rsidR="00264D8B" w:rsidRPr="00E076EA">
              <w:t> </w:t>
            </w:r>
            <w:r w:rsidRPr="00E076EA">
              <w:t>starters, evaluation professionals and SES.</w:t>
            </w:r>
          </w:p>
        </w:tc>
      </w:tr>
      <w:tr w:rsidR="008538C9" w:rsidRPr="00E076EA" w14:paraId="65AB13C7" w14:textId="77777777" w:rsidTr="00D545FF">
        <w:trPr>
          <w:trHeight w:val="850"/>
        </w:trPr>
        <w:tc>
          <w:tcPr>
            <w:tcW w:w="3549" w:type="dxa"/>
          </w:tcPr>
          <w:p w14:paraId="05280BF6" w14:textId="4325496F" w:rsidR="008538C9" w:rsidRPr="00E076EA" w:rsidRDefault="008B4A3E" w:rsidP="00264D8B">
            <w:pPr>
              <w:pStyle w:val="TableTextLeft"/>
            </w:pPr>
            <w:r w:rsidRPr="00E076EA">
              <w:rPr>
                <w:b/>
                <w:bCs/>
              </w:rPr>
              <w:t xml:space="preserve">2.2 </w:t>
            </w:r>
            <w:r w:rsidR="00AB3FA5" w:rsidRPr="00E076EA">
              <w:rPr>
                <w:b/>
                <w:bCs/>
              </w:rPr>
              <w:t>Evaluation trainer</w:t>
            </w:r>
            <w:r w:rsidR="00987AE2" w:rsidRPr="00E076EA">
              <w:rPr>
                <w:b/>
                <w:bCs/>
              </w:rPr>
              <w:t xml:space="preserve"> network</w:t>
            </w:r>
            <w:r w:rsidR="00987AE2" w:rsidRPr="00E076EA">
              <w:t xml:space="preserve">: </w:t>
            </w:r>
            <w:r w:rsidR="008538C9" w:rsidRPr="00E076EA">
              <w:t>Establish and grow a network of evaluation trainers across the APS to help build evaluation capabilities in all entities.</w:t>
            </w:r>
          </w:p>
        </w:tc>
        <w:tc>
          <w:tcPr>
            <w:tcW w:w="1276" w:type="dxa"/>
          </w:tcPr>
          <w:p w14:paraId="6C5F9EFA" w14:textId="12793358" w:rsidR="008538C9" w:rsidRPr="00E076EA" w:rsidRDefault="008538C9" w:rsidP="00264D8B">
            <w:pPr>
              <w:pStyle w:val="TableTextLeft"/>
            </w:pPr>
            <w:r w:rsidRPr="00E076EA">
              <w:t>ACE &amp; individual entities</w:t>
            </w:r>
          </w:p>
        </w:tc>
        <w:tc>
          <w:tcPr>
            <w:tcW w:w="996" w:type="dxa"/>
          </w:tcPr>
          <w:p w14:paraId="2B62C905" w14:textId="77777777" w:rsidR="008538C9" w:rsidRPr="00E076EA" w:rsidRDefault="008538C9" w:rsidP="00264D8B">
            <w:pPr>
              <w:pStyle w:val="TableTextLeft"/>
            </w:pPr>
            <w:r w:rsidRPr="00E076EA">
              <w:t xml:space="preserve">From 2026 </w:t>
            </w:r>
          </w:p>
        </w:tc>
        <w:tc>
          <w:tcPr>
            <w:tcW w:w="3241" w:type="dxa"/>
          </w:tcPr>
          <w:p w14:paraId="07C68363" w14:textId="5138EB9A" w:rsidR="008538C9" w:rsidRPr="00E076EA" w:rsidRDefault="008538C9" w:rsidP="00264D8B">
            <w:pPr>
              <w:pStyle w:val="TableTextLeft"/>
            </w:pPr>
            <w:r w:rsidRPr="00E076EA">
              <w:t>* Network of evaluation trainers established</w:t>
            </w:r>
          </w:p>
        </w:tc>
      </w:tr>
      <w:tr w:rsidR="008538C9" w:rsidRPr="00E076EA" w14:paraId="49E72941" w14:textId="77777777" w:rsidTr="00D545FF">
        <w:trPr>
          <w:trHeight w:val="850"/>
        </w:trPr>
        <w:tc>
          <w:tcPr>
            <w:tcW w:w="3549" w:type="dxa"/>
          </w:tcPr>
          <w:p w14:paraId="1CF78B14" w14:textId="05394CF1" w:rsidR="008538C9" w:rsidRPr="00E076EA" w:rsidRDefault="008B4A3E" w:rsidP="00264D8B">
            <w:pPr>
              <w:pStyle w:val="TableTextLeft"/>
            </w:pPr>
            <w:r w:rsidRPr="00E076EA">
              <w:rPr>
                <w:b/>
                <w:bCs/>
              </w:rPr>
              <w:t xml:space="preserve">2.3 </w:t>
            </w:r>
            <w:r w:rsidR="00987AE2" w:rsidRPr="00E076EA">
              <w:rPr>
                <w:b/>
                <w:bCs/>
              </w:rPr>
              <w:t>Specialist training</w:t>
            </w:r>
            <w:r w:rsidR="00987AE2" w:rsidRPr="00E076EA">
              <w:t xml:space="preserve">: </w:t>
            </w:r>
            <w:r w:rsidR="00014E3F" w:rsidRPr="00E076EA">
              <w:t xml:space="preserve">Develop and deliver </w:t>
            </w:r>
            <w:r w:rsidR="008538C9" w:rsidRPr="00E076EA">
              <w:t>training to build expertise in specific technical areas of evaluation.</w:t>
            </w:r>
          </w:p>
        </w:tc>
        <w:tc>
          <w:tcPr>
            <w:tcW w:w="1276" w:type="dxa"/>
          </w:tcPr>
          <w:p w14:paraId="5F9F338A" w14:textId="77777777" w:rsidR="008538C9" w:rsidRPr="00E076EA" w:rsidRDefault="008538C9" w:rsidP="00264D8B">
            <w:pPr>
              <w:pStyle w:val="TableTextLeft"/>
            </w:pPr>
            <w:r w:rsidRPr="00E076EA">
              <w:t>ACE &amp; experts</w:t>
            </w:r>
          </w:p>
        </w:tc>
        <w:tc>
          <w:tcPr>
            <w:tcW w:w="996" w:type="dxa"/>
          </w:tcPr>
          <w:p w14:paraId="79891497" w14:textId="77777777" w:rsidR="008538C9" w:rsidRPr="00E076EA" w:rsidRDefault="008538C9" w:rsidP="00264D8B">
            <w:pPr>
              <w:pStyle w:val="TableTextLeft"/>
            </w:pPr>
            <w:r w:rsidRPr="00E076EA">
              <w:t>From 2026</w:t>
            </w:r>
          </w:p>
        </w:tc>
        <w:tc>
          <w:tcPr>
            <w:tcW w:w="3241" w:type="dxa"/>
          </w:tcPr>
          <w:p w14:paraId="1AE7CE6F" w14:textId="55BA0D82" w:rsidR="008538C9" w:rsidRPr="00E076EA" w:rsidRDefault="008538C9" w:rsidP="00264D8B">
            <w:pPr>
              <w:pStyle w:val="TableTextLeft"/>
            </w:pPr>
            <w:r w:rsidRPr="00E076EA">
              <w:t xml:space="preserve">* Specialised training courses developed and delivered </w:t>
            </w:r>
            <w:r w:rsidR="00DA6D8D" w:rsidRPr="00E076EA">
              <w:t>regularly</w:t>
            </w:r>
            <w:r w:rsidRPr="00E076EA">
              <w:t>.</w:t>
            </w:r>
          </w:p>
        </w:tc>
      </w:tr>
    </w:tbl>
    <w:p w14:paraId="57F2ED40" w14:textId="4D6712E0" w:rsidR="00FB0248" w:rsidRPr="004E7686" w:rsidRDefault="00FB0248" w:rsidP="00BF05AC">
      <w:pPr>
        <w:pStyle w:val="Heading2"/>
      </w:pPr>
      <w:bookmarkStart w:id="27" w:name="_Toc211837402"/>
      <w:r w:rsidRPr="004E7686">
        <w:t xml:space="preserve">Priority </w:t>
      </w:r>
      <w:r w:rsidR="007A3995">
        <w:t>3</w:t>
      </w:r>
      <w:r w:rsidRPr="004E7686">
        <w:t>: Evaluation planning and delivery</w:t>
      </w:r>
      <w:bookmarkEnd w:id="26"/>
      <w:bookmarkEnd w:id="27"/>
    </w:p>
    <w:p w14:paraId="1D84A417" w14:textId="05143BD9" w:rsidR="00FB0248" w:rsidRDefault="00FB0248" w:rsidP="00FB0248">
      <w:r w:rsidRPr="003E1485">
        <w:t xml:space="preserve">This </w:t>
      </w:r>
      <w:r>
        <w:t>priority</w:t>
      </w:r>
      <w:r w:rsidRPr="003E1485">
        <w:t xml:space="preserve"> </w:t>
      </w:r>
      <w:r>
        <w:t>aims to</w:t>
      </w:r>
      <w:r w:rsidRPr="003E1485">
        <w:t xml:space="preserve"> </w:t>
      </w:r>
      <w:r>
        <w:t xml:space="preserve">embed </w:t>
      </w:r>
      <w:r w:rsidR="00687932">
        <w:t>high</w:t>
      </w:r>
      <w:r w:rsidR="00E076EA">
        <w:noBreakHyphen/>
      </w:r>
      <w:r>
        <w:t>quality</w:t>
      </w:r>
      <w:r w:rsidRPr="003E1485">
        <w:t xml:space="preserve"> evaluation practices into the policy and program lifecycles, establish </w:t>
      </w:r>
      <w:r w:rsidR="008B6744">
        <w:t xml:space="preserve">guidelines to support </w:t>
      </w:r>
      <w:r w:rsidRPr="003E1485">
        <w:t>quality standards.</w:t>
      </w:r>
    </w:p>
    <w:p w14:paraId="3DF035EB" w14:textId="50F904C0" w:rsidR="0090017F" w:rsidRDefault="004C04C1" w:rsidP="0090017F">
      <w:r>
        <w:rPr>
          <w:rStyle w:val="Strong"/>
        </w:rPr>
        <w:t xml:space="preserve">Vision for </w:t>
      </w:r>
      <w:r w:rsidR="00FB0248" w:rsidRPr="007A5115">
        <w:rPr>
          <w:rStyle w:val="Strong"/>
        </w:rPr>
        <w:t>2030:</w:t>
      </w:r>
      <w:r w:rsidR="00FB0248" w:rsidRPr="003E1485">
        <w:t xml:space="preserve"> </w:t>
      </w:r>
      <w:r w:rsidR="00936F72" w:rsidRPr="003E1485">
        <w:t xml:space="preserve">A rigorous </w:t>
      </w:r>
      <w:r w:rsidR="000449E3">
        <w:t>and prop</w:t>
      </w:r>
      <w:r w:rsidR="00374A32">
        <w:t>ortiona</w:t>
      </w:r>
      <w:r w:rsidR="003147BB">
        <w:t>te</w:t>
      </w:r>
      <w:r w:rsidR="00374A32">
        <w:t xml:space="preserve"> </w:t>
      </w:r>
      <w:r w:rsidR="00936F72" w:rsidRPr="003E1485">
        <w:t xml:space="preserve">approach to evaluation is applied </w:t>
      </w:r>
      <w:r w:rsidR="00ED28F1">
        <w:t>to</w:t>
      </w:r>
      <w:r w:rsidR="00936F72" w:rsidRPr="003E1485">
        <w:t xml:space="preserve"> </w:t>
      </w:r>
      <w:r w:rsidR="00936F72">
        <w:t xml:space="preserve">all programs and activities </w:t>
      </w:r>
      <w:r w:rsidR="00936F72" w:rsidRPr="003E1485">
        <w:t xml:space="preserve">across government, </w:t>
      </w:r>
      <w:r w:rsidR="00ED28F1">
        <w:t>with</w:t>
      </w:r>
      <w:r w:rsidR="00424716">
        <w:t xml:space="preserve"> </w:t>
      </w:r>
      <w:r w:rsidR="00936F72" w:rsidRPr="003E1485">
        <w:t>all high</w:t>
      </w:r>
      <w:r w:rsidR="00E076EA">
        <w:noBreakHyphen/>
      </w:r>
      <w:r w:rsidR="00936F72" w:rsidRPr="003E1485">
        <w:t>value and high</w:t>
      </w:r>
      <w:r w:rsidR="00E076EA">
        <w:noBreakHyphen/>
      </w:r>
      <w:r w:rsidR="00936F72" w:rsidRPr="003E1485">
        <w:t xml:space="preserve">risk programs </w:t>
      </w:r>
      <w:r w:rsidR="00AB07EA">
        <w:t>subject to formal evaluations</w:t>
      </w:r>
      <w:r w:rsidR="002C335F">
        <w:t>. The</w:t>
      </w:r>
      <w:r w:rsidR="001E41E7">
        <w:t xml:space="preserve"> design, delivery and use of these</w:t>
      </w:r>
      <w:r w:rsidR="002C335F">
        <w:t xml:space="preserve"> evaluation</w:t>
      </w:r>
      <w:r w:rsidR="001E41E7">
        <w:t xml:space="preserve">s are </w:t>
      </w:r>
      <w:r w:rsidR="00ED28F1">
        <w:t>supported by</w:t>
      </w:r>
      <w:r w:rsidR="00936F72" w:rsidRPr="003E1485">
        <w:t xml:space="preserve"> well</w:t>
      </w:r>
      <w:r w:rsidR="00E076EA">
        <w:noBreakHyphen/>
      </w:r>
      <w:r w:rsidR="00936F72" w:rsidRPr="003E1485">
        <w:t>resourced</w:t>
      </w:r>
      <w:r w:rsidR="001E41E7">
        <w:t>,</w:t>
      </w:r>
      <w:r w:rsidR="00936F72" w:rsidRPr="003E1485">
        <w:t xml:space="preserve"> </w:t>
      </w:r>
      <w:r w:rsidR="00936F72">
        <w:t>in</w:t>
      </w:r>
      <w:r w:rsidR="00E076EA">
        <w:noBreakHyphen/>
      </w:r>
      <w:r w:rsidR="00936F72">
        <w:t xml:space="preserve">house evaluation </w:t>
      </w:r>
      <w:r w:rsidR="00936F72" w:rsidRPr="003E1485">
        <w:t>teams</w:t>
      </w:r>
      <w:r w:rsidR="00263F54">
        <w:t xml:space="preserve"> </w:t>
      </w:r>
      <w:r w:rsidR="00ED28F1">
        <w:t xml:space="preserve">working in partnership with </w:t>
      </w:r>
      <w:r w:rsidR="00FB4AF1">
        <w:t>relevant experts</w:t>
      </w:r>
      <w:r w:rsidR="00842A2F">
        <w:t xml:space="preserve">. </w:t>
      </w:r>
      <w:r w:rsidR="00B544F1">
        <w:t xml:space="preserve">Evaluations </w:t>
      </w:r>
      <w:r w:rsidR="00FD7DCC">
        <w:t xml:space="preserve">consistently </w:t>
      </w:r>
      <w:r w:rsidR="00BF3919">
        <w:t>meet high standards of quality</w:t>
      </w:r>
      <w:r w:rsidR="0049085E">
        <w:t xml:space="preserve">. </w:t>
      </w:r>
      <w:proofErr w:type="gramStart"/>
      <w:r w:rsidR="0049085E">
        <w:t>I</w:t>
      </w:r>
      <w:r w:rsidR="00FD7DCC">
        <w:t xml:space="preserve">n particular, </w:t>
      </w:r>
      <w:r w:rsidR="001342BB">
        <w:t>impact</w:t>
      </w:r>
      <w:proofErr w:type="gramEnd"/>
      <w:r w:rsidR="001342BB">
        <w:t xml:space="preserve"> evaluations </w:t>
      </w:r>
      <w:r w:rsidR="002E774D">
        <w:t xml:space="preserve">provide a clear rationale for how they have established </w:t>
      </w:r>
      <w:r w:rsidR="00B42DD5">
        <w:t xml:space="preserve">a </w:t>
      </w:r>
      <w:r w:rsidR="00D631B1">
        <w:t xml:space="preserve">credible </w:t>
      </w:r>
      <w:r w:rsidR="00B42DD5">
        <w:t>counter</w:t>
      </w:r>
      <w:r w:rsidR="00E076EA">
        <w:noBreakHyphen/>
      </w:r>
      <w:r w:rsidR="00B42DD5">
        <w:t>factual</w:t>
      </w:r>
      <w:r w:rsidR="002E774D">
        <w:t xml:space="preserve"> and limitations are transparently reported.</w:t>
      </w:r>
      <w:bookmarkStart w:id="28" w:name="3.4._Evidence_and_evaluation_use_"/>
      <w:bookmarkStart w:id="29" w:name="_Toc207875565"/>
      <w:bookmarkEnd w:id="28"/>
    </w:p>
    <w:p w14:paraId="65B2E031" w14:textId="4A2EFCFC" w:rsidR="00467E07" w:rsidRPr="003559AB" w:rsidRDefault="00987AE2" w:rsidP="00264D8B">
      <w:pPr>
        <w:pStyle w:val="TableMainHeading"/>
      </w:pPr>
      <w:r>
        <w:lastRenderedPageBreak/>
        <w:t>A</w:t>
      </w:r>
      <w:r w:rsidR="0090017F">
        <w:t>ction plan</w:t>
      </w:r>
      <w:r>
        <w:t xml:space="preserve"> – e</w:t>
      </w:r>
      <w:r w:rsidRPr="00987AE2">
        <w:t>valuation planning and delivery</w:t>
      </w:r>
    </w:p>
    <w:tbl>
      <w:tblPr>
        <w:tblW w:w="5000" w:type="pct"/>
        <w:tblInd w:w="-10" w:type="dxa"/>
        <w:tblBorders>
          <w:top w:val="single" w:sz="8" w:space="0" w:color="2C384A" w:themeColor="accent1"/>
          <w:left w:val="single" w:sz="8" w:space="0" w:color="2C384A" w:themeColor="accent1"/>
          <w:bottom w:val="single" w:sz="8" w:space="0" w:color="2C384A" w:themeColor="accent1"/>
          <w:right w:val="single" w:sz="8" w:space="0" w:color="2C384A" w:themeColor="accent1"/>
          <w:insideH w:val="single" w:sz="8" w:space="0" w:color="2C384A" w:themeColor="accent1"/>
          <w:insideV w:val="single" w:sz="8" w:space="0" w:color="2C384A" w:themeColor="accent1"/>
        </w:tblBorders>
        <w:tblLayout w:type="fixed"/>
        <w:tblLook w:val="01E0" w:firstRow="1" w:lastRow="1" w:firstColumn="1" w:lastColumn="1" w:noHBand="0" w:noVBand="0"/>
      </w:tblPr>
      <w:tblGrid>
        <w:gridCol w:w="4178"/>
        <w:gridCol w:w="1087"/>
        <w:gridCol w:w="953"/>
        <w:gridCol w:w="2834"/>
      </w:tblGrid>
      <w:tr w:rsidR="008365F1" w:rsidRPr="00E076EA" w14:paraId="00ABF20E" w14:textId="77777777" w:rsidTr="00C41A0C">
        <w:trPr>
          <w:trHeight w:val="414"/>
          <w:tblHeader/>
        </w:trPr>
        <w:tc>
          <w:tcPr>
            <w:tcW w:w="4395" w:type="dxa"/>
            <w:shd w:val="clear" w:color="auto" w:fill="2C384A" w:themeFill="accent1"/>
          </w:tcPr>
          <w:p w14:paraId="321BB77F" w14:textId="789DBCBE" w:rsidR="008365F1" w:rsidRPr="00E076EA" w:rsidRDefault="008365F1" w:rsidP="00264D8B">
            <w:pPr>
              <w:pStyle w:val="TableColumnHeadingLeft"/>
              <w:rPr>
                <w:color w:val="FFFFFF" w:themeColor="background1"/>
              </w:rPr>
            </w:pPr>
            <w:r w:rsidRPr="00E076EA">
              <w:rPr>
                <w:color w:val="FFFFFF" w:themeColor="background1"/>
              </w:rPr>
              <w:t>Action</w:t>
            </w:r>
          </w:p>
        </w:tc>
        <w:tc>
          <w:tcPr>
            <w:tcW w:w="1134" w:type="dxa"/>
            <w:shd w:val="clear" w:color="auto" w:fill="2C384A" w:themeFill="accent1"/>
          </w:tcPr>
          <w:p w14:paraId="6C5B4D63" w14:textId="77777777" w:rsidR="008365F1" w:rsidRPr="00E076EA" w:rsidRDefault="008365F1" w:rsidP="00264D8B">
            <w:pPr>
              <w:pStyle w:val="TableColumnHeadingLeft"/>
              <w:rPr>
                <w:color w:val="FFFFFF" w:themeColor="background1"/>
              </w:rPr>
            </w:pPr>
            <w:r w:rsidRPr="00E076EA">
              <w:rPr>
                <w:color w:val="FFFFFF" w:themeColor="background1"/>
              </w:rPr>
              <w:t xml:space="preserve">Lead </w:t>
            </w:r>
          </w:p>
        </w:tc>
        <w:tc>
          <w:tcPr>
            <w:tcW w:w="992" w:type="dxa"/>
            <w:shd w:val="clear" w:color="auto" w:fill="2C384A" w:themeFill="accent1"/>
          </w:tcPr>
          <w:p w14:paraId="05B4CF65" w14:textId="77777777" w:rsidR="008365F1" w:rsidRPr="00E076EA" w:rsidRDefault="008365F1" w:rsidP="00264D8B">
            <w:pPr>
              <w:pStyle w:val="TableColumnHeadingLeft"/>
              <w:rPr>
                <w:color w:val="FFFFFF" w:themeColor="background1"/>
              </w:rPr>
            </w:pPr>
            <w:r w:rsidRPr="00E076EA">
              <w:rPr>
                <w:color w:val="FFFFFF" w:themeColor="background1"/>
              </w:rPr>
              <w:t>Timeline</w:t>
            </w:r>
          </w:p>
        </w:tc>
        <w:tc>
          <w:tcPr>
            <w:tcW w:w="2977" w:type="dxa"/>
            <w:shd w:val="clear" w:color="auto" w:fill="2C384A" w:themeFill="accent1"/>
          </w:tcPr>
          <w:p w14:paraId="0485160F" w14:textId="77777777" w:rsidR="008365F1" w:rsidRPr="00E076EA" w:rsidRDefault="008365F1" w:rsidP="00264D8B">
            <w:pPr>
              <w:pStyle w:val="TableColumnHeadingLeft"/>
              <w:rPr>
                <w:color w:val="FFFFFF" w:themeColor="background1"/>
              </w:rPr>
            </w:pPr>
            <w:r w:rsidRPr="00E076EA">
              <w:rPr>
                <w:color w:val="FFFFFF" w:themeColor="background1"/>
              </w:rPr>
              <w:t>Output</w:t>
            </w:r>
          </w:p>
        </w:tc>
      </w:tr>
      <w:tr w:rsidR="00021818" w:rsidRPr="00E076EA" w14:paraId="2E2B3196" w14:textId="77777777" w:rsidTr="00C41A0C">
        <w:trPr>
          <w:trHeight w:val="1112"/>
        </w:trPr>
        <w:tc>
          <w:tcPr>
            <w:tcW w:w="4395" w:type="dxa"/>
          </w:tcPr>
          <w:p w14:paraId="1569B521" w14:textId="3B47D115" w:rsidR="00021818" w:rsidRPr="00E076EA" w:rsidRDefault="002B376B" w:rsidP="00264D8B">
            <w:pPr>
              <w:pStyle w:val="TableTextLeft"/>
            </w:pPr>
            <w:r w:rsidRPr="00E076EA">
              <w:rPr>
                <w:b/>
                <w:bCs/>
              </w:rPr>
              <w:t xml:space="preserve">3.1 </w:t>
            </w:r>
            <w:r w:rsidR="00987AE2" w:rsidRPr="00E076EA">
              <w:rPr>
                <w:b/>
                <w:bCs/>
              </w:rPr>
              <w:t>Evaluation requirements</w:t>
            </w:r>
            <w:r w:rsidR="00987AE2" w:rsidRPr="00E076EA">
              <w:t xml:space="preserve">: </w:t>
            </w:r>
            <w:r w:rsidR="00021818" w:rsidRPr="00E076EA">
              <w:t>Consider stronger policy, legislative or regulatory requirements for evaluation, such as mandatory evaluation for high value/high-risk programs.</w:t>
            </w:r>
          </w:p>
        </w:tc>
        <w:tc>
          <w:tcPr>
            <w:tcW w:w="1134" w:type="dxa"/>
          </w:tcPr>
          <w:p w14:paraId="1356832A" w14:textId="77777777" w:rsidR="00021818" w:rsidRPr="00E076EA" w:rsidRDefault="00021818" w:rsidP="00264D8B">
            <w:pPr>
              <w:pStyle w:val="TableTextLeft"/>
            </w:pPr>
            <w:r w:rsidRPr="00E076EA">
              <w:t>ACE &amp; central agencies</w:t>
            </w:r>
          </w:p>
        </w:tc>
        <w:tc>
          <w:tcPr>
            <w:tcW w:w="992" w:type="dxa"/>
          </w:tcPr>
          <w:p w14:paraId="78F2A35E" w14:textId="77777777" w:rsidR="00021818" w:rsidRPr="00E076EA" w:rsidRDefault="00021818" w:rsidP="00264D8B">
            <w:pPr>
              <w:pStyle w:val="TableTextLeft"/>
            </w:pPr>
            <w:r w:rsidRPr="00E076EA">
              <w:t>From 2027</w:t>
            </w:r>
          </w:p>
        </w:tc>
        <w:tc>
          <w:tcPr>
            <w:tcW w:w="2977" w:type="dxa"/>
          </w:tcPr>
          <w:p w14:paraId="0F72476F" w14:textId="2D714B26" w:rsidR="00021818" w:rsidRPr="00E076EA" w:rsidRDefault="00021818" w:rsidP="00264D8B">
            <w:pPr>
              <w:pStyle w:val="TableTextLeft"/>
            </w:pPr>
            <w:r w:rsidRPr="00E076EA">
              <w:t>* Proposal consider</w:t>
            </w:r>
            <w:r w:rsidR="006161A8" w:rsidRPr="00E076EA">
              <w:t xml:space="preserve">ed </w:t>
            </w:r>
            <w:r w:rsidR="00E941E0" w:rsidRPr="00E076EA">
              <w:t xml:space="preserve">and a clear record of </w:t>
            </w:r>
            <w:r w:rsidR="006161A8" w:rsidRPr="00E076EA">
              <w:t>a decision taken</w:t>
            </w:r>
            <w:r w:rsidRPr="00E076EA">
              <w:t>.</w:t>
            </w:r>
          </w:p>
        </w:tc>
      </w:tr>
      <w:tr w:rsidR="008365F1" w:rsidRPr="00E076EA" w14:paraId="4A16DA0A" w14:textId="77777777" w:rsidTr="00C41A0C">
        <w:trPr>
          <w:trHeight w:val="1206"/>
        </w:trPr>
        <w:tc>
          <w:tcPr>
            <w:tcW w:w="4395" w:type="dxa"/>
          </w:tcPr>
          <w:p w14:paraId="76623505" w14:textId="73A35736" w:rsidR="008365F1" w:rsidRPr="00E076EA" w:rsidRDefault="002B376B" w:rsidP="00264D8B">
            <w:pPr>
              <w:pStyle w:val="TableTextLeft"/>
            </w:pPr>
            <w:r w:rsidRPr="00E076EA">
              <w:rPr>
                <w:b/>
                <w:bCs/>
              </w:rPr>
              <w:t xml:space="preserve">3.2 </w:t>
            </w:r>
            <w:r w:rsidR="00987AE2" w:rsidRPr="00E076EA">
              <w:rPr>
                <w:b/>
                <w:bCs/>
              </w:rPr>
              <w:t>Evaluation strategy</w:t>
            </w:r>
            <w:r w:rsidR="00987AE2" w:rsidRPr="00E076EA">
              <w:t xml:space="preserve">: </w:t>
            </w:r>
            <w:r w:rsidR="008365F1" w:rsidRPr="00E076EA">
              <w:t>Develop evaluation strategies (or similar) at the entity level, including a robust evaluation prioritisation model.</w:t>
            </w:r>
          </w:p>
        </w:tc>
        <w:tc>
          <w:tcPr>
            <w:tcW w:w="1134" w:type="dxa"/>
          </w:tcPr>
          <w:p w14:paraId="309903B8" w14:textId="77777777" w:rsidR="008365F1" w:rsidRPr="00E076EA" w:rsidRDefault="008365F1" w:rsidP="00264D8B">
            <w:pPr>
              <w:pStyle w:val="TableTextLeft"/>
            </w:pPr>
            <w:r w:rsidRPr="00E076EA">
              <w:t>Individual entities</w:t>
            </w:r>
          </w:p>
        </w:tc>
        <w:tc>
          <w:tcPr>
            <w:tcW w:w="992" w:type="dxa"/>
          </w:tcPr>
          <w:p w14:paraId="793069E7" w14:textId="50BA0166" w:rsidR="008365F1" w:rsidRPr="00E076EA" w:rsidRDefault="008365F1" w:rsidP="00264D8B">
            <w:pPr>
              <w:pStyle w:val="TableTextLeft"/>
            </w:pPr>
            <w:r w:rsidRPr="00E076EA">
              <w:t>From 2026</w:t>
            </w:r>
          </w:p>
        </w:tc>
        <w:tc>
          <w:tcPr>
            <w:tcW w:w="2977" w:type="dxa"/>
          </w:tcPr>
          <w:p w14:paraId="515BCEBC" w14:textId="77777777" w:rsidR="008365F1" w:rsidRPr="00E076EA" w:rsidRDefault="008365F1" w:rsidP="00264D8B">
            <w:pPr>
              <w:pStyle w:val="TableTextLeft"/>
            </w:pPr>
            <w:r w:rsidRPr="00E076EA">
              <w:t>* A publicly available document outlining the entity level evaluation strategy or framework and/or prioritisation model.</w:t>
            </w:r>
          </w:p>
        </w:tc>
      </w:tr>
      <w:tr w:rsidR="008365F1" w:rsidRPr="00E076EA" w14:paraId="46D4F37D" w14:textId="77777777" w:rsidTr="00C41A0C">
        <w:trPr>
          <w:trHeight w:val="580"/>
        </w:trPr>
        <w:tc>
          <w:tcPr>
            <w:tcW w:w="4395" w:type="dxa"/>
          </w:tcPr>
          <w:p w14:paraId="3FB6A66B" w14:textId="602B8B23" w:rsidR="008365F1" w:rsidRPr="00E076EA" w:rsidRDefault="002B376B" w:rsidP="00264D8B">
            <w:pPr>
              <w:pStyle w:val="TableTextLeft"/>
            </w:pPr>
            <w:r w:rsidRPr="00E076EA">
              <w:rPr>
                <w:b/>
                <w:bCs/>
              </w:rPr>
              <w:t xml:space="preserve">3.3 </w:t>
            </w:r>
            <w:r w:rsidR="00987AE2" w:rsidRPr="00E076EA">
              <w:rPr>
                <w:b/>
                <w:bCs/>
              </w:rPr>
              <w:t>In</w:t>
            </w:r>
            <w:r w:rsidR="00987AE2" w:rsidRPr="00E076EA">
              <w:rPr>
                <w:b/>
                <w:bCs/>
              </w:rPr>
              <w:noBreakHyphen/>
              <w:t>house evaluation</w:t>
            </w:r>
            <w:r w:rsidR="00987AE2" w:rsidRPr="00E076EA">
              <w:t xml:space="preserve">: </w:t>
            </w:r>
            <w:r w:rsidR="008365F1" w:rsidRPr="00E076EA">
              <w:t xml:space="preserve">Establish </w:t>
            </w:r>
            <w:r w:rsidR="00F552E9" w:rsidRPr="00E076EA">
              <w:t xml:space="preserve">or maintain </w:t>
            </w:r>
            <w:r w:rsidR="008365F1" w:rsidRPr="00E076EA">
              <w:t>dedicated in</w:t>
            </w:r>
            <w:r w:rsidR="008365F1" w:rsidRPr="00E076EA">
              <w:noBreakHyphen/>
              <w:t xml:space="preserve">house evaluation roles or units in all large entities to support high standards of evaluation planning and delivery. </w:t>
            </w:r>
          </w:p>
        </w:tc>
        <w:tc>
          <w:tcPr>
            <w:tcW w:w="1134" w:type="dxa"/>
          </w:tcPr>
          <w:p w14:paraId="5D1B1A9B" w14:textId="77777777" w:rsidR="008365F1" w:rsidRPr="00E076EA" w:rsidRDefault="008365F1" w:rsidP="00264D8B">
            <w:pPr>
              <w:pStyle w:val="TableTextLeft"/>
            </w:pPr>
            <w:r w:rsidRPr="00E076EA">
              <w:t>Individual entities</w:t>
            </w:r>
          </w:p>
        </w:tc>
        <w:tc>
          <w:tcPr>
            <w:tcW w:w="992" w:type="dxa"/>
          </w:tcPr>
          <w:p w14:paraId="73D88DF0" w14:textId="77777777" w:rsidR="008365F1" w:rsidRPr="00E076EA" w:rsidRDefault="008365F1" w:rsidP="00264D8B">
            <w:pPr>
              <w:pStyle w:val="TableTextLeft"/>
            </w:pPr>
            <w:r w:rsidRPr="00E076EA">
              <w:t xml:space="preserve">2026 </w:t>
            </w:r>
          </w:p>
        </w:tc>
        <w:tc>
          <w:tcPr>
            <w:tcW w:w="2977" w:type="dxa"/>
          </w:tcPr>
          <w:p w14:paraId="55CA2407" w14:textId="0F3D84BF" w:rsidR="008365F1" w:rsidRPr="00E076EA" w:rsidRDefault="008365F1" w:rsidP="00264D8B">
            <w:pPr>
              <w:pStyle w:val="TableTextLeft"/>
            </w:pPr>
            <w:r w:rsidRPr="00E076EA">
              <w:t xml:space="preserve">* Portfolio departments and large entities establish </w:t>
            </w:r>
            <w:r w:rsidR="00FC0ACD" w:rsidRPr="00E076EA">
              <w:t xml:space="preserve">or maintain </w:t>
            </w:r>
            <w:r w:rsidRPr="00E076EA">
              <w:t>in</w:t>
            </w:r>
            <w:r w:rsidR="009669AB" w:rsidRPr="00E076EA">
              <w:noBreakHyphen/>
            </w:r>
            <w:r w:rsidRPr="00E076EA">
              <w:t>house evaluation roles or units</w:t>
            </w:r>
          </w:p>
        </w:tc>
      </w:tr>
      <w:tr w:rsidR="008365F1" w:rsidRPr="00E076EA" w14:paraId="16D05DE3" w14:textId="77777777" w:rsidTr="00C41A0C">
        <w:trPr>
          <w:trHeight w:val="850"/>
        </w:trPr>
        <w:tc>
          <w:tcPr>
            <w:tcW w:w="4395" w:type="dxa"/>
          </w:tcPr>
          <w:p w14:paraId="47B76FE1" w14:textId="257EFDE4" w:rsidR="008365F1" w:rsidRPr="00E076EA" w:rsidRDefault="002B376B" w:rsidP="00264D8B">
            <w:pPr>
              <w:pStyle w:val="TableTextLeft"/>
            </w:pPr>
            <w:r w:rsidRPr="00E076EA">
              <w:rPr>
                <w:b/>
                <w:bCs/>
              </w:rPr>
              <w:t xml:space="preserve">3.4 </w:t>
            </w:r>
            <w:r w:rsidR="00987AE2" w:rsidRPr="00E076EA">
              <w:rPr>
                <w:b/>
                <w:bCs/>
              </w:rPr>
              <w:t>Evaluation standards</w:t>
            </w:r>
            <w:r w:rsidR="00987AE2" w:rsidRPr="00E076EA">
              <w:t xml:space="preserve">: </w:t>
            </w:r>
            <w:r w:rsidR="008365F1" w:rsidRPr="00E076EA">
              <w:t>Develop quality guidelines and standards for evaluation as appropriate, beginning with impact evaluation.</w:t>
            </w:r>
          </w:p>
        </w:tc>
        <w:tc>
          <w:tcPr>
            <w:tcW w:w="1134" w:type="dxa"/>
          </w:tcPr>
          <w:p w14:paraId="634BDCEF" w14:textId="77777777" w:rsidR="008365F1" w:rsidRPr="00E076EA" w:rsidRDefault="008365F1" w:rsidP="00264D8B">
            <w:pPr>
              <w:pStyle w:val="TableTextLeft"/>
            </w:pPr>
            <w:r w:rsidRPr="00E076EA">
              <w:t>ACE</w:t>
            </w:r>
          </w:p>
        </w:tc>
        <w:tc>
          <w:tcPr>
            <w:tcW w:w="992" w:type="dxa"/>
          </w:tcPr>
          <w:p w14:paraId="7067A0A0" w14:textId="77777777" w:rsidR="008365F1" w:rsidRPr="00E076EA" w:rsidRDefault="008365F1" w:rsidP="00264D8B">
            <w:pPr>
              <w:pStyle w:val="TableTextLeft"/>
            </w:pPr>
            <w:r w:rsidRPr="00E076EA">
              <w:t xml:space="preserve">From 2027 </w:t>
            </w:r>
          </w:p>
        </w:tc>
        <w:tc>
          <w:tcPr>
            <w:tcW w:w="2977" w:type="dxa"/>
          </w:tcPr>
          <w:p w14:paraId="528A183A" w14:textId="77777777" w:rsidR="008365F1" w:rsidRPr="00E076EA" w:rsidRDefault="008365F1" w:rsidP="00264D8B">
            <w:pPr>
              <w:pStyle w:val="TableTextLeft"/>
            </w:pPr>
            <w:r w:rsidRPr="00E076EA">
              <w:t>* A published set of quality guidelines and standards for evaluation as appropriate.</w:t>
            </w:r>
          </w:p>
        </w:tc>
      </w:tr>
    </w:tbl>
    <w:p w14:paraId="074AE315" w14:textId="381C96C8" w:rsidR="00FB0248" w:rsidRPr="003E1485" w:rsidRDefault="00FB0248" w:rsidP="00BF05AC">
      <w:pPr>
        <w:pStyle w:val="Heading2"/>
      </w:pPr>
      <w:bookmarkStart w:id="30" w:name="_Toc211837403"/>
      <w:r>
        <w:t xml:space="preserve">Priority </w:t>
      </w:r>
      <w:r w:rsidR="003269CF">
        <w:t>4</w:t>
      </w:r>
      <w:r>
        <w:t xml:space="preserve">: </w:t>
      </w:r>
      <w:r w:rsidR="00467E07">
        <w:t>Use of evaluation e</w:t>
      </w:r>
      <w:r w:rsidRPr="003E1485">
        <w:t>vidence</w:t>
      </w:r>
      <w:bookmarkEnd w:id="29"/>
      <w:bookmarkEnd w:id="30"/>
    </w:p>
    <w:p w14:paraId="5EF63FC5" w14:textId="2A6564E6" w:rsidR="00FB0248" w:rsidRPr="003B2AB6" w:rsidRDefault="00FB0248" w:rsidP="00FB0248">
      <w:r w:rsidRPr="003E1485">
        <w:t xml:space="preserve">This </w:t>
      </w:r>
      <w:r>
        <w:t>priority</w:t>
      </w:r>
      <w:r w:rsidRPr="003E1485">
        <w:t xml:space="preserve"> is about ensuring that</w:t>
      </w:r>
      <w:r>
        <w:t xml:space="preserve"> entities </w:t>
      </w:r>
      <w:r w:rsidR="00A2381A">
        <w:t xml:space="preserve">and Government </w:t>
      </w:r>
      <w:r>
        <w:t xml:space="preserve">routinely </w:t>
      </w:r>
      <w:r w:rsidR="169563E5">
        <w:t>use</w:t>
      </w:r>
      <w:r w:rsidRPr="003E1485">
        <w:t xml:space="preserve"> robust evaluation findings </w:t>
      </w:r>
      <w:r w:rsidR="00011761">
        <w:t xml:space="preserve">to </w:t>
      </w:r>
      <w:r w:rsidRPr="003E1485">
        <w:t>inform policy and funding decisions</w:t>
      </w:r>
      <w:r w:rsidR="00F45967" w:rsidRPr="00F45967">
        <w:t xml:space="preserve"> </w:t>
      </w:r>
      <w:r w:rsidR="00F45967">
        <w:t>and for learning and improvement</w:t>
      </w:r>
      <w:r w:rsidRPr="003E1485">
        <w:t xml:space="preserve">. Actions under this </w:t>
      </w:r>
      <w:r>
        <w:t>priority</w:t>
      </w:r>
      <w:r w:rsidRPr="003E1485">
        <w:t xml:space="preserve"> aim to improve the dissemination of findings, </w:t>
      </w:r>
      <w:r w:rsidRPr="00A76DEE">
        <w:t>make evidence more accessible, and</w:t>
      </w:r>
      <w:r w:rsidR="0032164D" w:rsidRPr="00A76DEE">
        <w:t xml:space="preserve"> </w:t>
      </w:r>
      <w:r w:rsidR="0001677A" w:rsidRPr="00A76DEE">
        <w:t>promote the</w:t>
      </w:r>
      <w:r w:rsidR="0032673A" w:rsidRPr="00A76DEE">
        <w:t xml:space="preserve"> use of </w:t>
      </w:r>
      <w:r w:rsidRPr="00A76DEE">
        <w:t xml:space="preserve">evaluation </w:t>
      </w:r>
      <w:r w:rsidR="0032164D" w:rsidRPr="00A76DEE">
        <w:t>to inform</w:t>
      </w:r>
      <w:r w:rsidRPr="00A76DEE">
        <w:t xml:space="preserve"> key decisions, such as funding.</w:t>
      </w:r>
    </w:p>
    <w:p w14:paraId="218C34E9" w14:textId="0A3956F3" w:rsidR="00FB0248" w:rsidRPr="003E1485" w:rsidRDefault="004C04C1" w:rsidP="00FB0248">
      <w:r>
        <w:rPr>
          <w:rStyle w:val="Strong"/>
        </w:rPr>
        <w:t xml:space="preserve">Vision for </w:t>
      </w:r>
      <w:r w:rsidR="00FB0248" w:rsidRPr="007A5115">
        <w:rPr>
          <w:rStyle w:val="Strong"/>
        </w:rPr>
        <w:t>2030:</w:t>
      </w:r>
      <w:r w:rsidR="00FB0248" w:rsidRPr="003E1485">
        <w:t xml:space="preserve"> Evaluation findings are a core input into all major government decisions, with a transparent process for disseminating and using evidence to improve policy and program outcomes.</w:t>
      </w:r>
    </w:p>
    <w:p w14:paraId="534EFC3B" w14:textId="1C6F1FE1" w:rsidR="0090017F" w:rsidRPr="003559AB" w:rsidRDefault="00987AE2" w:rsidP="00B17ED1">
      <w:pPr>
        <w:pStyle w:val="TableMainHeading"/>
      </w:pPr>
      <w:r>
        <w:t>A</w:t>
      </w:r>
      <w:r w:rsidR="0090017F">
        <w:t>ction plan</w:t>
      </w:r>
      <w:r>
        <w:t xml:space="preserve"> – use of evaluation e</w:t>
      </w:r>
      <w:r w:rsidRPr="003E1485">
        <w:t>vidence</w:t>
      </w:r>
    </w:p>
    <w:tbl>
      <w:tblPr>
        <w:tblW w:w="4994" w:type="pct"/>
        <w:tblInd w:w="-10" w:type="dxa"/>
        <w:tblBorders>
          <w:top w:val="single" w:sz="8" w:space="0" w:color="2C384A" w:themeColor="accent1"/>
          <w:left w:val="single" w:sz="8" w:space="0" w:color="2C384A" w:themeColor="accent1"/>
          <w:bottom w:val="single" w:sz="8" w:space="0" w:color="2C384A" w:themeColor="accent1"/>
          <w:right w:val="single" w:sz="8" w:space="0" w:color="2C384A" w:themeColor="accent1"/>
          <w:insideH w:val="single" w:sz="8" w:space="0" w:color="2C384A" w:themeColor="accent1"/>
          <w:insideV w:val="single" w:sz="8" w:space="0" w:color="2C384A" w:themeColor="accent1"/>
        </w:tblBorders>
        <w:tblLayout w:type="fixed"/>
        <w:tblLook w:val="01E0" w:firstRow="1" w:lastRow="1" w:firstColumn="1" w:lastColumn="1" w:noHBand="0" w:noVBand="0"/>
      </w:tblPr>
      <w:tblGrid>
        <w:gridCol w:w="3827"/>
        <w:gridCol w:w="1296"/>
        <w:gridCol w:w="1221"/>
        <w:gridCol w:w="2697"/>
      </w:tblGrid>
      <w:tr w:rsidR="00950A86" w:rsidRPr="00E076EA" w14:paraId="29643E61" w14:textId="77777777" w:rsidTr="0062321A">
        <w:trPr>
          <w:trHeight w:val="414"/>
          <w:tblHeader/>
        </w:trPr>
        <w:tc>
          <w:tcPr>
            <w:tcW w:w="3828" w:type="dxa"/>
            <w:shd w:val="clear" w:color="auto" w:fill="2C384A" w:themeFill="accent1"/>
          </w:tcPr>
          <w:p w14:paraId="1B1C8A36" w14:textId="55953BEC" w:rsidR="00950A86" w:rsidRPr="00E076EA" w:rsidRDefault="00950A86" w:rsidP="008A73D2">
            <w:pPr>
              <w:pStyle w:val="TableColumnHeadingLeft"/>
              <w:rPr>
                <w:color w:val="FFFFFF" w:themeColor="background1"/>
              </w:rPr>
            </w:pPr>
            <w:r w:rsidRPr="00E076EA">
              <w:rPr>
                <w:color w:val="FFFFFF" w:themeColor="background1"/>
              </w:rPr>
              <w:t>Action</w:t>
            </w:r>
          </w:p>
        </w:tc>
        <w:tc>
          <w:tcPr>
            <w:tcW w:w="1296" w:type="dxa"/>
            <w:shd w:val="clear" w:color="auto" w:fill="2C384A" w:themeFill="accent1"/>
          </w:tcPr>
          <w:p w14:paraId="30EF0B24" w14:textId="77777777" w:rsidR="00950A86" w:rsidRPr="00E076EA" w:rsidRDefault="00950A86" w:rsidP="008A73D2">
            <w:pPr>
              <w:pStyle w:val="TableColumnHeadingLeft"/>
              <w:rPr>
                <w:color w:val="FFFFFF" w:themeColor="background1"/>
              </w:rPr>
            </w:pPr>
            <w:r w:rsidRPr="00E076EA">
              <w:rPr>
                <w:color w:val="FFFFFF" w:themeColor="background1"/>
              </w:rPr>
              <w:t>Lead agency</w:t>
            </w:r>
          </w:p>
        </w:tc>
        <w:tc>
          <w:tcPr>
            <w:tcW w:w="1221" w:type="dxa"/>
            <w:shd w:val="clear" w:color="auto" w:fill="2C384A" w:themeFill="accent1"/>
          </w:tcPr>
          <w:p w14:paraId="5D8B2F88" w14:textId="77777777" w:rsidR="00950A86" w:rsidRPr="00E076EA" w:rsidRDefault="00950A86" w:rsidP="008A73D2">
            <w:pPr>
              <w:pStyle w:val="TableColumnHeadingLeft"/>
              <w:rPr>
                <w:color w:val="FFFFFF" w:themeColor="background1"/>
              </w:rPr>
            </w:pPr>
            <w:r w:rsidRPr="00E076EA">
              <w:rPr>
                <w:color w:val="FFFFFF" w:themeColor="background1"/>
              </w:rPr>
              <w:t>Timeline</w:t>
            </w:r>
          </w:p>
        </w:tc>
        <w:tc>
          <w:tcPr>
            <w:tcW w:w="2697" w:type="dxa"/>
            <w:shd w:val="clear" w:color="auto" w:fill="2C384A" w:themeFill="accent1"/>
          </w:tcPr>
          <w:p w14:paraId="3FAB4AE0" w14:textId="77777777" w:rsidR="00950A86" w:rsidRPr="00E076EA" w:rsidRDefault="00950A86" w:rsidP="008A73D2">
            <w:pPr>
              <w:pStyle w:val="TableColumnHeadingLeft"/>
              <w:rPr>
                <w:color w:val="FFFFFF" w:themeColor="background1"/>
              </w:rPr>
            </w:pPr>
            <w:r w:rsidRPr="00E076EA">
              <w:rPr>
                <w:color w:val="FFFFFF" w:themeColor="background1"/>
              </w:rPr>
              <w:t>Output</w:t>
            </w:r>
          </w:p>
        </w:tc>
      </w:tr>
      <w:tr w:rsidR="0062321A" w:rsidRPr="00E076EA" w14:paraId="69914EE8" w14:textId="77777777" w:rsidTr="0062321A">
        <w:trPr>
          <w:trHeight w:val="912"/>
        </w:trPr>
        <w:tc>
          <w:tcPr>
            <w:tcW w:w="3828" w:type="dxa"/>
          </w:tcPr>
          <w:p w14:paraId="0971F00C" w14:textId="1C6A5800" w:rsidR="0062321A" w:rsidRPr="00E076EA" w:rsidRDefault="0062321A" w:rsidP="0062321A">
            <w:pPr>
              <w:pStyle w:val="TableTextLeft"/>
              <w:rPr>
                <w:b/>
                <w:bCs/>
              </w:rPr>
            </w:pPr>
            <w:r w:rsidRPr="00E076EA">
              <w:rPr>
                <w:b/>
                <w:bCs/>
              </w:rPr>
              <w:t>4.1 Publication of evaluations</w:t>
            </w:r>
            <w:r w:rsidRPr="00E076EA">
              <w:t>: Routinely share evaluation findings to support program and policy design and publicly disseminate evaluation findings and reports where appropriate.</w:t>
            </w:r>
          </w:p>
        </w:tc>
        <w:tc>
          <w:tcPr>
            <w:tcW w:w="1296" w:type="dxa"/>
          </w:tcPr>
          <w:p w14:paraId="7312B168" w14:textId="36BEA82E" w:rsidR="0062321A" w:rsidRPr="00E076EA" w:rsidRDefault="0062321A" w:rsidP="0062321A">
            <w:pPr>
              <w:pStyle w:val="TableTextLeft"/>
            </w:pPr>
            <w:r w:rsidRPr="00E076EA">
              <w:t>Individual entities</w:t>
            </w:r>
          </w:p>
        </w:tc>
        <w:tc>
          <w:tcPr>
            <w:tcW w:w="1221" w:type="dxa"/>
          </w:tcPr>
          <w:p w14:paraId="2F2CD3B3" w14:textId="4B46BEAF" w:rsidR="0062321A" w:rsidRPr="00E076EA" w:rsidRDefault="0062321A" w:rsidP="0062321A">
            <w:pPr>
              <w:pStyle w:val="TableTextLeft"/>
            </w:pPr>
            <w:r w:rsidRPr="00E076EA">
              <w:t xml:space="preserve">From 2026 </w:t>
            </w:r>
          </w:p>
        </w:tc>
        <w:tc>
          <w:tcPr>
            <w:tcW w:w="2697" w:type="dxa"/>
          </w:tcPr>
          <w:p w14:paraId="65C249AD" w14:textId="740E0E79" w:rsidR="0062321A" w:rsidRPr="00E076EA" w:rsidRDefault="0062321A" w:rsidP="0062321A">
            <w:pPr>
              <w:pStyle w:val="TableTextLeft"/>
            </w:pPr>
            <w:r w:rsidRPr="00E076EA">
              <w:t>* Entities publicly sharing evaluation findings through the ACE Evaluation Library.</w:t>
            </w:r>
          </w:p>
        </w:tc>
      </w:tr>
      <w:tr w:rsidR="0062321A" w:rsidRPr="00E076EA" w14:paraId="5D2FB01C" w14:textId="77777777" w:rsidTr="0062321A">
        <w:trPr>
          <w:trHeight w:val="912"/>
        </w:trPr>
        <w:tc>
          <w:tcPr>
            <w:tcW w:w="3828" w:type="dxa"/>
          </w:tcPr>
          <w:p w14:paraId="409027F6" w14:textId="4A9CB74F" w:rsidR="0062321A" w:rsidRPr="00E076EA" w:rsidRDefault="0062321A" w:rsidP="0062321A">
            <w:pPr>
              <w:pStyle w:val="TableTextLeft"/>
            </w:pPr>
            <w:r w:rsidRPr="00E076EA">
              <w:rPr>
                <w:b/>
                <w:bCs/>
              </w:rPr>
              <w:t>4.2 Management responses</w:t>
            </w:r>
            <w:r w:rsidRPr="00E076EA">
              <w:t>: Develop and implement a formal process for government/management responses to evaluation findings.</w:t>
            </w:r>
          </w:p>
        </w:tc>
        <w:tc>
          <w:tcPr>
            <w:tcW w:w="1296" w:type="dxa"/>
          </w:tcPr>
          <w:p w14:paraId="7559DCE2" w14:textId="77777777" w:rsidR="0062321A" w:rsidRPr="00E076EA" w:rsidRDefault="0062321A" w:rsidP="0062321A">
            <w:pPr>
              <w:pStyle w:val="TableTextLeft"/>
            </w:pPr>
            <w:r w:rsidRPr="00E076EA">
              <w:t>Individual entities</w:t>
            </w:r>
          </w:p>
        </w:tc>
        <w:tc>
          <w:tcPr>
            <w:tcW w:w="1221" w:type="dxa"/>
          </w:tcPr>
          <w:p w14:paraId="137BC61C" w14:textId="77777777" w:rsidR="0062321A" w:rsidRPr="00E076EA" w:rsidRDefault="0062321A" w:rsidP="0062321A">
            <w:pPr>
              <w:pStyle w:val="TableTextLeft"/>
            </w:pPr>
            <w:r w:rsidRPr="00E076EA">
              <w:t xml:space="preserve">From 2026 </w:t>
            </w:r>
          </w:p>
        </w:tc>
        <w:tc>
          <w:tcPr>
            <w:tcW w:w="2697" w:type="dxa"/>
          </w:tcPr>
          <w:p w14:paraId="0E6BEB54" w14:textId="77777777" w:rsidR="0062321A" w:rsidRPr="00E076EA" w:rsidRDefault="0062321A" w:rsidP="0062321A">
            <w:pPr>
              <w:pStyle w:val="TableTextLeft"/>
            </w:pPr>
            <w:r w:rsidRPr="00E076EA">
              <w:t>* Evaluation reports receive a formal management response.</w:t>
            </w:r>
          </w:p>
        </w:tc>
      </w:tr>
      <w:tr w:rsidR="0062321A" w:rsidRPr="00E076EA" w14:paraId="5F7237B9" w14:textId="77777777" w:rsidTr="0062321A">
        <w:trPr>
          <w:trHeight w:val="850"/>
        </w:trPr>
        <w:tc>
          <w:tcPr>
            <w:tcW w:w="3828" w:type="dxa"/>
          </w:tcPr>
          <w:p w14:paraId="27A70DEB" w14:textId="41C98B9D" w:rsidR="0062321A" w:rsidRPr="00E076EA" w:rsidRDefault="0062321A" w:rsidP="0062321A">
            <w:pPr>
              <w:pStyle w:val="TableTextLeft"/>
            </w:pPr>
            <w:r w:rsidRPr="00E076EA">
              <w:rPr>
                <w:b/>
                <w:bCs/>
              </w:rPr>
              <w:t>4.3 Budget processes</w:t>
            </w:r>
            <w:r w:rsidRPr="00E076EA">
              <w:t>: Promote the use of evaluation evidence in funding decisions and budget processes where appropriate.</w:t>
            </w:r>
          </w:p>
        </w:tc>
        <w:tc>
          <w:tcPr>
            <w:tcW w:w="1296" w:type="dxa"/>
          </w:tcPr>
          <w:p w14:paraId="4ECDBBD3" w14:textId="77777777" w:rsidR="0062321A" w:rsidRPr="00E076EA" w:rsidRDefault="0062321A" w:rsidP="0062321A">
            <w:pPr>
              <w:pStyle w:val="TableTextLeft"/>
            </w:pPr>
            <w:r w:rsidRPr="00E076EA">
              <w:t>Individual entities</w:t>
            </w:r>
          </w:p>
        </w:tc>
        <w:tc>
          <w:tcPr>
            <w:tcW w:w="1221" w:type="dxa"/>
          </w:tcPr>
          <w:p w14:paraId="45AB641F" w14:textId="79788C2E" w:rsidR="0062321A" w:rsidRPr="00E076EA" w:rsidRDefault="0062321A" w:rsidP="0062321A">
            <w:pPr>
              <w:pStyle w:val="TableTextLeft"/>
            </w:pPr>
            <w:r w:rsidRPr="00E076EA">
              <w:t xml:space="preserve">From 2026 </w:t>
            </w:r>
          </w:p>
        </w:tc>
        <w:tc>
          <w:tcPr>
            <w:tcW w:w="2697" w:type="dxa"/>
          </w:tcPr>
          <w:p w14:paraId="5B2CC443" w14:textId="77777777" w:rsidR="0062321A" w:rsidRPr="00E076EA" w:rsidRDefault="0062321A" w:rsidP="0062321A">
            <w:pPr>
              <w:pStyle w:val="TableTextLeft"/>
            </w:pPr>
            <w:r w:rsidRPr="00E076EA">
              <w:t>*Utilisation of evaluation evidence and findings when making funding decisions.</w:t>
            </w:r>
          </w:p>
        </w:tc>
      </w:tr>
    </w:tbl>
    <w:p w14:paraId="7FDA4536" w14:textId="77777777" w:rsidR="008C46EE" w:rsidRPr="008A73D2" w:rsidRDefault="008C46EE" w:rsidP="008A73D2">
      <w:bookmarkStart w:id="31" w:name="_Toc207875566"/>
      <w:r>
        <w:br w:type="page"/>
      </w:r>
    </w:p>
    <w:p w14:paraId="7F6D808D" w14:textId="47B2DF16" w:rsidR="00E92CC5" w:rsidRDefault="00E92CC5" w:rsidP="00730CEA">
      <w:pPr>
        <w:pStyle w:val="Heading1"/>
      </w:pPr>
      <w:bookmarkStart w:id="32" w:name="5.1._Roles_and_Responsibilities_"/>
      <w:bookmarkStart w:id="33" w:name="_Toc207875567"/>
      <w:bookmarkStart w:id="34" w:name="_Toc211837404"/>
      <w:bookmarkStart w:id="35" w:name="_Toc207875568"/>
      <w:bookmarkEnd w:id="31"/>
      <w:bookmarkEnd w:id="32"/>
      <w:r w:rsidRPr="004E7686">
        <w:lastRenderedPageBreak/>
        <w:t xml:space="preserve">Governance and </w:t>
      </w:r>
      <w:bookmarkEnd w:id="33"/>
      <w:r>
        <w:t>i</w:t>
      </w:r>
      <w:r w:rsidRPr="004E7686">
        <w:t>mplementation</w:t>
      </w:r>
      <w:bookmarkEnd w:id="34"/>
    </w:p>
    <w:bookmarkEnd w:id="35"/>
    <w:p w14:paraId="6AF05A6C" w14:textId="5CF46D13" w:rsidR="00FB0248" w:rsidRDefault="00FB0248" w:rsidP="00FB0248">
      <w:r w:rsidRPr="00614CEF">
        <w:t>This plan will be implemented through a dual governance structure that operates at both a whole</w:t>
      </w:r>
      <w:r w:rsidR="00E076EA">
        <w:noBreakHyphen/>
      </w:r>
      <w:r w:rsidRPr="00614CEF">
        <w:t>of</w:t>
      </w:r>
      <w:r w:rsidR="00E076EA">
        <w:noBreakHyphen/>
      </w:r>
      <w:r w:rsidRPr="00614CEF">
        <w:t xml:space="preserve">government </w:t>
      </w:r>
      <w:r w:rsidR="00C4509B">
        <w:t xml:space="preserve">system level </w:t>
      </w:r>
      <w:r w:rsidRPr="00614CEF">
        <w:t xml:space="preserve">and </w:t>
      </w:r>
      <w:r w:rsidR="00C4509B">
        <w:t xml:space="preserve">at </w:t>
      </w:r>
      <w:r w:rsidRPr="00614CEF">
        <w:t>an entity level.</w:t>
      </w:r>
      <w:r w:rsidR="00E31772">
        <w:t xml:space="preserve"> </w:t>
      </w:r>
      <w:r w:rsidR="0018377A">
        <w:t>For entity</w:t>
      </w:r>
      <w:r w:rsidR="00E076EA">
        <w:noBreakHyphen/>
      </w:r>
      <w:r w:rsidR="0018377A">
        <w:t>level implementation, individual</w:t>
      </w:r>
      <w:r w:rsidR="00923F65">
        <w:t> </w:t>
      </w:r>
      <w:r w:rsidR="0018377A">
        <w:t xml:space="preserve">entities will have discretion about the most appropriate way to </w:t>
      </w:r>
      <w:r w:rsidR="0030311D">
        <w:t>implement each action</w:t>
      </w:r>
      <w:r w:rsidR="00AE457B">
        <w:t> </w:t>
      </w:r>
      <w:r w:rsidR="0030311D">
        <w:t>in</w:t>
      </w:r>
      <w:r w:rsidR="00923F65">
        <w:t> </w:t>
      </w:r>
      <w:r w:rsidR="0030311D">
        <w:t xml:space="preserve">their context, consistent with the </w:t>
      </w:r>
      <w:r w:rsidR="007439A6">
        <w:t>intent</w:t>
      </w:r>
      <w:r w:rsidR="0030311D">
        <w:t xml:space="preserve"> of </w:t>
      </w:r>
      <w:r w:rsidR="00C12A4E">
        <w:t>th</w:t>
      </w:r>
      <w:r w:rsidR="00463B64">
        <w:t>is plan.</w:t>
      </w:r>
    </w:p>
    <w:p w14:paraId="616EFDE3" w14:textId="0957D66E" w:rsidR="002B7B3C" w:rsidRDefault="002B7B3C" w:rsidP="002B7B3C">
      <w:pPr>
        <w:ind w:right="-426"/>
      </w:pPr>
      <w:bookmarkStart w:id="36" w:name="Whole-of-Government_Governance_"/>
      <w:bookmarkEnd w:id="36"/>
      <w:r w:rsidRPr="00571E20">
        <w:t>Effective delivery of this plan will rely on strong collaboration across government and with external</w:t>
      </w:r>
      <w:r w:rsidR="00EE5F9C">
        <w:t> </w:t>
      </w:r>
      <w:r w:rsidRPr="00571E20">
        <w:t>partners</w:t>
      </w:r>
      <w:r>
        <w:t xml:space="preserve"> – </w:t>
      </w:r>
      <w:r w:rsidRPr="00571E20">
        <w:t>including universities, research institutions, and non</w:t>
      </w:r>
      <w:r w:rsidR="00E076EA">
        <w:noBreakHyphen/>
      </w:r>
      <w:r w:rsidRPr="00571E20">
        <w:t>government organisations</w:t>
      </w:r>
      <w:r>
        <w:t xml:space="preserve">. </w:t>
      </w:r>
      <w:r w:rsidR="006E0348">
        <w:t>Such</w:t>
      </w:r>
      <w:r w:rsidR="00EE5F9C">
        <w:t> </w:t>
      </w:r>
      <w:r w:rsidR="003147BB">
        <w:t xml:space="preserve">partnerships </w:t>
      </w:r>
      <w:r w:rsidR="006E0348">
        <w:t xml:space="preserve">will build on existing </w:t>
      </w:r>
      <w:r w:rsidR="001B1544">
        <w:t xml:space="preserve">structures </w:t>
      </w:r>
      <w:r w:rsidR="003147BB">
        <w:t>for collaboration, such as the Commonwealth</w:t>
      </w:r>
      <w:r w:rsidR="00AE457B">
        <w:t xml:space="preserve"> </w:t>
      </w:r>
      <w:r w:rsidR="003147BB">
        <w:t>Evaluation</w:t>
      </w:r>
      <w:r w:rsidR="00AE457B">
        <w:t> </w:t>
      </w:r>
      <w:r w:rsidR="003147BB">
        <w:t xml:space="preserve">Reference Group and the Evaluation Profession. </w:t>
      </w:r>
    </w:p>
    <w:p w14:paraId="579865EB" w14:textId="1E3F8CF7" w:rsidR="00FB0248" w:rsidRPr="004E7686" w:rsidRDefault="00FB0248" w:rsidP="00EB2BE3">
      <w:pPr>
        <w:pStyle w:val="Heading2"/>
      </w:pPr>
      <w:bookmarkStart w:id="37" w:name="_Toc211837405"/>
      <w:r w:rsidRPr="004E7686">
        <w:t>Whole</w:t>
      </w:r>
      <w:r w:rsidR="00E076EA">
        <w:noBreakHyphen/>
      </w:r>
      <w:r w:rsidRPr="004E7686">
        <w:t>of</w:t>
      </w:r>
      <w:r w:rsidR="00E076EA">
        <w:noBreakHyphen/>
      </w:r>
      <w:r w:rsidR="004F685C">
        <w:t>g</w:t>
      </w:r>
      <w:r w:rsidRPr="004E7686">
        <w:t>overnment governance</w:t>
      </w:r>
      <w:bookmarkEnd w:id="37"/>
    </w:p>
    <w:p w14:paraId="0C8AC9EE" w14:textId="75F4A331" w:rsidR="00FB0248" w:rsidRPr="00614CEF" w:rsidRDefault="00B84106" w:rsidP="00FB0248">
      <w:r>
        <w:t>Whole</w:t>
      </w:r>
      <w:r w:rsidR="00E076EA">
        <w:noBreakHyphen/>
      </w:r>
      <w:r>
        <w:t>of</w:t>
      </w:r>
      <w:r w:rsidR="00E076EA">
        <w:noBreakHyphen/>
      </w:r>
      <w:r>
        <w:t xml:space="preserve">government governance </w:t>
      </w:r>
      <w:r w:rsidR="004E75D2">
        <w:t xml:space="preserve">will </w:t>
      </w:r>
      <w:r w:rsidR="007F3551" w:rsidRPr="00614CEF">
        <w:t>provid</w:t>
      </w:r>
      <w:r w:rsidR="004E75D2">
        <w:t>e</w:t>
      </w:r>
      <w:r w:rsidR="007F3551" w:rsidRPr="00614CEF">
        <w:t xml:space="preserve"> strategic direction and oversight for the implementation of this plan. </w:t>
      </w:r>
      <w:r w:rsidR="004E75D2">
        <w:t xml:space="preserve">This </w:t>
      </w:r>
      <w:r>
        <w:t xml:space="preserve">will be </w:t>
      </w:r>
      <w:r w:rsidR="00F2498B">
        <w:t>overseen</w:t>
      </w:r>
      <w:r>
        <w:t xml:space="preserve"> by the Commonwealth Evaluation Reference Group, with an annual report to Secretaries Board coinciding with annual </w:t>
      </w:r>
      <w:r w:rsidR="00BF6833">
        <w:t xml:space="preserve">updates to the </w:t>
      </w:r>
      <w:r w:rsidRPr="00EE5F9C">
        <w:rPr>
          <w:rStyle w:val="Emphasis"/>
        </w:rPr>
        <w:t>State of Evaluation in</w:t>
      </w:r>
      <w:r w:rsidR="00EE5F9C" w:rsidRPr="00EE5F9C">
        <w:rPr>
          <w:rStyle w:val="Emphasis"/>
        </w:rPr>
        <w:t> </w:t>
      </w:r>
      <w:r w:rsidRPr="00EE5F9C">
        <w:rPr>
          <w:rStyle w:val="Emphasis"/>
        </w:rPr>
        <w:t>the Australian Government</w:t>
      </w:r>
      <w:r>
        <w:t xml:space="preserve">. </w:t>
      </w:r>
      <w:r w:rsidR="00CF0CED">
        <w:t>These responsibilities w</w:t>
      </w:r>
      <w:r w:rsidR="00DD73D5">
        <w:t xml:space="preserve">ill </w:t>
      </w:r>
      <w:r w:rsidR="00FB0248" w:rsidRPr="00614CEF">
        <w:t>include:</w:t>
      </w:r>
    </w:p>
    <w:p w14:paraId="437175F8" w14:textId="4C73308B" w:rsidR="00FB0248" w:rsidRPr="00614CEF" w:rsidRDefault="00FB0248" w:rsidP="00FB0248">
      <w:pPr>
        <w:pStyle w:val="Bullet"/>
        <w:widowControl w:val="0"/>
        <w:tabs>
          <w:tab w:val="clear" w:pos="720"/>
          <w:tab w:val="num" w:pos="520"/>
        </w:tabs>
        <w:autoSpaceDE w:val="0"/>
        <w:autoSpaceDN w:val="0"/>
        <w:spacing w:after="0" w:line="240" w:lineRule="auto"/>
        <w:ind w:left="520" w:hanging="520"/>
      </w:pPr>
      <w:r w:rsidRPr="00B07CEB">
        <w:rPr>
          <w:b/>
        </w:rPr>
        <w:t>Championing:</w:t>
      </w:r>
      <w:r w:rsidRPr="00614CEF">
        <w:t xml:space="preserve"> </w:t>
      </w:r>
      <w:r>
        <w:t>p</w:t>
      </w:r>
      <w:r w:rsidRPr="00614CEF">
        <w:t>romoting the value of high</w:t>
      </w:r>
      <w:r w:rsidR="00E076EA">
        <w:noBreakHyphen/>
      </w:r>
      <w:r w:rsidRPr="00614CEF">
        <w:t>quality, robust evaluations across the public service and fostering a culture of continual learning.</w:t>
      </w:r>
    </w:p>
    <w:p w14:paraId="72C78202" w14:textId="55360FFE" w:rsidR="00FB0248" w:rsidRPr="00614CEF" w:rsidRDefault="00FB0248" w:rsidP="00FB0248">
      <w:pPr>
        <w:pStyle w:val="Bullet"/>
        <w:widowControl w:val="0"/>
        <w:tabs>
          <w:tab w:val="clear" w:pos="720"/>
          <w:tab w:val="num" w:pos="520"/>
        </w:tabs>
        <w:autoSpaceDE w:val="0"/>
        <w:autoSpaceDN w:val="0"/>
        <w:spacing w:after="0" w:line="240" w:lineRule="auto"/>
        <w:ind w:left="520" w:hanging="520"/>
      </w:pPr>
      <w:r w:rsidRPr="00B07CEB">
        <w:rPr>
          <w:b/>
        </w:rPr>
        <w:t>Oversight and accountability</w:t>
      </w:r>
      <w:r w:rsidRPr="00614CEF">
        <w:t xml:space="preserve">: </w:t>
      </w:r>
      <w:r>
        <w:t>p</w:t>
      </w:r>
      <w:r w:rsidRPr="00614CEF">
        <w:t>roviding high</w:t>
      </w:r>
      <w:r w:rsidR="00E076EA">
        <w:noBreakHyphen/>
      </w:r>
      <w:r w:rsidRPr="00614CEF">
        <w:t xml:space="preserve">level guidance </w:t>
      </w:r>
      <w:r>
        <w:t xml:space="preserve">and accountability for </w:t>
      </w:r>
      <w:r w:rsidRPr="00614CEF">
        <w:t>the progress of th</w:t>
      </w:r>
      <w:r>
        <w:t>is plan</w:t>
      </w:r>
      <w:r w:rsidR="00595CB6">
        <w:t>.</w:t>
      </w:r>
    </w:p>
    <w:p w14:paraId="6AD37B8A" w14:textId="77777777" w:rsidR="00FB0248" w:rsidRPr="00184B58" w:rsidRDefault="00FB0248" w:rsidP="00FB0248">
      <w:pPr>
        <w:pStyle w:val="Bullet"/>
        <w:widowControl w:val="0"/>
        <w:tabs>
          <w:tab w:val="clear" w:pos="720"/>
          <w:tab w:val="num" w:pos="520"/>
        </w:tabs>
        <w:autoSpaceDE w:val="0"/>
        <w:autoSpaceDN w:val="0"/>
        <w:spacing w:after="0" w:line="240" w:lineRule="auto"/>
        <w:ind w:left="520" w:hanging="520"/>
        <w:rPr>
          <w:rStyle w:val="Strong"/>
          <w:b w:val="0"/>
          <w:bCs w:val="0"/>
        </w:rPr>
      </w:pPr>
      <w:r w:rsidRPr="00B07CEB">
        <w:rPr>
          <w:b/>
        </w:rPr>
        <w:t>Monitoring</w:t>
      </w:r>
      <w:r w:rsidRPr="00614CEF">
        <w:t xml:space="preserve">: </w:t>
      </w:r>
      <w:r>
        <w:t>r</w:t>
      </w:r>
      <w:r w:rsidRPr="00614CEF">
        <w:t xml:space="preserve">egularly tracking and reporting on the overall progress of </w:t>
      </w:r>
      <w:r>
        <w:t>implementation</w:t>
      </w:r>
      <w:r w:rsidRPr="00614CEF">
        <w:t xml:space="preserve"> and its indicators.</w:t>
      </w:r>
    </w:p>
    <w:p w14:paraId="19221303" w14:textId="0FB0D21A" w:rsidR="00FB0248" w:rsidRPr="00184B58" w:rsidRDefault="00FB0248" w:rsidP="00EB2BE3">
      <w:pPr>
        <w:pStyle w:val="Heading2"/>
      </w:pPr>
      <w:bookmarkStart w:id="38" w:name="Entity-Level_Governance_"/>
      <w:bookmarkStart w:id="39" w:name="_Toc211837406"/>
      <w:bookmarkEnd w:id="38"/>
      <w:r w:rsidRPr="00184B58">
        <w:t>Entity</w:t>
      </w:r>
      <w:r w:rsidR="00E076EA">
        <w:noBreakHyphen/>
      </w:r>
      <w:r w:rsidRPr="00184B58">
        <w:t>level governance</w:t>
      </w:r>
      <w:bookmarkEnd w:id="39"/>
    </w:p>
    <w:p w14:paraId="5568A279" w14:textId="1F049548" w:rsidR="00DD73D5" w:rsidRDefault="00DD73D5" w:rsidP="00FB0248">
      <w:r>
        <w:t>Entity</w:t>
      </w:r>
      <w:r w:rsidR="00E076EA">
        <w:noBreakHyphen/>
      </w:r>
      <w:r>
        <w:t>level governance will be</w:t>
      </w:r>
      <w:r w:rsidR="00FB0248" w:rsidRPr="00614CEF">
        <w:t xml:space="preserve"> responsible for </w:t>
      </w:r>
      <w:r w:rsidR="004B7540">
        <w:t xml:space="preserve">implementing </w:t>
      </w:r>
      <w:r w:rsidR="002A536E">
        <w:t>this</w:t>
      </w:r>
      <w:r w:rsidR="00FB0248" w:rsidRPr="00614CEF">
        <w:t xml:space="preserve"> plan</w:t>
      </w:r>
      <w:r w:rsidR="00FB0248">
        <w:t xml:space="preserve"> </w:t>
      </w:r>
      <w:r w:rsidR="00FB0248" w:rsidRPr="00614CEF">
        <w:t xml:space="preserve">within individual </w:t>
      </w:r>
      <w:r w:rsidR="00C77C0F">
        <w:t>entities</w:t>
      </w:r>
      <w:r>
        <w:t xml:space="preserve"> and</w:t>
      </w:r>
      <w:r w:rsidR="00EE5F9C">
        <w:t> </w:t>
      </w:r>
      <w:r>
        <w:t>will vary at the discretion of individual entities</w:t>
      </w:r>
      <w:r w:rsidRPr="00614CEF">
        <w:t>.</w:t>
      </w:r>
      <w:r>
        <w:t xml:space="preserve"> However, for entities who appoint a Chief</w:t>
      </w:r>
      <w:r w:rsidR="00EE5F9C">
        <w:t> </w:t>
      </w:r>
      <w:r>
        <w:t>Evaluation</w:t>
      </w:r>
      <w:r w:rsidR="00EE5F9C">
        <w:t> </w:t>
      </w:r>
      <w:r>
        <w:t>Officer or evaluation committee</w:t>
      </w:r>
      <w:r w:rsidR="008026DB">
        <w:t xml:space="preserve">, it is envisaged that these </w:t>
      </w:r>
      <w:r w:rsidR="007A15D3">
        <w:t>will have immediate</w:t>
      </w:r>
      <w:r w:rsidR="00EE5F9C">
        <w:t> </w:t>
      </w:r>
      <w:r w:rsidR="00E26375">
        <w:t xml:space="preserve">governance </w:t>
      </w:r>
      <w:r w:rsidR="007A15D3">
        <w:t xml:space="preserve">responsibility </w:t>
      </w:r>
      <w:r w:rsidR="00E26375">
        <w:t>within that entity. These responsibilities will include:</w:t>
      </w:r>
    </w:p>
    <w:p w14:paraId="74779848" w14:textId="74C3CE8F" w:rsidR="00FB0248" w:rsidRPr="00614CEF" w:rsidRDefault="00FB0248" w:rsidP="00FB0248">
      <w:pPr>
        <w:pStyle w:val="Bullet"/>
        <w:widowControl w:val="0"/>
        <w:tabs>
          <w:tab w:val="clear" w:pos="720"/>
          <w:tab w:val="num" w:pos="520"/>
        </w:tabs>
        <w:autoSpaceDE w:val="0"/>
        <w:autoSpaceDN w:val="0"/>
        <w:spacing w:after="0" w:line="240" w:lineRule="auto"/>
        <w:ind w:left="520" w:hanging="520"/>
      </w:pPr>
      <w:r w:rsidRPr="00B07CEB">
        <w:rPr>
          <w:b/>
        </w:rPr>
        <w:t>Championing:</w:t>
      </w:r>
      <w:r w:rsidRPr="00614CEF">
        <w:t xml:space="preserve"> </w:t>
      </w:r>
      <w:r>
        <w:t>s</w:t>
      </w:r>
      <w:r w:rsidRPr="00614CEF">
        <w:t>ecuring senior leadership commitment and embedding a culture of evaluation within the entity.</w:t>
      </w:r>
    </w:p>
    <w:p w14:paraId="55754821" w14:textId="4FAC2F07" w:rsidR="000B7E74" w:rsidRPr="00614CEF" w:rsidRDefault="000B7E74" w:rsidP="000B7E74">
      <w:pPr>
        <w:pStyle w:val="Bullet"/>
        <w:widowControl w:val="0"/>
        <w:tabs>
          <w:tab w:val="clear" w:pos="720"/>
          <w:tab w:val="num" w:pos="520"/>
        </w:tabs>
        <w:autoSpaceDE w:val="0"/>
        <w:autoSpaceDN w:val="0"/>
        <w:spacing w:after="0" w:line="240" w:lineRule="auto"/>
        <w:ind w:left="520" w:hanging="520"/>
      </w:pPr>
      <w:r w:rsidRPr="00B07CEB">
        <w:rPr>
          <w:b/>
        </w:rPr>
        <w:t>Oversight and accountability:</w:t>
      </w:r>
      <w:r w:rsidRPr="00614CEF">
        <w:t xml:space="preserve"> </w:t>
      </w:r>
      <w:r>
        <w:t>p</w:t>
      </w:r>
      <w:r w:rsidRPr="00614CEF">
        <w:t xml:space="preserve">roviding </w:t>
      </w:r>
      <w:r w:rsidR="008D32E6">
        <w:t xml:space="preserve">internal </w:t>
      </w:r>
      <w:r w:rsidRPr="00614CEF">
        <w:t xml:space="preserve">guidance </w:t>
      </w:r>
      <w:r>
        <w:t xml:space="preserve">and accountability for </w:t>
      </w:r>
      <w:r w:rsidR="008D32E6">
        <w:t xml:space="preserve">entity on </w:t>
      </w:r>
      <w:r w:rsidRPr="00614CEF">
        <w:t>the progress of th</w:t>
      </w:r>
      <w:r>
        <w:t>is plan.</w:t>
      </w:r>
    </w:p>
    <w:p w14:paraId="536315D5" w14:textId="58DDC71D" w:rsidR="00C95913" w:rsidRPr="00614CEF" w:rsidRDefault="00C95913" w:rsidP="00C95913">
      <w:pPr>
        <w:pStyle w:val="Bullet"/>
        <w:widowControl w:val="0"/>
        <w:tabs>
          <w:tab w:val="clear" w:pos="720"/>
          <w:tab w:val="num" w:pos="520"/>
        </w:tabs>
        <w:autoSpaceDE w:val="0"/>
        <w:autoSpaceDN w:val="0"/>
        <w:spacing w:after="0" w:line="240" w:lineRule="auto"/>
        <w:ind w:left="520" w:hanging="520"/>
      </w:pPr>
      <w:r w:rsidRPr="00B07CEB">
        <w:rPr>
          <w:b/>
        </w:rPr>
        <w:t>Delivery:</w:t>
      </w:r>
      <w:r w:rsidRPr="00614CEF">
        <w:t xml:space="preserve"> </w:t>
      </w:r>
      <w:r>
        <w:t>o</w:t>
      </w:r>
      <w:r w:rsidRPr="00614CEF">
        <w:t>verseeing the establishment and resourcing of dedicated evaluation units</w:t>
      </w:r>
      <w:r w:rsidR="009426A8">
        <w:t xml:space="preserve"> where appropriate</w:t>
      </w:r>
      <w:r>
        <w:t xml:space="preserve"> and the delivery of </w:t>
      </w:r>
      <w:r w:rsidRPr="00614CEF">
        <w:t>high</w:t>
      </w:r>
      <w:r w:rsidR="00E076EA">
        <w:noBreakHyphen/>
      </w:r>
      <w:r w:rsidRPr="00614CEF">
        <w:t>quality, robust evaluations.</w:t>
      </w:r>
    </w:p>
    <w:p w14:paraId="100F0E30" w14:textId="372BF350" w:rsidR="00C95913" w:rsidRPr="00614CEF" w:rsidRDefault="00C95913" w:rsidP="00C95913">
      <w:pPr>
        <w:pStyle w:val="Bullet"/>
        <w:widowControl w:val="0"/>
        <w:tabs>
          <w:tab w:val="clear" w:pos="720"/>
          <w:tab w:val="num" w:pos="520"/>
        </w:tabs>
        <w:autoSpaceDE w:val="0"/>
        <w:autoSpaceDN w:val="0"/>
        <w:spacing w:after="0" w:line="240" w:lineRule="auto"/>
        <w:ind w:left="520" w:hanging="520"/>
      </w:pPr>
      <w:r w:rsidRPr="00B07CEB">
        <w:rPr>
          <w:b/>
        </w:rPr>
        <w:t>Capacity building:</w:t>
      </w:r>
      <w:r w:rsidRPr="00614CEF">
        <w:t xml:space="preserve"> </w:t>
      </w:r>
      <w:r>
        <w:t>l</w:t>
      </w:r>
      <w:r w:rsidRPr="00614CEF">
        <w:t>eading the capacity development of staff through training and professional development</w:t>
      </w:r>
      <w:r w:rsidR="00116E35">
        <w:t>.</w:t>
      </w:r>
    </w:p>
    <w:p w14:paraId="69C232A0" w14:textId="7BF49976" w:rsidR="001D7D8C" w:rsidRDefault="006C40F7" w:rsidP="00581381">
      <w:pPr>
        <w:pStyle w:val="Bullet"/>
        <w:widowControl w:val="0"/>
        <w:tabs>
          <w:tab w:val="clear" w:pos="720"/>
          <w:tab w:val="num" w:pos="520"/>
        </w:tabs>
        <w:autoSpaceDE w:val="0"/>
        <w:autoSpaceDN w:val="0"/>
        <w:spacing w:after="0" w:line="240" w:lineRule="auto"/>
        <w:ind w:left="520" w:hanging="520"/>
      </w:pPr>
      <w:r w:rsidRPr="00B07CEB">
        <w:rPr>
          <w:b/>
        </w:rPr>
        <w:t xml:space="preserve">Evidence </w:t>
      </w:r>
      <w:proofErr w:type="gramStart"/>
      <w:r w:rsidR="00E26375">
        <w:rPr>
          <w:b/>
        </w:rPr>
        <w:t>u</w:t>
      </w:r>
      <w:r w:rsidRPr="00B07CEB">
        <w:rPr>
          <w:b/>
        </w:rPr>
        <w:t>se:</w:t>
      </w:r>
      <w:proofErr w:type="gramEnd"/>
      <w:r w:rsidRPr="00614CEF">
        <w:t xml:space="preserve"> </w:t>
      </w:r>
      <w:r w:rsidR="008E4D9A">
        <w:t>embedding evaluation into planning</w:t>
      </w:r>
      <w:r w:rsidR="008D32E6">
        <w:t xml:space="preserve"> and </w:t>
      </w:r>
      <w:r w:rsidR="008E4D9A">
        <w:t xml:space="preserve">performance governance </w:t>
      </w:r>
      <w:proofErr w:type="gramStart"/>
      <w:r w:rsidR="008E4D9A">
        <w:t>structures</w:t>
      </w:r>
      <w:r w:rsidR="00370DE2">
        <w:t>,</w:t>
      </w:r>
      <w:r w:rsidR="00581381">
        <w:t xml:space="preserve"> </w:t>
      </w:r>
      <w:r w:rsidR="00370DE2">
        <w:t>and</w:t>
      </w:r>
      <w:proofErr w:type="gramEnd"/>
      <w:r w:rsidR="00370DE2">
        <w:t xml:space="preserve"> </w:t>
      </w:r>
      <w:r w:rsidR="00AE3847">
        <w:t>e</w:t>
      </w:r>
      <w:r w:rsidR="00AE3847" w:rsidRPr="00614CEF">
        <w:t>nsuring evaluation evidence is used in decision</w:t>
      </w:r>
      <w:r w:rsidR="00E076EA">
        <w:noBreakHyphen/>
      </w:r>
      <w:r w:rsidR="00AE3847" w:rsidRPr="00614CEF">
        <w:t>making,</w:t>
      </w:r>
      <w:r w:rsidR="00AE3847">
        <w:t xml:space="preserve"> </w:t>
      </w:r>
      <w:r w:rsidR="00AE3847" w:rsidRPr="00614CEF">
        <w:t>including the</w:t>
      </w:r>
      <w:r w:rsidR="00AE3847">
        <w:t xml:space="preserve"> </w:t>
      </w:r>
      <w:r w:rsidR="00AE3847" w:rsidRPr="00614CEF">
        <w:t>implementation of management responses to evaluation findings.</w:t>
      </w:r>
    </w:p>
    <w:p w14:paraId="7651F145" w14:textId="545451A5" w:rsidR="00FB0248" w:rsidRDefault="000B7E74" w:rsidP="004E7686">
      <w:pPr>
        <w:pStyle w:val="Bullet"/>
        <w:widowControl w:val="0"/>
        <w:tabs>
          <w:tab w:val="clear" w:pos="720"/>
          <w:tab w:val="num" w:pos="520"/>
        </w:tabs>
        <w:autoSpaceDE w:val="0"/>
        <w:autoSpaceDN w:val="0"/>
        <w:spacing w:after="0" w:line="240" w:lineRule="auto"/>
        <w:ind w:left="520" w:hanging="520"/>
      </w:pPr>
      <w:r w:rsidRPr="00B07CEB">
        <w:rPr>
          <w:b/>
        </w:rPr>
        <w:t>Monitoring:</w:t>
      </w:r>
      <w:r w:rsidRPr="00614CEF">
        <w:t xml:space="preserve"> </w:t>
      </w:r>
      <w:r>
        <w:t>r</w:t>
      </w:r>
      <w:r w:rsidRPr="00614CEF">
        <w:t xml:space="preserve">egularly tracking and reporting on the overall progress of </w:t>
      </w:r>
      <w:r>
        <w:t>implementation</w:t>
      </w:r>
      <w:r w:rsidRPr="00614CEF">
        <w:t xml:space="preserve"> and its </w:t>
      </w:r>
      <w:r w:rsidR="00E70407" w:rsidRPr="00614CEF">
        <w:t>indicators</w:t>
      </w:r>
      <w:r w:rsidR="00E70407">
        <w:t xml:space="preserve"> and</w:t>
      </w:r>
      <w:r w:rsidR="00ED6103">
        <w:t xml:space="preserve"> contributing to whole</w:t>
      </w:r>
      <w:r w:rsidR="00E076EA">
        <w:noBreakHyphen/>
      </w:r>
      <w:r w:rsidR="00ED6103">
        <w:t>of</w:t>
      </w:r>
      <w:r w:rsidR="00E076EA">
        <w:noBreakHyphen/>
      </w:r>
      <w:r w:rsidR="00ED6103">
        <w:t xml:space="preserve">government data collection processes through annual State of Evaluation </w:t>
      </w:r>
      <w:r w:rsidR="003A2289">
        <w:t xml:space="preserve">in the Australian Government </w:t>
      </w:r>
      <w:r w:rsidR="00ED6103">
        <w:t>updates</w:t>
      </w:r>
      <w:r w:rsidRPr="00614CEF">
        <w:t>.</w:t>
      </w:r>
    </w:p>
    <w:p w14:paraId="40A1D402" w14:textId="0EAF2848" w:rsidR="00FB0248" w:rsidRPr="00184B58" w:rsidRDefault="00E03855" w:rsidP="00EB2BE3">
      <w:pPr>
        <w:pStyle w:val="Heading2"/>
      </w:pPr>
      <w:bookmarkStart w:id="40" w:name="_Toc207875569"/>
      <w:bookmarkStart w:id="41" w:name="_Toc211837407"/>
      <w:r>
        <w:lastRenderedPageBreak/>
        <w:t>Resourcing</w:t>
      </w:r>
      <w:bookmarkEnd w:id="40"/>
      <w:r w:rsidR="00EB2BE3">
        <w:t xml:space="preserve"> and review</w:t>
      </w:r>
      <w:bookmarkEnd w:id="41"/>
    </w:p>
    <w:p w14:paraId="1B4F38F4" w14:textId="74A8DC07" w:rsidR="00FB0248" w:rsidRPr="00614CEF" w:rsidRDefault="009614CC" w:rsidP="00FB0248">
      <w:r>
        <w:t>Entit</w:t>
      </w:r>
      <w:r w:rsidR="00F143EA">
        <w:t>i</w:t>
      </w:r>
      <w:r>
        <w:t>es will be responsible for ensuring appropriate levels of resourcing</w:t>
      </w:r>
      <w:r w:rsidR="00DF6DDD">
        <w:t xml:space="preserve"> for </w:t>
      </w:r>
      <w:r w:rsidR="002405C3">
        <w:t>thei</w:t>
      </w:r>
      <w:r w:rsidR="00EC08FF">
        <w:t>r</w:t>
      </w:r>
      <w:r w:rsidR="002405C3">
        <w:t xml:space="preserve"> </w:t>
      </w:r>
      <w:r w:rsidR="00DF6DDD">
        <w:t>initiatives</w:t>
      </w:r>
      <w:r w:rsidR="00AD15EE">
        <w:t>.</w:t>
      </w:r>
      <w:r w:rsidR="00DF6DDD">
        <w:t xml:space="preserve"> </w:t>
      </w:r>
      <w:r>
        <w:t>System</w:t>
      </w:r>
      <w:r w:rsidR="00E076EA">
        <w:noBreakHyphen/>
      </w:r>
      <w:r>
        <w:t>wide ini</w:t>
      </w:r>
      <w:r w:rsidR="001D14D1">
        <w:t>tiatives implemented by the ACE will be funded</w:t>
      </w:r>
      <w:r w:rsidR="00F143EA">
        <w:t xml:space="preserve"> </w:t>
      </w:r>
      <w:r w:rsidR="002B5EA0">
        <w:t xml:space="preserve">from within </w:t>
      </w:r>
      <w:r w:rsidR="00D7047A">
        <w:t>existing resources</w:t>
      </w:r>
      <w:r w:rsidR="00F143EA">
        <w:t>.</w:t>
      </w:r>
    </w:p>
    <w:p w14:paraId="63E86FED" w14:textId="77777777" w:rsidR="0003788A" w:rsidRDefault="0003788A" w:rsidP="0003788A">
      <w:r>
        <w:t>This plan will be treated as a living document that is reviewed</w:t>
      </w:r>
      <w:r w:rsidRPr="00614CEF">
        <w:t xml:space="preserve"> </w:t>
      </w:r>
      <w:r>
        <w:t>by the Commonwealth Evaluation Reference Group annually.</w:t>
      </w:r>
      <w:r w:rsidRPr="00614CEF">
        <w:t xml:space="preserve"> </w:t>
      </w:r>
      <w:r>
        <w:t xml:space="preserve">Details of any amendments or refinements </w:t>
      </w:r>
      <w:r w:rsidRPr="00614CEF">
        <w:t xml:space="preserve">to </w:t>
      </w:r>
      <w:r>
        <w:t>the plan will be included in updates reported to Secretaries Board.</w:t>
      </w:r>
    </w:p>
    <w:p w14:paraId="22E210C5" w14:textId="4C896B5C" w:rsidR="00FB0248" w:rsidRPr="00614CEF" w:rsidRDefault="00FB0248" w:rsidP="005B4EF8">
      <w:pPr>
        <w:pStyle w:val="Heading2"/>
      </w:pPr>
      <w:bookmarkStart w:id="42" w:name="5.3._Communication_and_Stakeholder_Engag"/>
      <w:bookmarkStart w:id="43" w:name="6._Monitoring,_Reporting,_and_Review_"/>
      <w:bookmarkStart w:id="44" w:name="_Toc207875571"/>
      <w:bookmarkStart w:id="45" w:name="_Toc211837408"/>
      <w:bookmarkEnd w:id="42"/>
      <w:bookmarkEnd w:id="43"/>
      <w:r w:rsidRPr="00614CEF">
        <w:t>Monitoring</w:t>
      </w:r>
      <w:bookmarkEnd w:id="44"/>
      <w:r w:rsidR="0003788A">
        <w:t xml:space="preserve"> progress</w:t>
      </w:r>
      <w:bookmarkEnd w:id="45"/>
    </w:p>
    <w:p w14:paraId="3827A575" w14:textId="5918E815" w:rsidR="005E58B7" w:rsidRDefault="003C49B4" w:rsidP="00FB0248">
      <w:bookmarkStart w:id="46" w:name="6.1._Monitoring_and_Progress_Tracking_"/>
      <w:bookmarkEnd w:id="46"/>
      <w:r>
        <w:t>P</w:t>
      </w:r>
      <w:r w:rsidR="004C350F" w:rsidRPr="00614CEF">
        <w:t xml:space="preserve">rogress against </w:t>
      </w:r>
      <w:r w:rsidR="005E58B7">
        <w:t>each action</w:t>
      </w:r>
      <w:r w:rsidR="004C350F" w:rsidRPr="00614CEF">
        <w:t xml:space="preserve"> </w:t>
      </w:r>
      <w:r>
        <w:t xml:space="preserve">will be monitored </w:t>
      </w:r>
      <w:r w:rsidR="00823D40">
        <w:t xml:space="preserve">by the </w:t>
      </w:r>
      <w:r w:rsidR="00823D40" w:rsidRPr="002405C3">
        <w:t xml:space="preserve">Commonwealth Evaluation Reference </w:t>
      </w:r>
      <w:r w:rsidR="00C12CDC" w:rsidRPr="002405C3">
        <w:t>Group</w:t>
      </w:r>
      <w:r w:rsidR="00C12CDC">
        <w:t xml:space="preserve"> and</w:t>
      </w:r>
      <w:r w:rsidR="004C350F">
        <w:t xml:space="preserve"> </w:t>
      </w:r>
      <w:r w:rsidR="004C350F" w:rsidRPr="002405C3">
        <w:t xml:space="preserve">reported </w:t>
      </w:r>
      <w:r w:rsidRPr="002405C3">
        <w:t xml:space="preserve">on </w:t>
      </w:r>
      <w:r w:rsidR="00823D40">
        <w:t xml:space="preserve">annually </w:t>
      </w:r>
      <w:r w:rsidR="00532613">
        <w:t>in the context of regular State of Evaluation in the Australian Government updates to Secretaries Board</w:t>
      </w:r>
      <w:r>
        <w:t xml:space="preserve">. </w:t>
      </w:r>
    </w:p>
    <w:p w14:paraId="7ADB721E" w14:textId="43CB1CDA" w:rsidR="00FB0248" w:rsidRDefault="005E58B7" w:rsidP="00FB0248">
      <w:r>
        <w:t xml:space="preserve">Initially, </w:t>
      </w:r>
      <w:r w:rsidR="000948BF">
        <w:t>t</w:t>
      </w:r>
      <w:r w:rsidR="003C49B4">
        <w:t>he</w:t>
      </w:r>
      <w:r w:rsidR="00FB0248" w:rsidRPr="00614CEF">
        <w:t xml:space="preserve"> following indicators</w:t>
      </w:r>
      <w:r w:rsidR="003C49B4">
        <w:t xml:space="preserve"> </w:t>
      </w:r>
      <w:r w:rsidR="00FB0248" w:rsidRPr="00614CEF">
        <w:t xml:space="preserve">will be tracked </w:t>
      </w:r>
      <w:r w:rsidR="008E3708">
        <w:t xml:space="preserve">using </w:t>
      </w:r>
      <w:r w:rsidR="008477E6">
        <w:t>the annual State of Evaluation survey</w:t>
      </w:r>
      <w:r w:rsidR="008477E6" w:rsidRPr="00614CEF">
        <w:t>.</w:t>
      </w:r>
      <w:r w:rsidR="008477E6">
        <w:t xml:space="preserve"> These indicators may be revised following advice from the </w:t>
      </w:r>
      <w:r w:rsidR="008477E6" w:rsidRPr="002405C3">
        <w:t>Evaluation Reference Group</w:t>
      </w:r>
      <w:r w:rsidR="008477E6">
        <w:t>, or direction from Secretaries Board</w:t>
      </w:r>
      <w:r w:rsidR="000948BF">
        <w:t>, to capture the outputs of other actions that not currently included in the State of Evaluation survey</w:t>
      </w:r>
      <w:r w:rsidR="008477E6">
        <w:t>.</w:t>
      </w:r>
    </w:p>
    <w:tbl>
      <w:tblPr>
        <w:tblW w:w="5000" w:type="pct"/>
        <w:tblInd w:w="-10" w:type="dxa"/>
        <w:tblBorders>
          <w:top w:val="single" w:sz="8" w:space="0" w:color="2C384A" w:themeColor="accent1"/>
          <w:left w:val="single" w:sz="8" w:space="0" w:color="2C384A" w:themeColor="accent1"/>
          <w:bottom w:val="single" w:sz="8" w:space="0" w:color="2C384A" w:themeColor="accent1"/>
          <w:right w:val="single" w:sz="8" w:space="0" w:color="2C384A" w:themeColor="accent1"/>
          <w:insideH w:val="single" w:sz="8" w:space="0" w:color="2C384A" w:themeColor="accent1"/>
          <w:insideV w:val="single" w:sz="8" w:space="0" w:color="2C384A" w:themeColor="accent1"/>
        </w:tblBorders>
        <w:tblLayout w:type="fixed"/>
        <w:tblLook w:val="01E0" w:firstRow="1" w:lastRow="1" w:firstColumn="1" w:lastColumn="1" w:noHBand="0" w:noVBand="0"/>
      </w:tblPr>
      <w:tblGrid>
        <w:gridCol w:w="1494"/>
        <w:gridCol w:w="5938"/>
        <w:gridCol w:w="1620"/>
      </w:tblGrid>
      <w:tr w:rsidR="00FB0248" w:rsidRPr="00E076EA" w14:paraId="5BC16D8A" w14:textId="77777777" w:rsidTr="0062321A">
        <w:trPr>
          <w:trHeight w:val="299"/>
          <w:tblHeader/>
        </w:trPr>
        <w:tc>
          <w:tcPr>
            <w:tcW w:w="1560" w:type="dxa"/>
            <w:tcBorders>
              <w:bottom w:val="single" w:sz="8" w:space="0" w:color="2C384A" w:themeColor="accent1"/>
            </w:tcBorders>
            <w:shd w:val="clear" w:color="auto" w:fill="2C384A" w:themeFill="accent1"/>
          </w:tcPr>
          <w:p w14:paraId="0EB413AE" w14:textId="77777777" w:rsidR="00FB0248" w:rsidRPr="00E076EA" w:rsidRDefault="00FB0248" w:rsidP="001F6DC5">
            <w:pPr>
              <w:pStyle w:val="TableColumnHeadingLeft"/>
              <w:rPr>
                <w:color w:val="FFFFFF" w:themeColor="background1"/>
              </w:rPr>
            </w:pPr>
            <w:r w:rsidRPr="00E076EA">
              <w:rPr>
                <w:color w:val="FFFFFF" w:themeColor="background1"/>
              </w:rPr>
              <w:t>Priority</w:t>
            </w:r>
          </w:p>
        </w:tc>
        <w:tc>
          <w:tcPr>
            <w:tcW w:w="6237" w:type="dxa"/>
            <w:tcBorders>
              <w:bottom w:val="single" w:sz="8" w:space="0" w:color="2C384A" w:themeColor="accent1"/>
            </w:tcBorders>
            <w:shd w:val="clear" w:color="auto" w:fill="2C384A" w:themeFill="accent1"/>
          </w:tcPr>
          <w:p w14:paraId="2D63A5D2" w14:textId="079B4771" w:rsidR="00FB0248" w:rsidRPr="00E076EA" w:rsidRDefault="00FB0248" w:rsidP="001F6DC5">
            <w:pPr>
              <w:pStyle w:val="TableColumnHeadingLeft"/>
              <w:rPr>
                <w:color w:val="FFFFFF" w:themeColor="background1"/>
              </w:rPr>
            </w:pPr>
            <w:r w:rsidRPr="00E076EA">
              <w:rPr>
                <w:color w:val="FFFFFF" w:themeColor="background1"/>
              </w:rPr>
              <w:t>Indicators</w:t>
            </w:r>
          </w:p>
        </w:tc>
        <w:tc>
          <w:tcPr>
            <w:tcW w:w="1693" w:type="dxa"/>
            <w:tcBorders>
              <w:bottom w:val="single" w:sz="8" w:space="0" w:color="2C384A" w:themeColor="accent1"/>
            </w:tcBorders>
            <w:shd w:val="clear" w:color="auto" w:fill="2C384A" w:themeFill="accent1"/>
          </w:tcPr>
          <w:p w14:paraId="62DD3830" w14:textId="77777777" w:rsidR="00FB0248" w:rsidRPr="00E076EA" w:rsidRDefault="00FB0248" w:rsidP="001F6DC5">
            <w:pPr>
              <w:pStyle w:val="TableColumnHeadingLeft"/>
              <w:rPr>
                <w:color w:val="FFFFFF" w:themeColor="background1"/>
              </w:rPr>
            </w:pPr>
            <w:r w:rsidRPr="00E076EA">
              <w:rPr>
                <w:color w:val="FFFFFF" w:themeColor="background1"/>
              </w:rPr>
              <w:t>Data Source</w:t>
            </w:r>
          </w:p>
        </w:tc>
      </w:tr>
      <w:tr w:rsidR="00FB0248" w:rsidRPr="00E076EA" w14:paraId="485D3F57" w14:textId="77777777" w:rsidTr="0062321A">
        <w:trPr>
          <w:trHeight w:val="1619"/>
        </w:trPr>
        <w:tc>
          <w:tcPr>
            <w:tcW w:w="1560"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26943AC0" w14:textId="018FE0D0" w:rsidR="00FB0248" w:rsidRPr="00E076EA" w:rsidRDefault="0050784E" w:rsidP="00C41A0C">
            <w:pPr>
              <w:pStyle w:val="TableTextLeft"/>
            </w:pPr>
            <w:r w:rsidRPr="00E076EA">
              <w:t xml:space="preserve">1. </w:t>
            </w:r>
            <w:r w:rsidR="00FB0248" w:rsidRPr="00E076EA">
              <w:t>Evaluation leadership and culture</w:t>
            </w:r>
          </w:p>
        </w:tc>
        <w:tc>
          <w:tcPr>
            <w:tcW w:w="6237"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1F9E95A5" w14:textId="77777777" w:rsidR="00FB0248" w:rsidRPr="00E076EA" w:rsidRDefault="00FB0248" w:rsidP="001F6DC5">
            <w:pPr>
              <w:pStyle w:val="TableTextLeft"/>
            </w:pPr>
            <w:r w:rsidRPr="00E076EA">
              <w:t>% of entities with a designated SES-level officer responsible for evaluation.</w:t>
            </w:r>
          </w:p>
          <w:p w14:paraId="23A170CD" w14:textId="77777777" w:rsidR="00FB0248" w:rsidRPr="00E076EA" w:rsidRDefault="00FB0248" w:rsidP="001F6DC5">
            <w:pPr>
              <w:pStyle w:val="TableTextLeft"/>
            </w:pPr>
            <w:r w:rsidRPr="00E076EA">
              <w:t>% of entities having established processes to ensure evaluations are culturally appropriate for Aboriginal and Torres Strait Islander people and communities.</w:t>
            </w:r>
          </w:p>
          <w:p w14:paraId="189B2E38" w14:textId="5714130A" w:rsidR="00055E7B" w:rsidRPr="00E076EA" w:rsidRDefault="00C617EB" w:rsidP="001F6DC5">
            <w:pPr>
              <w:pStyle w:val="TableTextLeft"/>
            </w:pPr>
            <w:r w:rsidRPr="00E076EA">
              <w:t>% of entities agency with an evaluation ethics review process</w:t>
            </w:r>
            <w:r w:rsidR="001B1EFA" w:rsidRPr="00E076EA">
              <w:t>.</w:t>
            </w:r>
          </w:p>
        </w:tc>
        <w:tc>
          <w:tcPr>
            <w:tcW w:w="1693"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1448CFEC" w14:textId="496ABD0C" w:rsidR="00FB0248" w:rsidRPr="00E076EA" w:rsidRDefault="00532613" w:rsidP="001F6DC5">
            <w:pPr>
              <w:pStyle w:val="TableTextLeft"/>
            </w:pPr>
            <w:r w:rsidRPr="00E076EA">
              <w:t xml:space="preserve">State of </w:t>
            </w:r>
            <w:r w:rsidR="00FB0248" w:rsidRPr="00E076EA">
              <w:t>Evaluation Survey</w:t>
            </w:r>
          </w:p>
        </w:tc>
      </w:tr>
      <w:tr w:rsidR="00FB0248" w:rsidRPr="00E076EA" w14:paraId="46F4D809" w14:textId="77777777" w:rsidTr="0062321A">
        <w:trPr>
          <w:trHeight w:val="815"/>
        </w:trPr>
        <w:tc>
          <w:tcPr>
            <w:tcW w:w="1560"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3C53C5B2" w14:textId="72D7216D" w:rsidR="00FB0248" w:rsidRPr="00E076EA" w:rsidRDefault="0050784E" w:rsidP="00C41A0C">
            <w:pPr>
              <w:pStyle w:val="TableTextLeft"/>
            </w:pPr>
            <w:r w:rsidRPr="00E076EA">
              <w:t xml:space="preserve">2. </w:t>
            </w:r>
            <w:r w:rsidR="00FB0248" w:rsidRPr="00E076EA">
              <w:t>Evaluation capability</w:t>
            </w:r>
          </w:p>
        </w:tc>
        <w:tc>
          <w:tcPr>
            <w:tcW w:w="6237"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0A8BA5F4" w14:textId="64ADD2CB" w:rsidR="00FB0248" w:rsidRPr="00E076EA" w:rsidRDefault="00FB0248" w:rsidP="001F6DC5">
            <w:pPr>
              <w:pStyle w:val="TableTextLeft"/>
            </w:pPr>
            <w:r w:rsidRPr="00E076EA">
              <w:t xml:space="preserve">% of entities engaging in evaluation capability building. </w:t>
            </w:r>
          </w:p>
        </w:tc>
        <w:tc>
          <w:tcPr>
            <w:tcW w:w="1693"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2A6A315F" w14:textId="0F66B637" w:rsidR="00FB0248" w:rsidRPr="00E076EA" w:rsidRDefault="00532613" w:rsidP="001F6DC5">
            <w:pPr>
              <w:pStyle w:val="TableTextLeft"/>
            </w:pPr>
            <w:r w:rsidRPr="00E076EA">
              <w:t xml:space="preserve">State of </w:t>
            </w:r>
            <w:r w:rsidR="00FB0248" w:rsidRPr="00E076EA">
              <w:t>Evaluation Survey</w:t>
            </w:r>
          </w:p>
        </w:tc>
      </w:tr>
      <w:tr w:rsidR="00FB0248" w:rsidRPr="00E076EA" w14:paraId="3F60248E" w14:textId="77777777" w:rsidTr="0062321A">
        <w:trPr>
          <w:trHeight w:val="1405"/>
        </w:trPr>
        <w:tc>
          <w:tcPr>
            <w:tcW w:w="1560"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3A10B8E5" w14:textId="26E4587C" w:rsidR="00FB0248" w:rsidRPr="00E076EA" w:rsidRDefault="0050784E" w:rsidP="00C41A0C">
            <w:pPr>
              <w:pStyle w:val="TableTextLeft"/>
            </w:pPr>
            <w:r w:rsidRPr="00E076EA">
              <w:t xml:space="preserve">3. </w:t>
            </w:r>
            <w:r w:rsidR="00FB0248" w:rsidRPr="00E076EA">
              <w:t>Evaluation planning and delivery</w:t>
            </w:r>
          </w:p>
        </w:tc>
        <w:tc>
          <w:tcPr>
            <w:tcW w:w="6237"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2E920B0D" w14:textId="22155EE4" w:rsidR="00FB0248" w:rsidRPr="00E076EA" w:rsidRDefault="00FB0248" w:rsidP="001F6DC5">
            <w:pPr>
              <w:pStyle w:val="TableTextLeft"/>
            </w:pPr>
            <w:r w:rsidRPr="00E076EA">
              <w:t>% of entities that have adopted an evaluation framework or strategy</w:t>
            </w:r>
            <w:r w:rsidR="6724854C" w:rsidRPr="00E076EA">
              <w:t xml:space="preserve"> </w:t>
            </w:r>
            <w:r w:rsidR="003710F2" w:rsidRPr="00E076EA">
              <w:t>or similar</w:t>
            </w:r>
            <w:r w:rsidRPr="00E076EA">
              <w:t>.</w:t>
            </w:r>
          </w:p>
          <w:p w14:paraId="4EFB04B6" w14:textId="3701C47F" w:rsidR="00FB0248" w:rsidRPr="00E076EA" w:rsidRDefault="00FB0248" w:rsidP="001F6DC5">
            <w:pPr>
              <w:pStyle w:val="TableTextLeft"/>
            </w:pPr>
            <w:r w:rsidRPr="00E076EA">
              <w:t>% of entities with a dedicated in-house evaluation unit or function.</w:t>
            </w:r>
          </w:p>
        </w:tc>
        <w:tc>
          <w:tcPr>
            <w:tcW w:w="1693"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0EF09A67" w14:textId="7ED6F632" w:rsidR="00FB0248" w:rsidRPr="00E076EA" w:rsidRDefault="00532613" w:rsidP="001F6DC5">
            <w:pPr>
              <w:pStyle w:val="TableTextLeft"/>
            </w:pPr>
            <w:r w:rsidRPr="00E076EA">
              <w:t xml:space="preserve">State of </w:t>
            </w:r>
            <w:r w:rsidR="00FB0248" w:rsidRPr="00E076EA">
              <w:t>Evaluation Survey</w:t>
            </w:r>
          </w:p>
        </w:tc>
      </w:tr>
      <w:tr w:rsidR="00FB0248" w:rsidRPr="00E076EA" w14:paraId="04C5C00F" w14:textId="77777777" w:rsidTr="0062321A">
        <w:trPr>
          <w:trHeight w:val="1354"/>
        </w:trPr>
        <w:tc>
          <w:tcPr>
            <w:tcW w:w="1560"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66672BD5" w14:textId="108B0146" w:rsidR="00FB0248" w:rsidRPr="00E076EA" w:rsidRDefault="0050784E" w:rsidP="00C41A0C">
            <w:pPr>
              <w:pStyle w:val="TableTextLeft"/>
            </w:pPr>
            <w:r w:rsidRPr="00E076EA">
              <w:t xml:space="preserve">4. </w:t>
            </w:r>
            <w:r w:rsidR="00ED42E7" w:rsidRPr="00E076EA">
              <w:t>Use of evaluation e</w:t>
            </w:r>
            <w:r w:rsidR="00FB0248" w:rsidRPr="00E076EA">
              <w:t>vidence</w:t>
            </w:r>
          </w:p>
        </w:tc>
        <w:tc>
          <w:tcPr>
            <w:tcW w:w="6237"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7B78533F" w14:textId="484A0748" w:rsidR="00E95933" w:rsidRPr="00E076EA" w:rsidRDefault="00E95933" w:rsidP="001F6DC5">
            <w:pPr>
              <w:pStyle w:val="TableTextLeft"/>
            </w:pPr>
            <w:r w:rsidRPr="00E076EA">
              <w:t xml:space="preserve">% of entities </w:t>
            </w:r>
            <w:r w:rsidR="00CD4D46" w:rsidRPr="00E076EA">
              <w:t>‘</w:t>
            </w:r>
            <w:r w:rsidRPr="00E076EA">
              <w:t>always</w:t>
            </w:r>
            <w:r w:rsidR="00CD4D46" w:rsidRPr="00E076EA">
              <w:t>’</w:t>
            </w:r>
            <w:r w:rsidRPr="00E076EA">
              <w:t xml:space="preserve"> or </w:t>
            </w:r>
            <w:r w:rsidR="00CD4D46" w:rsidRPr="00E076EA">
              <w:t>‘</w:t>
            </w:r>
            <w:r w:rsidRPr="00E076EA">
              <w:t>often</w:t>
            </w:r>
            <w:r w:rsidR="00CD4D46" w:rsidRPr="00E076EA">
              <w:t>’</w:t>
            </w:r>
            <w:r w:rsidRPr="00E076EA">
              <w:t xml:space="preserve"> using evaluation evidence </w:t>
            </w:r>
            <w:r w:rsidR="00CD4D46" w:rsidRPr="00E076EA">
              <w:t xml:space="preserve">in advice on </w:t>
            </w:r>
            <w:r w:rsidRPr="00E076EA">
              <w:t>funding allocation decisions</w:t>
            </w:r>
            <w:r w:rsidR="001B1EFA" w:rsidRPr="00E076EA">
              <w:t>.</w:t>
            </w:r>
          </w:p>
          <w:p w14:paraId="496D0673" w14:textId="0455BD7B" w:rsidR="00FB0248" w:rsidRPr="00E076EA" w:rsidRDefault="00FB0248" w:rsidP="001F6DC5">
            <w:pPr>
              <w:pStyle w:val="TableTextLeft"/>
            </w:pPr>
            <w:r w:rsidRPr="00E076EA">
              <w:t>% of entities that routinely publish evaluation findings or reports.</w:t>
            </w:r>
          </w:p>
          <w:p w14:paraId="769D54C6" w14:textId="77777777" w:rsidR="00FB0248" w:rsidRPr="00E076EA" w:rsidRDefault="00FB0248" w:rsidP="001F6DC5">
            <w:pPr>
              <w:pStyle w:val="TableTextLeft"/>
            </w:pPr>
            <w:r w:rsidRPr="00E076EA">
              <w:t>% of entities that routinely publish management responses.</w:t>
            </w:r>
          </w:p>
        </w:tc>
        <w:tc>
          <w:tcPr>
            <w:tcW w:w="1693" w:type="dxa"/>
            <w:tcBorders>
              <w:top w:val="single" w:sz="8" w:space="0" w:color="2C384A" w:themeColor="accent1"/>
              <w:left w:val="single" w:sz="8" w:space="0" w:color="2C384A" w:themeColor="accent1"/>
              <w:bottom w:val="single" w:sz="8" w:space="0" w:color="2C384A" w:themeColor="accent1"/>
              <w:right w:val="single" w:sz="8" w:space="0" w:color="2C384A" w:themeColor="accent1"/>
            </w:tcBorders>
          </w:tcPr>
          <w:p w14:paraId="2BD42615" w14:textId="256B30B4" w:rsidR="00FB0248" w:rsidRPr="00E076EA" w:rsidRDefault="00532613" w:rsidP="001F6DC5">
            <w:pPr>
              <w:pStyle w:val="TableTextLeft"/>
            </w:pPr>
            <w:r w:rsidRPr="00E076EA">
              <w:t xml:space="preserve">State of </w:t>
            </w:r>
            <w:r w:rsidR="00FB0248" w:rsidRPr="00E076EA">
              <w:t>Evaluation Survey</w:t>
            </w:r>
          </w:p>
        </w:tc>
      </w:tr>
    </w:tbl>
    <w:p w14:paraId="5AD40988" w14:textId="40CB6519" w:rsidR="003E5A7A" w:rsidRDefault="003E5A7A" w:rsidP="000948BF"/>
    <w:sectPr w:rsidR="003E5A7A" w:rsidSect="008206F9">
      <w:headerReference w:type="default" r:id="rId27"/>
      <w:footerReference w:type="default" r:id="rId28"/>
      <w:pgSz w:w="11906" w:h="16838" w:code="9"/>
      <w:pgMar w:top="1843"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6267" w14:textId="77777777" w:rsidR="00735884" w:rsidRDefault="00735884">
      <w:pPr>
        <w:spacing w:before="0" w:after="0"/>
      </w:pPr>
      <w:r>
        <w:separator/>
      </w:r>
    </w:p>
  </w:endnote>
  <w:endnote w:type="continuationSeparator" w:id="0">
    <w:p w14:paraId="52C1D787" w14:textId="77777777" w:rsidR="00735884" w:rsidRDefault="00735884">
      <w:pPr>
        <w:spacing w:before="0" w:after="0"/>
      </w:pPr>
      <w:r>
        <w:continuationSeparator/>
      </w:r>
    </w:p>
  </w:endnote>
  <w:endnote w:type="continuationNotice" w:id="1">
    <w:p w14:paraId="5F28D67C" w14:textId="77777777" w:rsidR="00735884" w:rsidRDefault="007358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EA13" w14:textId="4FD21E2D" w:rsidR="00B55B04" w:rsidRDefault="00B55B04" w:rsidP="00EE1447">
    <w:pPr>
      <w:pStyle w:val="FooterEven"/>
    </w:pPr>
    <w:r>
      <w:drawing>
        <wp:anchor distT="0" distB="0" distL="114300" distR="114300" simplePos="0" relativeHeight="251658240" behindDoc="1" locked="0" layoutInCell="1" allowOverlap="0" wp14:anchorId="4107CDE2" wp14:editId="53E22A3C">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144608976" name="Picture 214460897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05422" name="Picture 1114105422" descr="Logo"/>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 STYLEREF  &quot;Heading 1&quot;  \* MERGEFORMAT ">
      <w:r w:rsidR="00642CF2">
        <w:t>Contents</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8F60" w14:textId="03FEF34B" w:rsidR="00B55B04" w:rsidRDefault="007A182A" w:rsidP="00962ACF">
    <w:pPr>
      <w:pStyle w:val="FooterOdd"/>
    </w:pPr>
    <w:r>
      <w:rPr>
        <w:rStyle w:val="ui-provider"/>
      </w:rPr>
      <w:t>evaluation.treasury.gov.au</w:t>
    </w:r>
    <w:r w:rsidR="00103F3C">
      <w:tab/>
    </w:r>
    <w:fldSimple w:instr=" STYLEREF  &quot;Heading 1&quot;  \* MERGEFORMAT ">
      <w:r w:rsidR="00120C1C">
        <w:rPr>
          <w:noProof/>
        </w:rPr>
        <w:t>Contents</w:t>
      </w:r>
    </w:fldSimple>
    <w:r w:rsidR="00B55B04">
      <w:rPr>
        <w:noProof/>
      </w:rPr>
      <w:t xml:space="preserve"> </w:t>
    </w:r>
    <w:r w:rsidR="00B55B04">
      <w:t xml:space="preserve">| </w:t>
    </w:r>
    <w:r w:rsidR="00B55B04">
      <w:fldChar w:fldCharType="begin"/>
    </w:r>
    <w:r w:rsidR="00B55B04">
      <w:instrText xml:space="preserve"> PAGE   \* MERGEFORMAT </w:instrText>
    </w:r>
    <w:r w:rsidR="00B55B04">
      <w:fldChar w:fldCharType="separate"/>
    </w:r>
    <w:r w:rsidR="00B55B04">
      <w:t>2</w:t>
    </w:r>
    <w:r w:rsidR="00B55B0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7B89" w14:textId="3186B83C"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642CF2">
        <w:t>Contents</w:t>
      </w:r>
    </w:fldSimple>
    <w:r w:rsidR="00103F3C">
      <w:tab/>
    </w:r>
    <w:r w:rsidR="007A182A" w:rsidRPr="007A182A">
      <w:t>evaluation.treasury.gov.au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7443" w14:textId="27F7F4EE" w:rsidR="00B0685D" w:rsidRDefault="00230BEB" w:rsidP="00230BEB">
    <w:pPr>
      <w:pStyle w:val="FooterOdd"/>
    </w:pPr>
    <w:r>
      <w:rPr>
        <w:rStyle w:val="ui-provider"/>
      </w:rPr>
      <w:t>evaluation.treasury.gov.au</w:t>
    </w:r>
    <w:r>
      <w:tab/>
    </w:r>
    <w:fldSimple w:instr="STYLEREF  &quot;Heading 1&quot;  \* MERGEFORMAT">
      <w:r w:rsidR="00120C1C">
        <w:rPr>
          <w:noProof/>
        </w:rPr>
        <w:t>Contents</w:t>
      </w:r>
    </w:fldSimple>
    <w:r>
      <w:t xml:space="preserve"> | </w:t>
    </w:r>
    <w:r w:rsidR="008206F9">
      <w:fldChar w:fldCharType="begin"/>
    </w:r>
    <w:r w:rsidR="008206F9">
      <w:instrText xml:space="preserve"> PAGE   \* MERGEFORMAT </w:instrText>
    </w:r>
    <w:r w:rsidR="008206F9">
      <w:fldChar w:fldCharType="separate"/>
    </w:r>
    <w:r w:rsidR="008206F9">
      <w:rPr>
        <w:noProof/>
      </w:rPr>
      <w:t>4</w:t>
    </w:r>
    <w:r w:rsidR="008206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6D6E" w14:textId="46C9B2F9" w:rsidR="00095D88" w:rsidRPr="00095D88" w:rsidRDefault="00095D88" w:rsidP="00095D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3F18" w14:textId="4129FEC9" w:rsidR="00E533DD" w:rsidRDefault="00E533DD" w:rsidP="00230BEB">
    <w:pPr>
      <w:pStyle w:val="FooterOdd"/>
    </w:pPr>
    <w:r>
      <w:rPr>
        <w:rStyle w:val="ui-provider"/>
      </w:rPr>
      <w:t>evaluation.treasury.gov.au</w:t>
    </w:r>
    <w:r>
      <w:tab/>
    </w:r>
    <w:fldSimple w:instr="STYLEREF  &quot;Heading 1&quot;  \* MERGEFORMAT">
      <w:r w:rsidR="00120C1C">
        <w:rPr>
          <w:noProof/>
        </w:rPr>
        <w:t>Governance and implementation</w:t>
      </w:r>
    </w:fldSimple>
    <w:r>
      <w:t xml:space="preserve"> | </w:t>
    </w: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74AB" w14:textId="77777777" w:rsidR="00735884" w:rsidRPr="00745616" w:rsidRDefault="00735884" w:rsidP="000F6233">
      <w:pPr>
        <w:rPr>
          <w:color w:val="2C384A" w:themeColor="accent1"/>
        </w:rPr>
      </w:pPr>
      <w:r w:rsidRPr="00745616">
        <w:rPr>
          <w:color w:val="2C384A" w:themeColor="accent1"/>
        </w:rPr>
        <w:separator/>
      </w:r>
    </w:p>
  </w:footnote>
  <w:footnote w:type="continuationSeparator" w:id="0">
    <w:p w14:paraId="27282BFA" w14:textId="77777777" w:rsidR="00735884" w:rsidRPr="00B737EB" w:rsidRDefault="00735884">
      <w:pPr>
        <w:spacing w:before="0" w:after="0"/>
        <w:rPr>
          <w:color w:val="2C384A" w:themeColor="accent1"/>
        </w:rPr>
      </w:pPr>
      <w:r w:rsidRPr="00B737EB">
        <w:rPr>
          <w:color w:val="2C384A" w:themeColor="accent1"/>
        </w:rPr>
        <w:continuationSeparator/>
      </w:r>
    </w:p>
  </w:footnote>
  <w:footnote w:type="continuationNotice" w:id="1">
    <w:p w14:paraId="6A4C14FA" w14:textId="77777777" w:rsidR="00735884" w:rsidRDefault="00735884">
      <w:pPr>
        <w:spacing w:before="0" w:after="0"/>
      </w:pPr>
    </w:p>
  </w:footnote>
  <w:footnote w:id="2">
    <w:p w14:paraId="05DBCADA" w14:textId="227CFE96" w:rsidR="006A78A8" w:rsidRDefault="00E076EA" w:rsidP="00F57D27">
      <w:pPr>
        <w:pStyle w:val="FootnoteText"/>
      </w:pPr>
      <w:r w:rsidRPr="00E076EA">
        <w:rPr>
          <w:rStyle w:val="FootnoteReference"/>
        </w:rPr>
        <w:footnoteRef/>
      </w:r>
      <w:r w:rsidR="00F57D27">
        <w:tab/>
      </w:r>
      <w:r w:rsidR="006A78A8">
        <w:t xml:space="preserve">See </w:t>
      </w:r>
      <w:r w:rsidR="006A78A8" w:rsidRPr="00F57D27">
        <w:t>Recommendation</w:t>
      </w:r>
      <w:r w:rsidR="006A78A8">
        <w:t xml:space="preserve"> 26, pp</w:t>
      </w:r>
      <w:r w:rsidR="000A5C56">
        <w:t xml:space="preserve">220-23: </w:t>
      </w:r>
      <w:hyperlink r:id="rId1" w:history="1">
        <w:r w:rsidR="00F57D27" w:rsidRPr="00BD3CE1">
          <w:rPr>
            <w:rStyle w:val="Hyperlink"/>
          </w:rPr>
          <w:t>https://www.pmc.gov.au/resources/independent-review-australian</w:t>
        </w:r>
        <w:r w:rsidR="00F57D27" w:rsidRPr="00BD3CE1">
          <w:rPr>
            <w:rStyle w:val="Hyperlink"/>
          </w:rPr>
          <w:noBreakHyphen/>
          <w:t>public-service</w:t>
        </w:r>
      </w:hyperlink>
    </w:p>
  </w:footnote>
  <w:footnote w:id="3">
    <w:p w14:paraId="5D8D0A5C" w14:textId="36D4C937" w:rsidR="00881735" w:rsidRDefault="00E076EA" w:rsidP="00543439">
      <w:pPr>
        <w:pStyle w:val="FootnoteText"/>
      </w:pPr>
      <w:r w:rsidRPr="00E076EA">
        <w:rPr>
          <w:rStyle w:val="FootnoteReference"/>
        </w:rPr>
        <w:footnoteRef/>
      </w:r>
      <w:r w:rsidR="00543439">
        <w:tab/>
      </w:r>
      <w:r w:rsidR="009F49F0">
        <w:t xml:space="preserve">For more details, see </w:t>
      </w:r>
      <w:r w:rsidR="00805D68">
        <w:t xml:space="preserve">the ACE’s Training and Capability Strategy: </w:t>
      </w:r>
      <w:hyperlink r:id="rId2" w:history="1">
        <w:r w:rsidR="000E7655" w:rsidRPr="00F61A11">
          <w:rPr>
            <w:rStyle w:val="Hyperlink"/>
          </w:rPr>
          <w:t>https://evaluation.treasury.gov.au/publications/ace-training-capability-strategy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7D97" w14:textId="1C08F0D3" w:rsidR="00672B5D" w:rsidRPr="00AC75E2" w:rsidRDefault="00AC75E2" w:rsidP="00AC75E2">
    <w:pPr>
      <w:pStyle w:val="HeaderEven"/>
    </w:pPr>
    <w:r>
      <w:rPr>
        <w:noProof/>
      </w:rPr>
      <w:drawing>
        <wp:anchor distT="0" distB="0" distL="114300" distR="114300" simplePos="0" relativeHeight="251658241" behindDoc="1" locked="1" layoutInCell="1" allowOverlap="1" wp14:anchorId="1583CEE6" wp14:editId="3DC06329">
          <wp:simplePos x="0" y="0"/>
          <wp:positionH relativeFrom="page">
            <wp:posOffset>20955</wp:posOffset>
          </wp:positionH>
          <wp:positionV relativeFrom="page">
            <wp:posOffset>0</wp:posOffset>
          </wp:positionV>
          <wp:extent cx="7526020" cy="1043305"/>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6020" cy="1043305"/>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F431" w14:textId="25C89BAD" w:rsidR="00B0685D" w:rsidRDefault="00B06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8074" w14:textId="7F5CCA44"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86CD" w14:textId="77777777" w:rsidR="00E533DD" w:rsidRDefault="00E5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7E7C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35pt;height:15.9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83D354A"/>
    <w:multiLevelType w:val="multilevel"/>
    <w:tmpl w:val="3460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70966"/>
    <w:multiLevelType w:val="hybridMultilevel"/>
    <w:tmpl w:val="63A07CAE"/>
    <w:lvl w:ilvl="0" w:tplc="3DDE019E">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8A3D3B"/>
    <w:multiLevelType w:val="hybridMultilevel"/>
    <w:tmpl w:val="859085E0"/>
    <w:lvl w:ilvl="0" w:tplc="88189D84">
      <w:start w:val="1"/>
      <w:numFmt w:val="bullet"/>
      <w:lvlText w:val=""/>
      <w:lvlJc w:val="left"/>
      <w:pPr>
        <w:ind w:left="1060" w:hanging="360"/>
      </w:pPr>
      <w:rPr>
        <w:rFonts w:ascii="Symbol" w:hAnsi="Symbol"/>
      </w:rPr>
    </w:lvl>
    <w:lvl w:ilvl="1" w:tplc="7AB4C8AA">
      <w:start w:val="1"/>
      <w:numFmt w:val="bullet"/>
      <w:lvlText w:val=""/>
      <w:lvlJc w:val="left"/>
      <w:pPr>
        <w:ind w:left="1060" w:hanging="360"/>
      </w:pPr>
      <w:rPr>
        <w:rFonts w:ascii="Symbol" w:hAnsi="Symbol"/>
      </w:rPr>
    </w:lvl>
    <w:lvl w:ilvl="2" w:tplc="BFA82C96">
      <w:start w:val="1"/>
      <w:numFmt w:val="bullet"/>
      <w:lvlText w:val=""/>
      <w:lvlJc w:val="left"/>
      <w:pPr>
        <w:ind w:left="1060" w:hanging="360"/>
      </w:pPr>
      <w:rPr>
        <w:rFonts w:ascii="Symbol" w:hAnsi="Symbol"/>
      </w:rPr>
    </w:lvl>
    <w:lvl w:ilvl="3" w:tplc="E4ECC91C">
      <w:start w:val="1"/>
      <w:numFmt w:val="bullet"/>
      <w:lvlText w:val=""/>
      <w:lvlJc w:val="left"/>
      <w:pPr>
        <w:ind w:left="1060" w:hanging="360"/>
      </w:pPr>
      <w:rPr>
        <w:rFonts w:ascii="Symbol" w:hAnsi="Symbol"/>
      </w:rPr>
    </w:lvl>
    <w:lvl w:ilvl="4" w:tplc="F364F468">
      <w:start w:val="1"/>
      <w:numFmt w:val="bullet"/>
      <w:lvlText w:val=""/>
      <w:lvlJc w:val="left"/>
      <w:pPr>
        <w:ind w:left="1060" w:hanging="360"/>
      </w:pPr>
      <w:rPr>
        <w:rFonts w:ascii="Symbol" w:hAnsi="Symbol"/>
      </w:rPr>
    </w:lvl>
    <w:lvl w:ilvl="5" w:tplc="CAC68184">
      <w:start w:val="1"/>
      <w:numFmt w:val="bullet"/>
      <w:lvlText w:val=""/>
      <w:lvlJc w:val="left"/>
      <w:pPr>
        <w:ind w:left="1060" w:hanging="360"/>
      </w:pPr>
      <w:rPr>
        <w:rFonts w:ascii="Symbol" w:hAnsi="Symbol"/>
      </w:rPr>
    </w:lvl>
    <w:lvl w:ilvl="6" w:tplc="27CE7D8C">
      <w:start w:val="1"/>
      <w:numFmt w:val="bullet"/>
      <w:lvlText w:val=""/>
      <w:lvlJc w:val="left"/>
      <w:pPr>
        <w:ind w:left="1060" w:hanging="360"/>
      </w:pPr>
      <w:rPr>
        <w:rFonts w:ascii="Symbol" w:hAnsi="Symbol"/>
      </w:rPr>
    </w:lvl>
    <w:lvl w:ilvl="7" w:tplc="F402A47E">
      <w:start w:val="1"/>
      <w:numFmt w:val="bullet"/>
      <w:lvlText w:val=""/>
      <w:lvlJc w:val="left"/>
      <w:pPr>
        <w:ind w:left="1060" w:hanging="360"/>
      </w:pPr>
      <w:rPr>
        <w:rFonts w:ascii="Symbol" w:hAnsi="Symbol"/>
      </w:rPr>
    </w:lvl>
    <w:lvl w:ilvl="8" w:tplc="EC3A189C">
      <w:start w:val="1"/>
      <w:numFmt w:val="bullet"/>
      <w:lvlText w:val=""/>
      <w:lvlJc w:val="left"/>
      <w:pPr>
        <w:ind w:left="1060" w:hanging="360"/>
      </w:pPr>
      <w:rPr>
        <w:rFonts w:ascii="Symbol" w:hAnsi="Symbol"/>
      </w:rPr>
    </w:lvl>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271638CB"/>
    <w:multiLevelType w:val="hybridMultilevel"/>
    <w:tmpl w:val="09A2F41A"/>
    <w:lvl w:ilvl="0" w:tplc="15A4AEBC">
      <w:start w:val="1"/>
      <w:numFmt w:val="bullet"/>
      <w:lvlText w:val=""/>
      <w:lvlJc w:val="left"/>
      <w:pPr>
        <w:ind w:left="720" w:hanging="360"/>
      </w:pPr>
      <w:rPr>
        <w:rFonts w:ascii="Symbol" w:hAnsi="Symbol"/>
      </w:rPr>
    </w:lvl>
    <w:lvl w:ilvl="1" w:tplc="EDD6D76A">
      <w:start w:val="1"/>
      <w:numFmt w:val="bullet"/>
      <w:lvlText w:val=""/>
      <w:lvlJc w:val="left"/>
      <w:pPr>
        <w:ind w:left="720" w:hanging="360"/>
      </w:pPr>
      <w:rPr>
        <w:rFonts w:ascii="Symbol" w:hAnsi="Symbol"/>
      </w:rPr>
    </w:lvl>
    <w:lvl w:ilvl="2" w:tplc="86E6ACDC">
      <w:start w:val="1"/>
      <w:numFmt w:val="bullet"/>
      <w:lvlText w:val=""/>
      <w:lvlJc w:val="left"/>
      <w:pPr>
        <w:ind w:left="720" w:hanging="360"/>
      </w:pPr>
      <w:rPr>
        <w:rFonts w:ascii="Symbol" w:hAnsi="Symbol"/>
      </w:rPr>
    </w:lvl>
    <w:lvl w:ilvl="3" w:tplc="061CACFA">
      <w:start w:val="1"/>
      <w:numFmt w:val="bullet"/>
      <w:lvlText w:val=""/>
      <w:lvlJc w:val="left"/>
      <w:pPr>
        <w:ind w:left="720" w:hanging="360"/>
      </w:pPr>
      <w:rPr>
        <w:rFonts w:ascii="Symbol" w:hAnsi="Symbol"/>
      </w:rPr>
    </w:lvl>
    <w:lvl w:ilvl="4" w:tplc="82B28466">
      <w:start w:val="1"/>
      <w:numFmt w:val="bullet"/>
      <w:lvlText w:val=""/>
      <w:lvlJc w:val="left"/>
      <w:pPr>
        <w:ind w:left="720" w:hanging="360"/>
      </w:pPr>
      <w:rPr>
        <w:rFonts w:ascii="Symbol" w:hAnsi="Symbol"/>
      </w:rPr>
    </w:lvl>
    <w:lvl w:ilvl="5" w:tplc="C6541D80">
      <w:start w:val="1"/>
      <w:numFmt w:val="bullet"/>
      <w:lvlText w:val=""/>
      <w:lvlJc w:val="left"/>
      <w:pPr>
        <w:ind w:left="720" w:hanging="360"/>
      </w:pPr>
      <w:rPr>
        <w:rFonts w:ascii="Symbol" w:hAnsi="Symbol"/>
      </w:rPr>
    </w:lvl>
    <w:lvl w:ilvl="6" w:tplc="0F8834D8">
      <w:start w:val="1"/>
      <w:numFmt w:val="bullet"/>
      <w:lvlText w:val=""/>
      <w:lvlJc w:val="left"/>
      <w:pPr>
        <w:ind w:left="720" w:hanging="360"/>
      </w:pPr>
      <w:rPr>
        <w:rFonts w:ascii="Symbol" w:hAnsi="Symbol"/>
      </w:rPr>
    </w:lvl>
    <w:lvl w:ilvl="7" w:tplc="983CC0CE">
      <w:start w:val="1"/>
      <w:numFmt w:val="bullet"/>
      <w:lvlText w:val=""/>
      <w:lvlJc w:val="left"/>
      <w:pPr>
        <w:ind w:left="720" w:hanging="360"/>
      </w:pPr>
      <w:rPr>
        <w:rFonts w:ascii="Symbol" w:hAnsi="Symbol"/>
      </w:rPr>
    </w:lvl>
    <w:lvl w:ilvl="8" w:tplc="5AB65D20">
      <w:start w:val="1"/>
      <w:numFmt w:val="bullet"/>
      <w:lvlText w:val=""/>
      <w:lvlJc w:val="left"/>
      <w:pPr>
        <w:ind w:left="720" w:hanging="360"/>
      </w:pPr>
      <w:rPr>
        <w:rFonts w:ascii="Symbol" w:hAnsi="Symbol"/>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8225F1"/>
    <w:multiLevelType w:val="multilevel"/>
    <w:tmpl w:val="89D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F70A71"/>
    <w:multiLevelType w:val="hybridMultilevel"/>
    <w:tmpl w:val="F64EBA72"/>
    <w:lvl w:ilvl="0" w:tplc="0C090001">
      <w:start w:val="202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A50522"/>
    <w:multiLevelType w:val="multilevel"/>
    <w:tmpl w:val="1260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1" w15:restartNumberingAfterBreak="0">
    <w:nsid w:val="4EC946A9"/>
    <w:multiLevelType w:val="hybridMultilevel"/>
    <w:tmpl w:val="EEAE450C"/>
    <w:lvl w:ilvl="0" w:tplc="305C82B2">
      <w:start w:val="1"/>
      <w:numFmt w:val="bullet"/>
      <w:lvlText w:val=""/>
      <w:lvlJc w:val="left"/>
      <w:pPr>
        <w:ind w:left="720" w:hanging="360"/>
      </w:pPr>
      <w:rPr>
        <w:rFonts w:ascii="Symbol" w:hAnsi="Symbol"/>
      </w:rPr>
    </w:lvl>
    <w:lvl w:ilvl="1" w:tplc="54603B3A">
      <w:start w:val="1"/>
      <w:numFmt w:val="bullet"/>
      <w:lvlText w:val=""/>
      <w:lvlJc w:val="left"/>
      <w:pPr>
        <w:ind w:left="720" w:hanging="360"/>
      </w:pPr>
      <w:rPr>
        <w:rFonts w:ascii="Symbol" w:hAnsi="Symbol"/>
      </w:rPr>
    </w:lvl>
    <w:lvl w:ilvl="2" w:tplc="A68A889E">
      <w:start w:val="1"/>
      <w:numFmt w:val="bullet"/>
      <w:lvlText w:val=""/>
      <w:lvlJc w:val="left"/>
      <w:pPr>
        <w:ind w:left="720" w:hanging="360"/>
      </w:pPr>
      <w:rPr>
        <w:rFonts w:ascii="Symbol" w:hAnsi="Symbol"/>
      </w:rPr>
    </w:lvl>
    <w:lvl w:ilvl="3" w:tplc="8D266850">
      <w:start w:val="1"/>
      <w:numFmt w:val="bullet"/>
      <w:lvlText w:val=""/>
      <w:lvlJc w:val="left"/>
      <w:pPr>
        <w:ind w:left="720" w:hanging="360"/>
      </w:pPr>
      <w:rPr>
        <w:rFonts w:ascii="Symbol" w:hAnsi="Symbol"/>
      </w:rPr>
    </w:lvl>
    <w:lvl w:ilvl="4" w:tplc="323C8FE6">
      <w:start w:val="1"/>
      <w:numFmt w:val="bullet"/>
      <w:lvlText w:val=""/>
      <w:lvlJc w:val="left"/>
      <w:pPr>
        <w:ind w:left="720" w:hanging="360"/>
      </w:pPr>
      <w:rPr>
        <w:rFonts w:ascii="Symbol" w:hAnsi="Symbol"/>
      </w:rPr>
    </w:lvl>
    <w:lvl w:ilvl="5" w:tplc="E94EEA10">
      <w:start w:val="1"/>
      <w:numFmt w:val="bullet"/>
      <w:lvlText w:val=""/>
      <w:lvlJc w:val="left"/>
      <w:pPr>
        <w:ind w:left="720" w:hanging="360"/>
      </w:pPr>
      <w:rPr>
        <w:rFonts w:ascii="Symbol" w:hAnsi="Symbol"/>
      </w:rPr>
    </w:lvl>
    <w:lvl w:ilvl="6" w:tplc="FA401E58">
      <w:start w:val="1"/>
      <w:numFmt w:val="bullet"/>
      <w:lvlText w:val=""/>
      <w:lvlJc w:val="left"/>
      <w:pPr>
        <w:ind w:left="720" w:hanging="360"/>
      </w:pPr>
      <w:rPr>
        <w:rFonts w:ascii="Symbol" w:hAnsi="Symbol"/>
      </w:rPr>
    </w:lvl>
    <w:lvl w:ilvl="7" w:tplc="8320FE0A">
      <w:start w:val="1"/>
      <w:numFmt w:val="bullet"/>
      <w:lvlText w:val=""/>
      <w:lvlJc w:val="left"/>
      <w:pPr>
        <w:ind w:left="720" w:hanging="360"/>
      </w:pPr>
      <w:rPr>
        <w:rFonts w:ascii="Symbol" w:hAnsi="Symbol"/>
      </w:rPr>
    </w:lvl>
    <w:lvl w:ilvl="8" w:tplc="81948F16">
      <w:start w:val="1"/>
      <w:numFmt w:val="bullet"/>
      <w:lvlText w:val=""/>
      <w:lvlJc w:val="left"/>
      <w:pPr>
        <w:ind w:left="720" w:hanging="360"/>
      </w:pPr>
      <w:rPr>
        <w:rFonts w:ascii="Symbol" w:hAnsi="Symbol"/>
      </w:rPr>
    </w:lvl>
  </w:abstractNum>
  <w:abstractNum w:abstractNumId="22" w15:restartNumberingAfterBreak="0">
    <w:nsid w:val="510D2021"/>
    <w:multiLevelType w:val="multilevel"/>
    <w:tmpl w:val="72F8140E"/>
    <w:numStyleLink w:val="OutlineList"/>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61F2D7"/>
    <w:multiLevelType w:val="multilevel"/>
    <w:tmpl w:val="8A40299A"/>
    <w:lvl w:ilvl="0">
      <w:start w:val="1"/>
      <w:numFmt w:val="bullet"/>
      <w:lvlText w:val="•"/>
      <w:lvlJc w:val="left"/>
      <w:pPr>
        <w:ind w:left="284" w:hanging="284"/>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89737C"/>
    <w:multiLevelType w:val="multilevel"/>
    <w:tmpl w:val="5CD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D03DD"/>
    <w:multiLevelType w:val="hybridMultilevel"/>
    <w:tmpl w:val="A5CE6070"/>
    <w:lvl w:ilvl="0" w:tplc="1FD82B8C">
      <w:start w:val="1"/>
      <w:numFmt w:val="bullet"/>
      <w:lvlText w:val=""/>
      <w:lvlJc w:val="left"/>
      <w:pPr>
        <w:ind w:left="720" w:hanging="360"/>
      </w:pPr>
      <w:rPr>
        <w:rFonts w:ascii="Symbol" w:hAnsi="Symbol"/>
      </w:rPr>
    </w:lvl>
    <w:lvl w:ilvl="1" w:tplc="EBA0205C">
      <w:start w:val="1"/>
      <w:numFmt w:val="bullet"/>
      <w:lvlText w:val=""/>
      <w:lvlJc w:val="left"/>
      <w:pPr>
        <w:ind w:left="720" w:hanging="360"/>
      </w:pPr>
      <w:rPr>
        <w:rFonts w:ascii="Symbol" w:hAnsi="Symbol"/>
      </w:rPr>
    </w:lvl>
    <w:lvl w:ilvl="2" w:tplc="BA4224A0">
      <w:start w:val="1"/>
      <w:numFmt w:val="bullet"/>
      <w:lvlText w:val=""/>
      <w:lvlJc w:val="left"/>
      <w:pPr>
        <w:ind w:left="720" w:hanging="360"/>
      </w:pPr>
      <w:rPr>
        <w:rFonts w:ascii="Symbol" w:hAnsi="Symbol"/>
      </w:rPr>
    </w:lvl>
    <w:lvl w:ilvl="3" w:tplc="94668290">
      <w:start w:val="1"/>
      <w:numFmt w:val="bullet"/>
      <w:lvlText w:val=""/>
      <w:lvlJc w:val="left"/>
      <w:pPr>
        <w:ind w:left="720" w:hanging="360"/>
      </w:pPr>
      <w:rPr>
        <w:rFonts w:ascii="Symbol" w:hAnsi="Symbol"/>
      </w:rPr>
    </w:lvl>
    <w:lvl w:ilvl="4" w:tplc="6608CC74">
      <w:start w:val="1"/>
      <w:numFmt w:val="bullet"/>
      <w:lvlText w:val=""/>
      <w:lvlJc w:val="left"/>
      <w:pPr>
        <w:ind w:left="720" w:hanging="360"/>
      </w:pPr>
      <w:rPr>
        <w:rFonts w:ascii="Symbol" w:hAnsi="Symbol"/>
      </w:rPr>
    </w:lvl>
    <w:lvl w:ilvl="5" w:tplc="1E0C1A16">
      <w:start w:val="1"/>
      <w:numFmt w:val="bullet"/>
      <w:lvlText w:val=""/>
      <w:lvlJc w:val="left"/>
      <w:pPr>
        <w:ind w:left="720" w:hanging="360"/>
      </w:pPr>
      <w:rPr>
        <w:rFonts w:ascii="Symbol" w:hAnsi="Symbol"/>
      </w:rPr>
    </w:lvl>
    <w:lvl w:ilvl="6" w:tplc="47DC259C">
      <w:start w:val="1"/>
      <w:numFmt w:val="bullet"/>
      <w:lvlText w:val=""/>
      <w:lvlJc w:val="left"/>
      <w:pPr>
        <w:ind w:left="720" w:hanging="360"/>
      </w:pPr>
      <w:rPr>
        <w:rFonts w:ascii="Symbol" w:hAnsi="Symbol"/>
      </w:rPr>
    </w:lvl>
    <w:lvl w:ilvl="7" w:tplc="539279C8">
      <w:start w:val="1"/>
      <w:numFmt w:val="bullet"/>
      <w:lvlText w:val=""/>
      <w:lvlJc w:val="left"/>
      <w:pPr>
        <w:ind w:left="720" w:hanging="360"/>
      </w:pPr>
      <w:rPr>
        <w:rFonts w:ascii="Symbol" w:hAnsi="Symbol"/>
      </w:rPr>
    </w:lvl>
    <w:lvl w:ilvl="8" w:tplc="69ECEB8E">
      <w:start w:val="1"/>
      <w:numFmt w:val="bullet"/>
      <w:lvlText w:val=""/>
      <w:lvlJc w:val="left"/>
      <w:pPr>
        <w:ind w:left="720" w:hanging="360"/>
      </w:pPr>
      <w:rPr>
        <w:rFonts w:ascii="Symbol" w:hAnsi="Symbol"/>
      </w:rPr>
    </w:lvl>
  </w:abstractNum>
  <w:abstractNum w:abstractNumId="27" w15:restartNumberingAfterBreak="0">
    <w:nsid w:val="5BDF3E17"/>
    <w:multiLevelType w:val="hybridMultilevel"/>
    <w:tmpl w:val="63FC28E0"/>
    <w:lvl w:ilvl="0" w:tplc="7A06BE3E">
      <w:start w:val="1"/>
      <w:numFmt w:val="bullet"/>
      <w:lvlText w:val=""/>
      <w:lvlJc w:val="left"/>
      <w:pPr>
        <w:ind w:left="720" w:hanging="360"/>
      </w:pPr>
      <w:rPr>
        <w:rFonts w:ascii="Symbol" w:hAnsi="Symbol"/>
      </w:rPr>
    </w:lvl>
    <w:lvl w:ilvl="1" w:tplc="FD08C602">
      <w:start w:val="1"/>
      <w:numFmt w:val="bullet"/>
      <w:lvlText w:val=""/>
      <w:lvlJc w:val="left"/>
      <w:pPr>
        <w:ind w:left="720" w:hanging="360"/>
      </w:pPr>
      <w:rPr>
        <w:rFonts w:ascii="Symbol" w:hAnsi="Symbol"/>
      </w:rPr>
    </w:lvl>
    <w:lvl w:ilvl="2" w:tplc="C2C8FA84">
      <w:start w:val="1"/>
      <w:numFmt w:val="bullet"/>
      <w:lvlText w:val=""/>
      <w:lvlJc w:val="left"/>
      <w:pPr>
        <w:ind w:left="720" w:hanging="360"/>
      </w:pPr>
      <w:rPr>
        <w:rFonts w:ascii="Symbol" w:hAnsi="Symbol"/>
      </w:rPr>
    </w:lvl>
    <w:lvl w:ilvl="3" w:tplc="231EAB8A">
      <w:start w:val="1"/>
      <w:numFmt w:val="bullet"/>
      <w:lvlText w:val=""/>
      <w:lvlJc w:val="left"/>
      <w:pPr>
        <w:ind w:left="720" w:hanging="360"/>
      </w:pPr>
      <w:rPr>
        <w:rFonts w:ascii="Symbol" w:hAnsi="Symbol"/>
      </w:rPr>
    </w:lvl>
    <w:lvl w:ilvl="4" w:tplc="5B928E24">
      <w:start w:val="1"/>
      <w:numFmt w:val="bullet"/>
      <w:lvlText w:val=""/>
      <w:lvlJc w:val="left"/>
      <w:pPr>
        <w:ind w:left="720" w:hanging="360"/>
      </w:pPr>
      <w:rPr>
        <w:rFonts w:ascii="Symbol" w:hAnsi="Symbol"/>
      </w:rPr>
    </w:lvl>
    <w:lvl w:ilvl="5" w:tplc="9662A7B6">
      <w:start w:val="1"/>
      <w:numFmt w:val="bullet"/>
      <w:lvlText w:val=""/>
      <w:lvlJc w:val="left"/>
      <w:pPr>
        <w:ind w:left="720" w:hanging="360"/>
      </w:pPr>
      <w:rPr>
        <w:rFonts w:ascii="Symbol" w:hAnsi="Symbol"/>
      </w:rPr>
    </w:lvl>
    <w:lvl w:ilvl="6" w:tplc="809075AA">
      <w:start w:val="1"/>
      <w:numFmt w:val="bullet"/>
      <w:lvlText w:val=""/>
      <w:lvlJc w:val="left"/>
      <w:pPr>
        <w:ind w:left="720" w:hanging="360"/>
      </w:pPr>
      <w:rPr>
        <w:rFonts w:ascii="Symbol" w:hAnsi="Symbol"/>
      </w:rPr>
    </w:lvl>
    <w:lvl w:ilvl="7" w:tplc="59B4D7A4">
      <w:start w:val="1"/>
      <w:numFmt w:val="bullet"/>
      <w:lvlText w:val=""/>
      <w:lvlJc w:val="left"/>
      <w:pPr>
        <w:ind w:left="720" w:hanging="360"/>
      </w:pPr>
      <w:rPr>
        <w:rFonts w:ascii="Symbol" w:hAnsi="Symbol"/>
      </w:rPr>
    </w:lvl>
    <w:lvl w:ilvl="8" w:tplc="4D4E184A">
      <w:start w:val="1"/>
      <w:numFmt w:val="bullet"/>
      <w:lvlText w:val=""/>
      <w:lvlJc w:val="left"/>
      <w:pPr>
        <w:ind w:left="720" w:hanging="360"/>
      </w:pPr>
      <w:rPr>
        <w:rFonts w:ascii="Symbol" w:hAnsi="Symbol"/>
      </w:rPr>
    </w:lvl>
  </w:abstractNum>
  <w:abstractNum w:abstractNumId="2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16527B"/>
    <w:multiLevelType w:val="hybridMultilevel"/>
    <w:tmpl w:val="0CF67E06"/>
    <w:lvl w:ilvl="0" w:tplc="42947DE0">
      <w:start w:val="1"/>
      <w:numFmt w:val="bullet"/>
      <w:lvlText w:val=""/>
      <w:lvlJc w:val="left"/>
      <w:pPr>
        <w:ind w:left="720" w:hanging="360"/>
      </w:pPr>
      <w:rPr>
        <w:rFonts w:ascii="Symbol" w:hAnsi="Symbol"/>
      </w:rPr>
    </w:lvl>
    <w:lvl w:ilvl="1" w:tplc="9BD6E700">
      <w:start w:val="1"/>
      <w:numFmt w:val="bullet"/>
      <w:lvlText w:val=""/>
      <w:lvlJc w:val="left"/>
      <w:pPr>
        <w:ind w:left="720" w:hanging="360"/>
      </w:pPr>
      <w:rPr>
        <w:rFonts w:ascii="Symbol" w:hAnsi="Symbol"/>
      </w:rPr>
    </w:lvl>
    <w:lvl w:ilvl="2" w:tplc="72302426">
      <w:start w:val="1"/>
      <w:numFmt w:val="bullet"/>
      <w:lvlText w:val=""/>
      <w:lvlJc w:val="left"/>
      <w:pPr>
        <w:ind w:left="720" w:hanging="360"/>
      </w:pPr>
      <w:rPr>
        <w:rFonts w:ascii="Symbol" w:hAnsi="Symbol"/>
      </w:rPr>
    </w:lvl>
    <w:lvl w:ilvl="3" w:tplc="10FAC6E6">
      <w:start w:val="1"/>
      <w:numFmt w:val="bullet"/>
      <w:lvlText w:val=""/>
      <w:lvlJc w:val="left"/>
      <w:pPr>
        <w:ind w:left="720" w:hanging="360"/>
      </w:pPr>
      <w:rPr>
        <w:rFonts w:ascii="Symbol" w:hAnsi="Symbol"/>
      </w:rPr>
    </w:lvl>
    <w:lvl w:ilvl="4" w:tplc="ED4C2BA8">
      <w:start w:val="1"/>
      <w:numFmt w:val="bullet"/>
      <w:lvlText w:val=""/>
      <w:lvlJc w:val="left"/>
      <w:pPr>
        <w:ind w:left="720" w:hanging="360"/>
      </w:pPr>
      <w:rPr>
        <w:rFonts w:ascii="Symbol" w:hAnsi="Symbol"/>
      </w:rPr>
    </w:lvl>
    <w:lvl w:ilvl="5" w:tplc="57C0C152">
      <w:start w:val="1"/>
      <w:numFmt w:val="bullet"/>
      <w:lvlText w:val=""/>
      <w:lvlJc w:val="left"/>
      <w:pPr>
        <w:ind w:left="720" w:hanging="360"/>
      </w:pPr>
      <w:rPr>
        <w:rFonts w:ascii="Symbol" w:hAnsi="Symbol"/>
      </w:rPr>
    </w:lvl>
    <w:lvl w:ilvl="6" w:tplc="E7AA1166">
      <w:start w:val="1"/>
      <w:numFmt w:val="bullet"/>
      <w:lvlText w:val=""/>
      <w:lvlJc w:val="left"/>
      <w:pPr>
        <w:ind w:left="720" w:hanging="360"/>
      </w:pPr>
      <w:rPr>
        <w:rFonts w:ascii="Symbol" w:hAnsi="Symbol"/>
      </w:rPr>
    </w:lvl>
    <w:lvl w:ilvl="7" w:tplc="E17875D4">
      <w:start w:val="1"/>
      <w:numFmt w:val="bullet"/>
      <w:lvlText w:val=""/>
      <w:lvlJc w:val="left"/>
      <w:pPr>
        <w:ind w:left="720" w:hanging="360"/>
      </w:pPr>
      <w:rPr>
        <w:rFonts w:ascii="Symbol" w:hAnsi="Symbol"/>
      </w:rPr>
    </w:lvl>
    <w:lvl w:ilvl="8" w:tplc="E60CF54C">
      <w:start w:val="1"/>
      <w:numFmt w:val="bullet"/>
      <w:lvlText w:val=""/>
      <w:lvlJc w:val="left"/>
      <w:pPr>
        <w:ind w:left="720" w:hanging="360"/>
      </w:pPr>
      <w:rPr>
        <w:rFonts w:ascii="Symbol" w:hAnsi="Symbol"/>
      </w:rPr>
    </w:lvl>
  </w:abstractNum>
  <w:abstractNum w:abstractNumId="30" w15:restartNumberingAfterBreak="0">
    <w:nsid w:val="66AD5291"/>
    <w:multiLevelType w:val="multilevel"/>
    <w:tmpl w:val="9562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82536"/>
    <w:multiLevelType w:val="hybridMultilevel"/>
    <w:tmpl w:val="0AAE1D12"/>
    <w:lvl w:ilvl="0" w:tplc="FCF28C2C">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8A84205"/>
    <w:multiLevelType w:val="hybridMultilevel"/>
    <w:tmpl w:val="05FAC402"/>
    <w:lvl w:ilvl="0" w:tplc="1D34BC4E">
      <w:start w:val="1"/>
      <w:numFmt w:val="bullet"/>
      <w:lvlText w:val=""/>
      <w:lvlJc w:val="left"/>
      <w:pPr>
        <w:ind w:left="720" w:hanging="360"/>
      </w:pPr>
      <w:rPr>
        <w:rFonts w:ascii="Symbol" w:hAnsi="Symbol"/>
      </w:rPr>
    </w:lvl>
    <w:lvl w:ilvl="1" w:tplc="7F66F648">
      <w:start w:val="1"/>
      <w:numFmt w:val="bullet"/>
      <w:lvlText w:val=""/>
      <w:lvlJc w:val="left"/>
      <w:pPr>
        <w:ind w:left="720" w:hanging="360"/>
      </w:pPr>
      <w:rPr>
        <w:rFonts w:ascii="Symbol" w:hAnsi="Symbol"/>
      </w:rPr>
    </w:lvl>
    <w:lvl w:ilvl="2" w:tplc="DFF0A76C">
      <w:start w:val="1"/>
      <w:numFmt w:val="bullet"/>
      <w:lvlText w:val=""/>
      <w:lvlJc w:val="left"/>
      <w:pPr>
        <w:ind w:left="720" w:hanging="360"/>
      </w:pPr>
      <w:rPr>
        <w:rFonts w:ascii="Symbol" w:hAnsi="Symbol"/>
      </w:rPr>
    </w:lvl>
    <w:lvl w:ilvl="3" w:tplc="8DE886AC">
      <w:start w:val="1"/>
      <w:numFmt w:val="bullet"/>
      <w:lvlText w:val=""/>
      <w:lvlJc w:val="left"/>
      <w:pPr>
        <w:ind w:left="720" w:hanging="360"/>
      </w:pPr>
      <w:rPr>
        <w:rFonts w:ascii="Symbol" w:hAnsi="Symbol"/>
      </w:rPr>
    </w:lvl>
    <w:lvl w:ilvl="4" w:tplc="0F940730">
      <w:start w:val="1"/>
      <w:numFmt w:val="bullet"/>
      <w:lvlText w:val=""/>
      <w:lvlJc w:val="left"/>
      <w:pPr>
        <w:ind w:left="720" w:hanging="360"/>
      </w:pPr>
      <w:rPr>
        <w:rFonts w:ascii="Symbol" w:hAnsi="Symbol"/>
      </w:rPr>
    </w:lvl>
    <w:lvl w:ilvl="5" w:tplc="328C95CA">
      <w:start w:val="1"/>
      <w:numFmt w:val="bullet"/>
      <w:lvlText w:val=""/>
      <w:lvlJc w:val="left"/>
      <w:pPr>
        <w:ind w:left="720" w:hanging="360"/>
      </w:pPr>
      <w:rPr>
        <w:rFonts w:ascii="Symbol" w:hAnsi="Symbol"/>
      </w:rPr>
    </w:lvl>
    <w:lvl w:ilvl="6" w:tplc="F94A2DCC">
      <w:start w:val="1"/>
      <w:numFmt w:val="bullet"/>
      <w:lvlText w:val=""/>
      <w:lvlJc w:val="left"/>
      <w:pPr>
        <w:ind w:left="720" w:hanging="360"/>
      </w:pPr>
      <w:rPr>
        <w:rFonts w:ascii="Symbol" w:hAnsi="Symbol"/>
      </w:rPr>
    </w:lvl>
    <w:lvl w:ilvl="7" w:tplc="61962B4C">
      <w:start w:val="1"/>
      <w:numFmt w:val="bullet"/>
      <w:lvlText w:val=""/>
      <w:lvlJc w:val="left"/>
      <w:pPr>
        <w:ind w:left="720" w:hanging="360"/>
      </w:pPr>
      <w:rPr>
        <w:rFonts w:ascii="Symbol" w:hAnsi="Symbol"/>
      </w:rPr>
    </w:lvl>
    <w:lvl w:ilvl="8" w:tplc="60DC54E2">
      <w:start w:val="1"/>
      <w:numFmt w:val="bullet"/>
      <w:lvlText w:val=""/>
      <w:lvlJc w:val="left"/>
      <w:pPr>
        <w:ind w:left="720" w:hanging="360"/>
      </w:pPr>
      <w:rPr>
        <w:rFonts w:ascii="Symbol" w:hAnsi="Symbol"/>
      </w:rPr>
    </w:lvl>
  </w:abstractNum>
  <w:abstractNum w:abstractNumId="33"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4" w15:restartNumberingAfterBreak="0">
    <w:nsid w:val="72057189"/>
    <w:multiLevelType w:val="hybridMultilevel"/>
    <w:tmpl w:val="B54CBEC8"/>
    <w:lvl w:ilvl="0" w:tplc="85429394">
      <w:start w:val="1"/>
      <w:numFmt w:val="bullet"/>
      <w:lvlText w:val=""/>
      <w:lvlJc w:val="left"/>
      <w:pPr>
        <w:ind w:left="720" w:hanging="360"/>
      </w:pPr>
      <w:rPr>
        <w:rFonts w:ascii="Symbol" w:hAnsi="Symbol"/>
      </w:rPr>
    </w:lvl>
    <w:lvl w:ilvl="1" w:tplc="FE56DD8E">
      <w:start w:val="1"/>
      <w:numFmt w:val="bullet"/>
      <w:lvlText w:val=""/>
      <w:lvlJc w:val="left"/>
      <w:pPr>
        <w:ind w:left="720" w:hanging="360"/>
      </w:pPr>
      <w:rPr>
        <w:rFonts w:ascii="Symbol" w:hAnsi="Symbol"/>
      </w:rPr>
    </w:lvl>
    <w:lvl w:ilvl="2" w:tplc="29C49B4A">
      <w:start w:val="1"/>
      <w:numFmt w:val="bullet"/>
      <w:lvlText w:val=""/>
      <w:lvlJc w:val="left"/>
      <w:pPr>
        <w:ind w:left="720" w:hanging="360"/>
      </w:pPr>
      <w:rPr>
        <w:rFonts w:ascii="Symbol" w:hAnsi="Symbol"/>
      </w:rPr>
    </w:lvl>
    <w:lvl w:ilvl="3" w:tplc="D93C8250">
      <w:start w:val="1"/>
      <w:numFmt w:val="bullet"/>
      <w:lvlText w:val=""/>
      <w:lvlJc w:val="left"/>
      <w:pPr>
        <w:ind w:left="720" w:hanging="360"/>
      </w:pPr>
      <w:rPr>
        <w:rFonts w:ascii="Symbol" w:hAnsi="Symbol"/>
      </w:rPr>
    </w:lvl>
    <w:lvl w:ilvl="4" w:tplc="C9788A94">
      <w:start w:val="1"/>
      <w:numFmt w:val="bullet"/>
      <w:lvlText w:val=""/>
      <w:lvlJc w:val="left"/>
      <w:pPr>
        <w:ind w:left="720" w:hanging="360"/>
      </w:pPr>
      <w:rPr>
        <w:rFonts w:ascii="Symbol" w:hAnsi="Symbol"/>
      </w:rPr>
    </w:lvl>
    <w:lvl w:ilvl="5" w:tplc="C6649562">
      <w:start w:val="1"/>
      <w:numFmt w:val="bullet"/>
      <w:lvlText w:val=""/>
      <w:lvlJc w:val="left"/>
      <w:pPr>
        <w:ind w:left="720" w:hanging="360"/>
      </w:pPr>
      <w:rPr>
        <w:rFonts w:ascii="Symbol" w:hAnsi="Symbol"/>
      </w:rPr>
    </w:lvl>
    <w:lvl w:ilvl="6" w:tplc="78BE9592">
      <w:start w:val="1"/>
      <w:numFmt w:val="bullet"/>
      <w:lvlText w:val=""/>
      <w:lvlJc w:val="left"/>
      <w:pPr>
        <w:ind w:left="720" w:hanging="360"/>
      </w:pPr>
      <w:rPr>
        <w:rFonts w:ascii="Symbol" w:hAnsi="Symbol"/>
      </w:rPr>
    </w:lvl>
    <w:lvl w:ilvl="7" w:tplc="71424C34">
      <w:start w:val="1"/>
      <w:numFmt w:val="bullet"/>
      <w:lvlText w:val=""/>
      <w:lvlJc w:val="left"/>
      <w:pPr>
        <w:ind w:left="720" w:hanging="360"/>
      </w:pPr>
      <w:rPr>
        <w:rFonts w:ascii="Symbol" w:hAnsi="Symbol"/>
      </w:rPr>
    </w:lvl>
    <w:lvl w:ilvl="8" w:tplc="EBB06B02">
      <w:start w:val="1"/>
      <w:numFmt w:val="bullet"/>
      <w:lvlText w:val=""/>
      <w:lvlJc w:val="left"/>
      <w:pPr>
        <w:ind w:left="720" w:hanging="360"/>
      </w:pPr>
      <w:rPr>
        <w:rFonts w:ascii="Symbol" w:hAnsi="Symbol"/>
      </w:rPr>
    </w:lvl>
  </w:abstractNum>
  <w:abstractNum w:abstractNumId="3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B8A3F5F"/>
    <w:multiLevelType w:val="hybridMultilevel"/>
    <w:tmpl w:val="9BDA9636"/>
    <w:lvl w:ilvl="0" w:tplc="43800348">
      <w:start w:val="1"/>
      <w:numFmt w:val="bullet"/>
      <w:lvlText w:val=""/>
      <w:lvlJc w:val="left"/>
      <w:pPr>
        <w:ind w:left="1020" w:hanging="360"/>
      </w:pPr>
      <w:rPr>
        <w:rFonts w:ascii="Symbol" w:hAnsi="Symbol"/>
      </w:rPr>
    </w:lvl>
    <w:lvl w:ilvl="1" w:tplc="53E01DD2">
      <w:start w:val="1"/>
      <w:numFmt w:val="bullet"/>
      <w:lvlText w:val=""/>
      <w:lvlJc w:val="left"/>
      <w:pPr>
        <w:ind w:left="1020" w:hanging="360"/>
      </w:pPr>
      <w:rPr>
        <w:rFonts w:ascii="Symbol" w:hAnsi="Symbol"/>
      </w:rPr>
    </w:lvl>
    <w:lvl w:ilvl="2" w:tplc="87F2F368">
      <w:start w:val="1"/>
      <w:numFmt w:val="bullet"/>
      <w:lvlText w:val=""/>
      <w:lvlJc w:val="left"/>
      <w:pPr>
        <w:ind w:left="1020" w:hanging="360"/>
      </w:pPr>
      <w:rPr>
        <w:rFonts w:ascii="Symbol" w:hAnsi="Symbol"/>
      </w:rPr>
    </w:lvl>
    <w:lvl w:ilvl="3" w:tplc="5C18680A">
      <w:start w:val="1"/>
      <w:numFmt w:val="bullet"/>
      <w:lvlText w:val=""/>
      <w:lvlJc w:val="left"/>
      <w:pPr>
        <w:ind w:left="1020" w:hanging="360"/>
      </w:pPr>
      <w:rPr>
        <w:rFonts w:ascii="Symbol" w:hAnsi="Symbol"/>
      </w:rPr>
    </w:lvl>
    <w:lvl w:ilvl="4" w:tplc="B1046178">
      <w:start w:val="1"/>
      <w:numFmt w:val="bullet"/>
      <w:lvlText w:val=""/>
      <w:lvlJc w:val="left"/>
      <w:pPr>
        <w:ind w:left="1020" w:hanging="360"/>
      </w:pPr>
      <w:rPr>
        <w:rFonts w:ascii="Symbol" w:hAnsi="Symbol"/>
      </w:rPr>
    </w:lvl>
    <w:lvl w:ilvl="5" w:tplc="A88EFD18">
      <w:start w:val="1"/>
      <w:numFmt w:val="bullet"/>
      <w:lvlText w:val=""/>
      <w:lvlJc w:val="left"/>
      <w:pPr>
        <w:ind w:left="1020" w:hanging="360"/>
      </w:pPr>
      <w:rPr>
        <w:rFonts w:ascii="Symbol" w:hAnsi="Symbol"/>
      </w:rPr>
    </w:lvl>
    <w:lvl w:ilvl="6" w:tplc="0AB40248">
      <w:start w:val="1"/>
      <w:numFmt w:val="bullet"/>
      <w:lvlText w:val=""/>
      <w:lvlJc w:val="left"/>
      <w:pPr>
        <w:ind w:left="1020" w:hanging="360"/>
      </w:pPr>
      <w:rPr>
        <w:rFonts w:ascii="Symbol" w:hAnsi="Symbol"/>
      </w:rPr>
    </w:lvl>
    <w:lvl w:ilvl="7" w:tplc="BE985D6C">
      <w:start w:val="1"/>
      <w:numFmt w:val="bullet"/>
      <w:lvlText w:val=""/>
      <w:lvlJc w:val="left"/>
      <w:pPr>
        <w:ind w:left="1020" w:hanging="360"/>
      </w:pPr>
      <w:rPr>
        <w:rFonts w:ascii="Symbol" w:hAnsi="Symbol"/>
      </w:rPr>
    </w:lvl>
    <w:lvl w:ilvl="8" w:tplc="6A72FF7C">
      <w:start w:val="1"/>
      <w:numFmt w:val="bullet"/>
      <w:lvlText w:val=""/>
      <w:lvlJc w:val="left"/>
      <w:pPr>
        <w:ind w:left="1020" w:hanging="360"/>
      </w:pPr>
      <w:rPr>
        <w:rFonts w:ascii="Symbol" w:hAnsi="Symbol"/>
      </w:rPr>
    </w:lvl>
  </w:abstractNum>
  <w:abstractNum w:abstractNumId="37"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4"/>
  </w:num>
  <w:num w:numId="2" w16cid:durableId="230386874">
    <w:abstractNumId w:val="0"/>
  </w:num>
  <w:num w:numId="3" w16cid:durableId="1716855291">
    <w:abstractNumId w:val="17"/>
  </w:num>
  <w:num w:numId="4" w16cid:durableId="797724066">
    <w:abstractNumId w:val="4"/>
  </w:num>
  <w:num w:numId="5" w16cid:durableId="709110180">
    <w:abstractNumId w:val="6"/>
  </w:num>
  <w:num w:numId="6" w16cid:durableId="306596971">
    <w:abstractNumId w:val="22"/>
  </w:num>
  <w:num w:numId="7" w16cid:durableId="1739129519">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8"/>
  </w:num>
  <w:num w:numId="9" w16cid:durableId="1591279926">
    <w:abstractNumId w:val="3"/>
  </w:num>
  <w:num w:numId="10" w16cid:durableId="832991063">
    <w:abstractNumId w:val="12"/>
  </w:num>
  <w:num w:numId="11" w16cid:durableId="215508863">
    <w:abstractNumId w:val="38"/>
  </w:num>
  <w:num w:numId="12" w16cid:durableId="2019234066">
    <w:abstractNumId w:val="22"/>
  </w:num>
  <w:num w:numId="13" w16cid:durableId="1757362042">
    <w:abstractNumId w:val="39"/>
  </w:num>
  <w:num w:numId="14" w16cid:durableId="353965158">
    <w:abstractNumId w:val="20"/>
  </w:num>
  <w:num w:numId="15" w16cid:durableId="77220001">
    <w:abstractNumId w:val="11"/>
  </w:num>
  <w:num w:numId="16" w16cid:durableId="626086807">
    <w:abstractNumId w:val="28"/>
  </w:num>
  <w:num w:numId="17" w16cid:durableId="143200778">
    <w:abstractNumId w:val="16"/>
  </w:num>
  <w:num w:numId="18" w16cid:durableId="10540393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5"/>
  </w:num>
  <w:num w:numId="21" w16cid:durableId="525217854">
    <w:abstractNumId w:val="23"/>
  </w:num>
  <w:num w:numId="22" w16cid:durableId="1017973052">
    <w:abstractNumId w:val="5"/>
  </w:num>
  <w:num w:numId="23" w16cid:durableId="1710757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33"/>
  </w:num>
  <w:num w:numId="25" w16cid:durableId="1198618205">
    <w:abstractNumId w:val="9"/>
  </w:num>
  <w:num w:numId="26" w16cid:durableId="479226273">
    <w:abstractNumId w:val="27"/>
  </w:num>
  <w:num w:numId="27" w16cid:durableId="1852139545">
    <w:abstractNumId w:val="21"/>
  </w:num>
  <w:num w:numId="28" w16cid:durableId="545487887">
    <w:abstractNumId w:val="26"/>
  </w:num>
  <w:num w:numId="29" w16cid:durableId="2080131775">
    <w:abstractNumId w:val="10"/>
  </w:num>
  <w:num w:numId="30" w16cid:durableId="1988897805">
    <w:abstractNumId w:val="29"/>
  </w:num>
  <w:num w:numId="31" w16cid:durableId="1308587725">
    <w:abstractNumId w:val="34"/>
  </w:num>
  <w:num w:numId="32" w16cid:durableId="1520581741">
    <w:abstractNumId w:val="32"/>
  </w:num>
  <w:num w:numId="33" w16cid:durableId="746734036">
    <w:abstractNumId w:val="33"/>
  </w:num>
  <w:num w:numId="34" w16cid:durableId="771366454">
    <w:abstractNumId w:val="2"/>
  </w:num>
  <w:num w:numId="35" w16cid:durableId="15083792">
    <w:abstractNumId w:val="24"/>
  </w:num>
  <w:num w:numId="36" w16cid:durableId="948853117">
    <w:abstractNumId w:val="7"/>
  </w:num>
  <w:num w:numId="37" w16cid:durableId="2043164168">
    <w:abstractNumId w:val="19"/>
  </w:num>
  <w:num w:numId="38" w16cid:durableId="999582809">
    <w:abstractNumId w:val="1"/>
  </w:num>
  <w:num w:numId="39" w16cid:durableId="1904945809">
    <w:abstractNumId w:val="25"/>
  </w:num>
  <w:num w:numId="40" w16cid:durableId="2093116365">
    <w:abstractNumId w:val="13"/>
  </w:num>
  <w:num w:numId="41" w16cid:durableId="1353339602">
    <w:abstractNumId w:val="30"/>
  </w:num>
  <w:num w:numId="42" w16cid:durableId="47463872">
    <w:abstractNumId w:val="33"/>
  </w:num>
  <w:num w:numId="43" w16cid:durableId="1725061892">
    <w:abstractNumId w:val="18"/>
  </w:num>
  <w:num w:numId="44" w16cid:durableId="398792938">
    <w:abstractNumId w:val="33"/>
  </w:num>
  <w:num w:numId="45" w16cid:durableId="1844735249">
    <w:abstractNumId w:val="36"/>
  </w:num>
  <w:num w:numId="46" w16cid:durableId="1484054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B0248"/>
    <w:rsid w:val="000003D0"/>
    <w:rsid w:val="00000855"/>
    <w:rsid w:val="0000105A"/>
    <w:rsid w:val="000010C8"/>
    <w:rsid w:val="00001667"/>
    <w:rsid w:val="00001B12"/>
    <w:rsid w:val="00001FC2"/>
    <w:rsid w:val="00001FD7"/>
    <w:rsid w:val="000020FE"/>
    <w:rsid w:val="00003559"/>
    <w:rsid w:val="00003C72"/>
    <w:rsid w:val="00003CF8"/>
    <w:rsid w:val="00003E13"/>
    <w:rsid w:val="00005E8E"/>
    <w:rsid w:val="0000668D"/>
    <w:rsid w:val="00006AC6"/>
    <w:rsid w:val="00007997"/>
    <w:rsid w:val="00007F66"/>
    <w:rsid w:val="00010AB7"/>
    <w:rsid w:val="00010B49"/>
    <w:rsid w:val="00010D6B"/>
    <w:rsid w:val="00010F96"/>
    <w:rsid w:val="00011466"/>
    <w:rsid w:val="00011725"/>
    <w:rsid w:val="00011761"/>
    <w:rsid w:val="0001200B"/>
    <w:rsid w:val="00012247"/>
    <w:rsid w:val="00012336"/>
    <w:rsid w:val="00012C62"/>
    <w:rsid w:val="0001308E"/>
    <w:rsid w:val="000134B7"/>
    <w:rsid w:val="00013517"/>
    <w:rsid w:val="0001396A"/>
    <w:rsid w:val="00013B1C"/>
    <w:rsid w:val="00013C4B"/>
    <w:rsid w:val="00014A86"/>
    <w:rsid w:val="00014ACF"/>
    <w:rsid w:val="00014C36"/>
    <w:rsid w:val="00014E3F"/>
    <w:rsid w:val="00014FB1"/>
    <w:rsid w:val="0001500E"/>
    <w:rsid w:val="00015A91"/>
    <w:rsid w:val="0001677A"/>
    <w:rsid w:val="00016CEC"/>
    <w:rsid w:val="00017079"/>
    <w:rsid w:val="000173DB"/>
    <w:rsid w:val="0002017E"/>
    <w:rsid w:val="000201DE"/>
    <w:rsid w:val="000206DB"/>
    <w:rsid w:val="00020BE6"/>
    <w:rsid w:val="00021022"/>
    <w:rsid w:val="000212E1"/>
    <w:rsid w:val="00021818"/>
    <w:rsid w:val="00022347"/>
    <w:rsid w:val="00022621"/>
    <w:rsid w:val="00022F1A"/>
    <w:rsid w:val="00023155"/>
    <w:rsid w:val="00024070"/>
    <w:rsid w:val="000243D9"/>
    <w:rsid w:val="0002493B"/>
    <w:rsid w:val="00024F86"/>
    <w:rsid w:val="000250AC"/>
    <w:rsid w:val="0002544D"/>
    <w:rsid w:val="000265CF"/>
    <w:rsid w:val="0002680E"/>
    <w:rsid w:val="0002693D"/>
    <w:rsid w:val="00026F1D"/>
    <w:rsid w:val="00027C3B"/>
    <w:rsid w:val="00027C8E"/>
    <w:rsid w:val="000307A3"/>
    <w:rsid w:val="00030B35"/>
    <w:rsid w:val="00030C3D"/>
    <w:rsid w:val="000326F3"/>
    <w:rsid w:val="0003314C"/>
    <w:rsid w:val="000336BD"/>
    <w:rsid w:val="00033F61"/>
    <w:rsid w:val="00035419"/>
    <w:rsid w:val="000355BE"/>
    <w:rsid w:val="00036532"/>
    <w:rsid w:val="0003684C"/>
    <w:rsid w:val="00037253"/>
    <w:rsid w:val="0003788A"/>
    <w:rsid w:val="00037B85"/>
    <w:rsid w:val="0004082C"/>
    <w:rsid w:val="00040C4E"/>
    <w:rsid w:val="00040D28"/>
    <w:rsid w:val="00041A39"/>
    <w:rsid w:val="000423B1"/>
    <w:rsid w:val="0004274D"/>
    <w:rsid w:val="00043333"/>
    <w:rsid w:val="00043348"/>
    <w:rsid w:val="000438D7"/>
    <w:rsid w:val="00043C6E"/>
    <w:rsid w:val="000440E9"/>
    <w:rsid w:val="000444FD"/>
    <w:rsid w:val="0004483F"/>
    <w:rsid w:val="000449E3"/>
    <w:rsid w:val="000453ED"/>
    <w:rsid w:val="0004576E"/>
    <w:rsid w:val="00046CB4"/>
    <w:rsid w:val="00047B43"/>
    <w:rsid w:val="00047C95"/>
    <w:rsid w:val="0005003A"/>
    <w:rsid w:val="00050109"/>
    <w:rsid w:val="0005138B"/>
    <w:rsid w:val="00051A71"/>
    <w:rsid w:val="0005219E"/>
    <w:rsid w:val="000522B7"/>
    <w:rsid w:val="000527CB"/>
    <w:rsid w:val="00052924"/>
    <w:rsid w:val="00052A8C"/>
    <w:rsid w:val="00053376"/>
    <w:rsid w:val="00053717"/>
    <w:rsid w:val="000539A8"/>
    <w:rsid w:val="00053B86"/>
    <w:rsid w:val="000543F6"/>
    <w:rsid w:val="00054F91"/>
    <w:rsid w:val="000558A2"/>
    <w:rsid w:val="00055BDB"/>
    <w:rsid w:val="00055E7B"/>
    <w:rsid w:val="000562DA"/>
    <w:rsid w:val="00056670"/>
    <w:rsid w:val="00056880"/>
    <w:rsid w:val="00056B72"/>
    <w:rsid w:val="00056CBA"/>
    <w:rsid w:val="00056D7C"/>
    <w:rsid w:val="00057CDC"/>
    <w:rsid w:val="00060A88"/>
    <w:rsid w:val="00061A58"/>
    <w:rsid w:val="000624F7"/>
    <w:rsid w:val="00062745"/>
    <w:rsid w:val="000627AF"/>
    <w:rsid w:val="0006283F"/>
    <w:rsid w:val="00062ACC"/>
    <w:rsid w:val="00064853"/>
    <w:rsid w:val="00064A1C"/>
    <w:rsid w:val="00065F39"/>
    <w:rsid w:val="00066B9D"/>
    <w:rsid w:val="00066D2F"/>
    <w:rsid w:val="0006704A"/>
    <w:rsid w:val="000675C6"/>
    <w:rsid w:val="000675D1"/>
    <w:rsid w:val="000675FC"/>
    <w:rsid w:val="000677B4"/>
    <w:rsid w:val="00067881"/>
    <w:rsid w:val="00067D9E"/>
    <w:rsid w:val="00067DB1"/>
    <w:rsid w:val="00070569"/>
    <w:rsid w:val="00070B54"/>
    <w:rsid w:val="0007112D"/>
    <w:rsid w:val="00071744"/>
    <w:rsid w:val="00071CBD"/>
    <w:rsid w:val="00071D85"/>
    <w:rsid w:val="00072570"/>
    <w:rsid w:val="00072859"/>
    <w:rsid w:val="00072F09"/>
    <w:rsid w:val="00073151"/>
    <w:rsid w:val="00073521"/>
    <w:rsid w:val="00073A4D"/>
    <w:rsid w:val="00073AEA"/>
    <w:rsid w:val="00074390"/>
    <w:rsid w:val="000748DA"/>
    <w:rsid w:val="0007502A"/>
    <w:rsid w:val="00075416"/>
    <w:rsid w:val="00077587"/>
    <w:rsid w:val="000775DE"/>
    <w:rsid w:val="00077622"/>
    <w:rsid w:val="000776E3"/>
    <w:rsid w:val="00077AA3"/>
    <w:rsid w:val="00077F0B"/>
    <w:rsid w:val="0008010A"/>
    <w:rsid w:val="00080BCF"/>
    <w:rsid w:val="00081536"/>
    <w:rsid w:val="00082192"/>
    <w:rsid w:val="00083A06"/>
    <w:rsid w:val="00083D3E"/>
    <w:rsid w:val="000842F5"/>
    <w:rsid w:val="000847BA"/>
    <w:rsid w:val="00084EA8"/>
    <w:rsid w:val="000855E1"/>
    <w:rsid w:val="000858F8"/>
    <w:rsid w:val="0008604A"/>
    <w:rsid w:val="00086812"/>
    <w:rsid w:val="00087B58"/>
    <w:rsid w:val="00087F8C"/>
    <w:rsid w:val="00087FAF"/>
    <w:rsid w:val="0009018E"/>
    <w:rsid w:val="0009067D"/>
    <w:rsid w:val="00090834"/>
    <w:rsid w:val="000912C8"/>
    <w:rsid w:val="00091EEA"/>
    <w:rsid w:val="00091F6A"/>
    <w:rsid w:val="000920DA"/>
    <w:rsid w:val="00092E53"/>
    <w:rsid w:val="00093118"/>
    <w:rsid w:val="000931D8"/>
    <w:rsid w:val="0009347F"/>
    <w:rsid w:val="000948BF"/>
    <w:rsid w:val="000948D5"/>
    <w:rsid w:val="00094D16"/>
    <w:rsid w:val="0009509E"/>
    <w:rsid w:val="000953DD"/>
    <w:rsid w:val="000955E0"/>
    <w:rsid w:val="00095AF3"/>
    <w:rsid w:val="00095D88"/>
    <w:rsid w:val="00095EDA"/>
    <w:rsid w:val="0009689A"/>
    <w:rsid w:val="000975DD"/>
    <w:rsid w:val="00097BA2"/>
    <w:rsid w:val="000A015F"/>
    <w:rsid w:val="000A02C2"/>
    <w:rsid w:val="000A1087"/>
    <w:rsid w:val="000A3FBF"/>
    <w:rsid w:val="000A48BC"/>
    <w:rsid w:val="000A4BCD"/>
    <w:rsid w:val="000A4D82"/>
    <w:rsid w:val="000A5C56"/>
    <w:rsid w:val="000A608F"/>
    <w:rsid w:val="000A6669"/>
    <w:rsid w:val="000A66BD"/>
    <w:rsid w:val="000A6730"/>
    <w:rsid w:val="000A6973"/>
    <w:rsid w:val="000A6BF4"/>
    <w:rsid w:val="000A715F"/>
    <w:rsid w:val="000A7181"/>
    <w:rsid w:val="000A73B8"/>
    <w:rsid w:val="000A74D8"/>
    <w:rsid w:val="000A76CA"/>
    <w:rsid w:val="000B093F"/>
    <w:rsid w:val="000B0D64"/>
    <w:rsid w:val="000B0DCE"/>
    <w:rsid w:val="000B1085"/>
    <w:rsid w:val="000B14E3"/>
    <w:rsid w:val="000B1D6C"/>
    <w:rsid w:val="000B2786"/>
    <w:rsid w:val="000B2D63"/>
    <w:rsid w:val="000B302A"/>
    <w:rsid w:val="000B3649"/>
    <w:rsid w:val="000B4240"/>
    <w:rsid w:val="000B54E9"/>
    <w:rsid w:val="000B742A"/>
    <w:rsid w:val="000B7E74"/>
    <w:rsid w:val="000C0013"/>
    <w:rsid w:val="000C001E"/>
    <w:rsid w:val="000C0315"/>
    <w:rsid w:val="000C208C"/>
    <w:rsid w:val="000C247F"/>
    <w:rsid w:val="000C31C5"/>
    <w:rsid w:val="000C3B9C"/>
    <w:rsid w:val="000C444E"/>
    <w:rsid w:val="000C5256"/>
    <w:rsid w:val="000C571D"/>
    <w:rsid w:val="000C5F40"/>
    <w:rsid w:val="000C6A0D"/>
    <w:rsid w:val="000C6B6B"/>
    <w:rsid w:val="000C6F31"/>
    <w:rsid w:val="000C6FE9"/>
    <w:rsid w:val="000C705E"/>
    <w:rsid w:val="000C73AC"/>
    <w:rsid w:val="000C7A13"/>
    <w:rsid w:val="000C7A80"/>
    <w:rsid w:val="000C7CB7"/>
    <w:rsid w:val="000D0A66"/>
    <w:rsid w:val="000D131E"/>
    <w:rsid w:val="000D156B"/>
    <w:rsid w:val="000D282D"/>
    <w:rsid w:val="000D29A3"/>
    <w:rsid w:val="000D2BFF"/>
    <w:rsid w:val="000D432B"/>
    <w:rsid w:val="000D5039"/>
    <w:rsid w:val="000D57FE"/>
    <w:rsid w:val="000D5B39"/>
    <w:rsid w:val="000D64FF"/>
    <w:rsid w:val="000D6FAE"/>
    <w:rsid w:val="000D7830"/>
    <w:rsid w:val="000E0773"/>
    <w:rsid w:val="000E0B74"/>
    <w:rsid w:val="000E0B76"/>
    <w:rsid w:val="000E0C33"/>
    <w:rsid w:val="000E1B3B"/>
    <w:rsid w:val="000E20ED"/>
    <w:rsid w:val="000E25E9"/>
    <w:rsid w:val="000E288D"/>
    <w:rsid w:val="000E37BB"/>
    <w:rsid w:val="000E3C62"/>
    <w:rsid w:val="000E3DB9"/>
    <w:rsid w:val="000E43E0"/>
    <w:rsid w:val="000E45C7"/>
    <w:rsid w:val="000E4675"/>
    <w:rsid w:val="000E470F"/>
    <w:rsid w:val="000E4D40"/>
    <w:rsid w:val="000E4E55"/>
    <w:rsid w:val="000E4F02"/>
    <w:rsid w:val="000E5974"/>
    <w:rsid w:val="000E5AD3"/>
    <w:rsid w:val="000E5B1A"/>
    <w:rsid w:val="000E5EEC"/>
    <w:rsid w:val="000E61B5"/>
    <w:rsid w:val="000E68C0"/>
    <w:rsid w:val="000E72B6"/>
    <w:rsid w:val="000E7655"/>
    <w:rsid w:val="000E77C1"/>
    <w:rsid w:val="000E7901"/>
    <w:rsid w:val="000F0728"/>
    <w:rsid w:val="000F1054"/>
    <w:rsid w:val="000F1728"/>
    <w:rsid w:val="000F17DF"/>
    <w:rsid w:val="000F1B06"/>
    <w:rsid w:val="000F1E1A"/>
    <w:rsid w:val="000F1EEA"/>
    <w:rsid w:val="000F2F68"/>
    <w:rsid w:val="000F371A"/>
    <w:rsid w:val="000F3769"/>
    <w:rsid w:val="000F5756"/>
    <w:rsid w:val="000F5A00"/>
    <w:rsid w:val="000F5D63"/>
    <w:rsid w:val="000F6233"/>
    <w:rsid w:val="000F63AE"/>
    <w:rsid w:val="000F78B2"/>
    <w:rsid w:val="000F7B8B"/>
    <w:rsid w:val="000F7FFE"/>
    <w:rsid w:val="0010000A"/>
    <w:rsid w:val="001008FC"/>
    <w:rsid w:val="00100D40"/>
    <w:rsid w:val="00100DC2"/>
    <w:rsid w:val="00101269"/>
    <w:rsid w:val="00101401"/>
    <w:rsid w:val="001026BD"/>
    <w:rsid w:val="001026ED"/>
    <w:rsid w:val="001029FD"/>
    <w:rsid w:val="001034DE"/>
    <w:rsid w:val="001038B2"/>
    <w:rsid w:val="00103DC6"/>
    <w:rsid w:val="00103F3C"/>
    <w:rsid w:val="0010444D"/>
    <w:rsid w:val="00105026"/>
    <w:rsid w:val="00105074"/>
    <w:rsid w:val="0010549B"/>
    <w:rsid w:val="00105808"/>
    <w:rsid w:val="00106AAA"/>
    <w:rsid w:val="00106D18"/>
    <w:rsid w:val="00107AA2"/>
    <w:rsid w:val="00110381"/>
    <w:rsid w:val="001117F7"/>
    <w:rsid w:val="001118CB"/>
    <w:rsid w:val="00111CD0"/>
    <w:rsid w:val="00112062"/>
    <w:rsid w:val="00112109"/>
    <w:rsid w:val="00112F8D"/>
    <w:rsid w:val="001133FB"/>
    <w:rsid w:val="00113CF2"/>
    <w:rsid w:val="00113D89"/>
    <w:rsid w:val="00113F1E"/>
    <w:rsid w:val="001141D6"/>
    <w:rsid w:val="001142F0"/>
    <w:rsid w:val="0011473E"/>
    <w:rsid w:val="00114873"/>
    <w:rsid w:val="001150C2"/>
    <w:rsid w:val="001154B5"/>
    <w:rsid w:val="00115DB4"/>
    <w:rsid w:val="00115F53"/>
    <w:rsid w:val="00116996"/>
    <w:rsid w:val="00116E35"/>
    <w:rsid w:val="00117948"/>
    <w:rsid w:val="001179C6"/>
    <w:rsid w:val="00120413"/>
    <w:rsid w:val="00120C1C"/>
    <w:rsid w:val="00120CDB"/>
    <w:rsid w:val="00120D33"/>
    <w:rsid w:val="00120FF5"/>
    <w:rsid w:val="00121548"/>
    <w:rsid w:val="0012164A"/>
    <w:rsid w:val="00121BCA"/>
    <w:rsid w:val="00121D3C"/>
    <w:rsid w:val="00121D58"/>
    <w:rsid w:val="00121E8A"/>
    <w:rsid w:val="001227DC"/>
    <w:rsid w:val="00122A70"/>
    <w:rsid w:val="00122FF7"/>
    <w:rsid w:val="00123000"/>
    <w:rsid w:val="00123C88"/>
    <w:rsid w:val="00124200"/>
    <w:rsid w:val="00124C6C"/>
    <w:rsid w:val="00124DEF"/>
    <w:rsid w:val="001255CB"/>
    <w:rsid w:val="00125783"/>
    <w:rsid w:val="00125811"/>
    <w:rsid w:val="001258A1"/>
    <w:rsid w:val="00125F0D"/>
    <w:rsid w:val="00125FEE"/>
    <w:rsid w:val="00126386"/>
    <w:rsid w:val="00126CBF"/>
    <w:rsid w:val="001277E4"/>
    <w:rsid w:val="001278AF"/>
    <w:rsid w:val="0013046F"/>
    <w:rsid w:val="001306ED"/>
    <w:rsid w:val="001308C6"/>
    <w:rsid w:val="00131056"/>
    <w:rsid w:val="00131B5D"/>
    <w:rsid w:val="00131C12"/>
    <w:rsid w:val="00131DC3"/>
    <w:rsid w:val="00131DF6"/>
    <w:rsid w:val="001323A8"/>
    <w:rsid w:val="00132612"/>
    <w:rsid w:val="00133DFF"/>
    <w:rsid w:val="00133FD8"/>
    <w:rsid w:val="001342BB"/>
    <w:rsid w:val="00134659"/>
    <w:rsid w:val="001349BB"/>
    <w:rsid w:val="00134FFF"/>
    <w:rsid w:val="001356AB"/>
    <w:rsid w:val="00135E4C"/>
    <w:rsid w:val="0013679B"/>
    <w:rsid w:val="00136A75"/>
    <w:rsid w:val="00136D92"/>
    <w:rsid w:val="001373F5"/>
    <w:rsid w:val="00137633"/>
    <w:rsid w:val="00137C90"/>
    <w:rsid w:val="00137F89"/>
    <w:rsid w:val="001401AC"/>
    <w:rsid w:val="0014025B"/>
    <w:rsid w:val="0014084F"/>
    <w:rsid w:val="0014091D"/>
    <w:rsid w:val="0014095D"/>
    <w:rsid w:val="00140988"/>
    <w:rsid w:val="00141877"/>
    <w:rsid w:val="001418C1"/>
    <w:rsid w:val="00141B73"/>
    <w:rsid w:val="00143D6C"/>
    <w:rsid w:val="00144529"/>
    <w:rsid w:val="0014471A"/>
    <w:rsid w:val="00144E1F"/>
    <w:rsid w:val="00144FAE"/>
    <w:rsid w:val="00146448"/>
    <w:rsid w:val="001465AB"/>
    <w:rsid w:val="00147463"/>
    <w:rsid w:val="00147520"/>
    <w:rsid w:val="00150116"/>
    <w:rsid w:val="00150337"/>
    <w:rsid w:val="00151015"/>
    <w:rsid w:val="0015178D"/>
    <w:rsid w:val="00151C54"/>
    <w:rsid w:val="00151CD9"/>
    <w:rsid w:val="00152931"/>
    <w:rsid w:val="00152BB6"/>
    <w:rsid w:val="001531D8"/>
    <w:rsid w:val="00153212"/>
    <w:rsid w:val="00153426"/>
    <w:rsid w:val="00153ACE"/>
    <w:rsid w:val="00154B60"/>
    <w:rsid w:val="00154E06"/>
    <w:rsid w:val="00155356"/>
    <w:rsid w:val="00155465"/>
    <w:rsid w:val="001558FA"/>
    <w:rsid w:val="00157239"/>
    <w:rsid w:val="001573D3"/>
    <w:rsid w:val="001574C0"/>
    <w:rsid w:val="001577CF"/>
    <w:rsid w:val="00157D6A"/>
    <w:rsid w:val="001606CF"/>
    <w:rsid w:val="00160807"/>
    <w:rsid w:val="0016128D"/>
    <w:rsid w:val="001619DC"/>
    <w:rsid w:val="00162342"/>
    <w:rsid w:val="00162A23"/>
    <w:rsid w:val="00162AEA"/>
    <w:rsid w:val="0016325A"/>
    <w:rsid w:val="0016343B"/>
    <w:rsid w:val="001634C2"/>
    <w:rsid w:val="00163F7A"/>
    <w:rsid w:val="001641AA"/>
    <w:rsid w:val="0016447B"/>
    <w:rsid w:val="00164520"/>
    <w:rsid w:val="00164599"/>
    <w:rsid w:val="001645D6"/>
    <w:rsid w:val="00164B58"/>
    <w:rsid w:val="001654E5"/>
    <w:rsid w:val="001659F4"/>
    <w:rsid w:val="00165B46"/>
    <w:rsid w:val="00165DB5"/>
    <w:rsid w:val="00167A05"/>
    <w:rsid w:val="00167B91"/>
    <w:rsid w:val="00167C4D"/>
    <w:rsid w:val="0017089D"/>
    <w:rsid w:val="00171440"/>
    <w:rsid w:val="00171E49"/>
    <w:rsid w:val="00172AE6"/>
    <w:rsid w:val="00173414"/>
    <w:rsid w:val="001736F1"/>
    <w:rsid w:val="00173C91"/>
    <w:rsid w:val="00173FB8"/>
    <w:rsid w:val="001742D0"/>
    <w:rsid w:val="00175B6D"/>
    <w:rsid w:val="00175EF8"/>
    <w:rsid w:val="001760CC"/>
    <w:rsid w:val="001765B4"/>
    <w:rsid w:val="00176E6D"/>
    <w:rsid w:val="001772FD"/>
    <w:rsid w:val="001774BC"/>
    <w:rsid w:val="001805A8"/>
    <w:rsid w:val="00180859"/>
    <w:rsid w:val="0018107B"/>
    <w:rsid w:val="00181FA1"/>
    <w:rsid w:val="001829AE"/>
    <w:rsid w:val="0018324C"/>
    <w:rsid w:val="001835ED"/>
    <w:rsid w:val="0018377A"/>
    <w:rsid w:val="00183BF4"/>
    <w:rsid w:val="00184523"/>
    <w:rsid w:val="001847AC"/>
    <w:rsid w:val="001848DE"/>
    <w:rsid w:val="00184CDE"/>
    <w:rsid w:val="0018574F"/>
    <w:rsid w:val="00186AAD"/>
    <w:rsid w:val="00187705"/>
    <w:rsid w:val="00187FE2"/>
    <w:rsid w:val="00190508"/>
    <w:rsid w:val="001907D5"/>
    <w:rsid w:val="0019101A"/>
    <w:rsid w:val="00191116"/>
    <w:rsid w:val="00191414"/>
    <w:rsid w:val="00191D40"/>
    <w:rsid w:val="001923DD"/>
    <w:rsid w:val="00193330"/>
    <w:rsid w:val="00193AB0"/>
    <w:rsid w:val="00193ACB"/>
    <w:rsid w:val="00194B02"/>
    <w:rsid w:val="00194F34"/>
    <w:rsid w:val="00195C8E"/>
    <w:rsid w:val="00195E83"/>
    <w:rsid w:val="00196125"/>
    <w:rsid w:val="00196420"/>
    <w:rsid w:val="001964FA"/>
    <w:rsid w:val="00196971"/>
    <w:rsid w:val="001971ED"/>
    <w:rsid w:val="001972D2"/>
    <w:rsid w:val="0019760E"/>
    <w:rsid w:val="00197F4F"/>
    <w:rsid w:val="00197F74"/>
    <w:rsid w:val="001A030F"/>
    <w:rsid w:val="001A0398"/>
    <w:rsid w:val="001A06E6"/>
    <w:rsid w:val="001A1A05"/>
    <w:rsid w:val="001A1C1D"/>
    <w:rsid w:val="001A1C5D"/>
    <w:rsid w:val="001A2C8A"/>
    <w:rsid w:val="001A2E19"/>
    <w:rsid w:val="001A35D7"/>
    <w:rsid w:val="001A3F30"/>
    <w:rsid w:val="001A467F"/>
    <w:rsid w:val="001A51F8"/>
    <w:rsid w:val="001A52D0"/>
    <w:rsid w:val="001A57D4"/>
    <w:rsid w:val="001A6704"/>
    <w:rsid w:val="001A7E4A"/>
    <w:rsid w:val="001B008D"/>
    <w:rsid w:val="001B1501"/>
    <w:rsid w:val="001B1544"/>
    <w:rsid w:val="001B197C"/>
    <w:rsid w:val="001B1AAC"/>
    <w:rsid w:val="001B1EFA"/>
    <w:rsid w:val="001B3EDB"/>
    <w:rsid w:val="001B4C54"/>
    <w:rsid w:val="001B6193"/>
    <w:rsid w:val="001B657F"/>
    <w:rsid w:val="001B6B3E"/>
    <w:rsid w:val="001B7513"/>
    <w:rsid w:val="001C0AEF"/>
    <w:rsid w:val="001C0DEC"/>
    <w:rsid w:val="001C1BB3"/>
    <w:rsid w:val="001C1D34"/>
    <w:rsid w:val="001C1DC5"/>
    <w:rsid w:val="001C2333"/>
    <w:rsid w:val="001C2926"/>
    <w:rsid w:val="001C307D"/>
    <w:rsid w:val="001C30C4"/>
    <w:rsid w:val="001C332A"/>
    <w:rsid w:val="001C358D"/>
    <w:rsid w:val="001C3CED"/>
    <w:rsid w:val="001C40A0"/>
    <w:rsid w:val="001C6EA3"/>
    <w:rsid w:val="001C6F50"/>
    <w:rsid w:val="001C79F6"/>
    <w:rsid w:val="001C7F48"/>
    <w:rsid w:val="001D030D"/>
    <w:rsid w:val="001D04C4"/>
    <w:rsid w:val="001D098E"/>
    <w:rsid w:val="001D0A77"/>
    <w:rsid w:val="001D14D1"/>
    <w:rsid w:val="001D1DD9"/>
    <w:rsid w:val="001D40AC"/>
    <w:rsid w:val="001D5C76"/>
    <w:rsid w:val="001D6B2E"/>
    <w:rsid w:val="001D6D51"/>
    <w:rsid w:val="001D7113"/>
    <w:rsid w:val="001D7289"/>
    <w:rsid w:val="001D7B35"/>
    <w:rsid w:val="001D7D8C"/>
    <w:rsid w:val="001E06D3"/>
    <w:rsid w:val="001E0D00"/>
    <w:rsid w:val="001E1D99"/>
    <w:rsid w:val="001E1E85"/>
    <w:rsid w:val="001E20D8"/>
    <w:rsid w:val="001E254E"/>
    <w:rsid w:val="001E285F"/>
    <w:rsid w:val="001E2A65"/>
    <w:rsid w:val="001E2DBF"/>
    <w:rsid w:val="001E3292"/>
    <w:rsid w:val="001E34C2"/>
    <w:rsid w:val="001E36B4"/>
    <w:rsid w:val="001E41E7"/>
    <w:rsid w:val="001E470F"/>
    <w:rsid w:val="001E49B1"/>
    <w:rsid w:val="001E4C0B"/>
    <w:rsid w:val="001E4D00"/>
    <w:rsid w:val="001E7F39"/>
    <w:rsid w:val="001F005F"/>
    <w:rsid w:val="001F0291"/>
    <w:rsid w:val="001F1445"/>
    <w:rsid w:val="001F177C"/>
    <w:rsid w:val="001F1B27"/>
    <w:rsid w:val="001F1C0D"/>
    <w:rsid w:val="001F2E75"/>
    <w:rsid w:val="001F2F08"/>
    <w:rsid w:val="001F498E"/>
    <w:rsid w:val="001F49B8"/>
    <w:rsid w:val="001F4DEC"/>
    <w:rsid w:val="001F5475"/>
    <w:rsid w:val="001F607B"/>
    <w:rsid w:val="001F68FA"/>
    <w:rsid w:val="001F6CD9"/>
    <w:rsid w:val="001F6DC5"/>
    <w:rsid w:val="001F70BF"/>
    <w:rsid w:val="001F7CD2"/>
    <w:rsid w:val="001F7DBB"/>
    <w:rsid w:val="002007B9"/>
    <w:rsid w:val="002011A1"/>
    <w:rsid w:val="00201546"/>
    <w:rsid w:val="00201845"/>
    <w:rsid w:val="002019CD"/>
    <w:rsid w:val="00202142"/>
    <w:rsid w:val="002024BC"/>
    <w:rsid w:val="0020291D"/>
    <w:rsid w:val="002041D9"/>
    <w:rsid w:val="002046DE"/>
    <w:rsid w:val="00204AAF"/>
    <w:rsid w:val="00206160"/>
    <w:rsid w:val="0020633A"/>
    <w:rsid w:val="00207240"/>
    <w:rsid w:val="002074E4"/>
    <w:rsid w:val="00210348"/>
    <w:rsid w:val="00210477"/>
    <w:rsid w:val="0021101B"/>
    <w:rsid w:val="00211588"/>
    <w:rsid w:val="00211CA4"/>
    <w:rsid w:val="00211E93"/>
    <w:rsid w:val="002122B9"/>
    <w:rsid w:val="00213430"/>
    <w:rsid w:val="002134A4"/>
    <w:rsid w:val="00213EC4"/>
    <w:rsid w:val="00214CDC"/>
    <w:rsid w:val="002150CA"/>
    <w:rsid w:val="00216ED9"/>
    <w:rsid w:val="002174CD"/>
    <w:rsid w:val="00220425"/>
    <w:rsid w:val="00220C47"/>
    <w:rsid w:val="00220CB7"/>
    <w:rsid w:val="00221119"/>
    <w:rsid w:val="002219D9"/>
    <w:rsid w:val="00221EC0"/>
    <w:rsid w:val="0022229E"/>
    <w:rsid w:val="00222341"/>
    <w:rsid w:val="00222D05"/>
    <w:rsid w:val="002232EF"/>
    <w:rsid w:val="00223D9B"/>
    <w:rsid w:val="00224E1B"/>
    <w:rsid w:val="002254DB"/>
    <w:rsid w:val="00225761"/>
    <w:rsid w:val="002259E9"/>
    <w:rsid w:val="00225A60"/>
    <w:rsid w:val="00225E16"/>
    <w:rsid w:val="00225FCC"/>
    <w:rsid w:val="00226CA6"/>
    <w:rsid w:val="00227055"/>
    <w:rsid w:val="002276D8"/>
    <w:rsid w:val="00227E3D"/>
    <w:rsid w:val="002306AC"/>
    <w:rsid w:val="00230766"/>
    <w:rsid w:val="00230962"/>
    <w:rsid w:val="00230BEB"/>
    <w:rsid w:val="00231049"/>
    <w:rsid w:val="0023135E"/>
    <w:rsid w:val="002314D2"/>
    <w:rsid w:val="00231EED"/>
    <w:rsid w:val="002327EA"/>
    <w:rsid w:val="002329ED"/>
    <w:rsid w:val="00232F28"/>
    <w:rsid w:val="0023305C"/>
    <w:rsid w:val="00233BBB"/>
    <w:rsid w:val="00233CE8"/>
    <w:rsid w:val="00233D89"/>
    <w:rsid w:val="00234596"/>
    <w:rsid w:val="00234969"/>
    <w:rsid w:val="00234FF4"/>
    <w:rsid w:val="00235E59"/>
    <w:rsid w:val="00235EFD"/>
    <w:rsid w:val="00236403"/>
    <w:rsid w:val="00236796"/>
    <w:rsid w:val="00236AA8"/>
    <w:rsid w:val="00236BD5"/>
    <w:rsid w:val="00237E53"/>
    <w:rsid w:val="00237EBB"/>
    <w:rsid w:val="002400D9"/>
    <w:rsid w:val="002405C3"/>
    <w:rsid w:val="0024176E"/>
    <w:rsid w:val="00241881"/>
    <w:rsid w:val="00241B7D"/>
    <w:rsid w:val="00241C12"/>
    <w:rsid w:val="00241D34"/>
    <w:rsid w:val="0024226E"/>
    <w:rsid w:val="002422EB"/>
    <w:rsid w:val="002423ED"/>
    <w:rsid w:val="0024294C"/>
    <w:rsid w:val="00242DAB"/>
    <w:rsid w:val="002435F9"/>
    <w:rsid w:val="002436EE"/>
    <w:rsid w:val="00243DF8"/>
    <w:rsid w:val="00243E17"/>
    <w:rsid w:val="0024442B"/>
    <w:rsid w:val="00244777"/>
    <w:rsid w:val="00244814"/>
    <w:rsid w:val="00245138"/>
    <w:rsid w:val="00245F2A"/>
    <w:rsid w:val="002461BA"/>
    <w:rsid w:val="002461DA"/>
    <w:rsid w:val="00247B21"/>
    <w:rsid w:val="00247B79"/>
    <w:rsid w:val="00247E89"/>
    <w:rsid w:val="0025009C"/>
    <w:rsid w:val="002518D3"/>
    <w:rsid w:val="002519FE"/>
    <w:rsid w:val="00251B7F"/>
    <w:rsid w:val="0025205C"/>
    <w:rsid w:val="0025239A"/>
    <w:rsid w:val="00252755"/>
    <w:rsid w:val="00252994"/>
    <w:rsid w:val="00252A6C"/>
    <w:rsid w:val="002539E8"/>
    <w:rsid w:val="00253A3E"/>
    <w:rsid w:val="00253BA9"/>
    <w:rsid w:val="00253E75"/>
    <w:rsid w:val="0025414F"/>
    <w:rsid w:val="0025439E"/>
    <w:rsid w:val="002543D8"/>
    <w:rsid w:val="00254405"/>
    <w:rsid w:val="0025495A"/>
    <w:rsid w:val="00254A59"/>
    <w:rsid w:val="00254ACC"/>
    <w:rsid w:val="00254B9D"/>
    <w:rsid w:val="00254EE3"/>
    <w:rsid w:val="0025513D"/>
    <w:rsid w:val="00255482"/>
    <w:rsid w:val="0025593B"/>
    <w:rsid w:val="00255CE8"/>
    <w:rsid w:val="0025603F"/>
    <w:rsid w:val="0025652F"/>
    <w:rsid w:val="00256D05"/>
    <w:rsid w:val="00256DB0"/>
    <w:rsid w:val="00256F24"/>
    <w:rsid w:val="002607EE"/>
    <w:rsid w:val="00260913"/>
    <w:rsid w:val="00260AEE"/>
    <w:rsid w:val="00261456"/>
    <w:rsid w:val="002621FE"/>
    <w:rsid w:val="00262367"/>
    <w:rsid w:val="00262836"/>
    <w:rsid w:val="00263081"/>
    <w:rsid w:val="002632AD"/>
    <w:rsid w:val="00263B6C"/>
    <w:rsid w:val="00263C41"/>
    <w:rsid w:val="00263E8A"/>
    <w:rsid w:val="00263F54"/>
    <w:rsid w:val="002640E1"/>
    <w:rsid w:val="0026465C"/>
    <w:rsid w:val="00264D8B"/>
    <w:rsid w:val="00264FEC"/>
    <w:rsid w:val="0026545A"/>
    <w:rsid w:val="0026590B"/>
    <w:rsid w:val="00265A57"/>
    <w:rsid w:val="00266259"/>
    <w:rsid w:val="0026630B"/>
    <w:rsid w:val="00270032"/>
    <w:rsid w:val="00270304"/>
    <w:rsid w:val="00270674"/>
    <w:rsid w:val="002722D2"/>
    <w:rsid w:val="002728D3"/>
    <w:rsid w:val="00272939"/>
    <w:rsid w:val="002729BF"/>
    <w:rsid w:val="00272F01"/>
    <w:rsid w:val="0027308B"/>
    <w:rsid w:val="002742E1"/>
    <w:rsid w:val="00274BA3"/>
    <w:rsid w:val="00275311"/>
    <w:rsid w:val="0027590B"/>
    <w:rsid w:val="00275F48"/>
    <w:rsid w:val="002760A8"/>
    <w:rsid w:val="0027612E"/>
    <w:rsid w:val="00276EB4"/>
    <w:rsid w:val="00276EED"/>
    <w:rsid w:val="00277110"/>
    <w:rsid w:val="002778AA"/>
    <w:rsid w:val="00277CE5"/>
    <w:rsid w:val="002802EA"/>
    <w:rsid w:val="00281277"/>
    <w:rsid w:val="00281342"/>
    <w:rsid w:val="00281F27"/>
    <w:rsid w:val="00282400"/>
    <w:rsid w:val="002827A7"/>
    <w:rsid w:val="002835AF"/>
    <w:rsid w:val="00283D33"/>
    <w:rsid w:val="00283F2A"/>
    <w:rsid w:val="00284148"/>
    <w:rsid w:val="002843E9"/>
    <w:rsid w:val="002855E3"/>
    <w:rsid w:val="00285631"/>
    <w:rsid w:val="00285969"/>
    <w:rsid w:val="00287715"/>
    <w:rsid w:val="00287DAA"/>
    <w:rsid w:val="002904CC"/>
    <w:rsid w:val="002905FC"/>
    <w:rsid w:val="00291594"/>
    <w:rsid w:val="00291E74"/>
    <w:rsid w:val="00292047"/>
    <w:rsid w:val="00293786"/>
    <w:rsid w:val="00293BBF"/>
    <w:rsid w:val="00293F62"/>
    <w:rsid w:val="002949EF"/>
    <w:rsid w:val="00294A1C"/>
    <w:rsid w:val="00294E27"/>
    <w:rsid w:val="00294EE7"/>
    <w:rsid w:val="00294F2D"/>
    <w:rsid w:val="002952B5"/>
    <w:rsid w:val="002954B0"/>
    <w:rsid w:val="00295B30"/>
    <w:rsid w:val="00295C79"/>
    <w:rsid w:val="00295F06"/>
    <w:rsid w:val="0029659D"/>
    <w:rsid w:val="002969A6"/>
    <w:rsid w:val="00297323"/>
    <w:rsid w:val="002973D3"/>
    <w:rsid w:val="002A01AA"/>
    <w:rsid w:val="002A04CA"/>
    <w:rsid w:val="002A1178"/>
    <w:rsid w:val="002A1246"/>
    <w:rsid w:val="002A1947"/>
    <w:rsid w:val="002A1E75"/>
    <w:rsid w:val="002A250A"/>
    <w:rsid w:val="002A2CD4"/>
    <w:rsid w:val="002A2DE1"/>
    <w:rsid w:val="002A3687"/>
    <w:rsid w:val="002A3E64"/>
    <w:rsid w:val="002A4545"/>
    <w:rsid w:val="002A4BE7"/>
    <w:rsid w:val="002A536E"/>
    <w:rsid w:val="002A558A"/>
    <w:rsid w:val="002A64A6"/>
    <w:rsid w:val="002A699E"/>
    <w:rsid w:val="002A6EA9"/>
    <w:rsid w:val="002A723D"/>
    <w:rsid w:val="002A737B"/>
    <w:rsid w:val="002A74EF"/>
    <w:rsid w:val="002A7A31"/>
    <w:rsid w:val="002A7F92"/>
    <w:rsid w:val="002B0639"/>
    <w:rsid w:val="002B0AFA"/>
    <w:rsid w:val="002B12CF"/>
    <w:rsid w:val="002B174A"/>
    <w:rsid w:val="002B1975"/>
    <w:rsid w:val="002B1FC1"/>
    <w:rsid w:val="002B2460"/>
    <w:rsid w:val="002B2479"/>
    <w:rsid w:val="002B2667"/>
    <w:rsid w:val="002B376B"/>
    <w:rsid w:val="002B3829"/>
    <w:rsid w:val="002B412C"/>
    <w:rsid w:val="002B45F2"/>
    <w:rsid w:val="002B561F"/>
    <w:rsid w:val="002B5B42"/>
    <w:rsid w:val="002B5E6E"/>
    <w:rsid w:val="002B5EA0"/>
    <w:rsid w:val="002B5FB3"/>
    <w:rsid w:val="002B60CD"/>
    <w:rsid w:val="002B659C"/>
    <w:rsid w:val="002B7B3C"/>
    <w:rsid w:val="002B7EB6"/>
    <w:rsid w:val="002C0469"/>
    <w:rsid w:val="002C175E"/>
    <w:rsid w:val="002C1820"/>
    <w:rsid w:val="002C1CC3"/>
    <w:rsid w:val="002C22EF"/>
    <w:rsid w:val="002C24F9"/>
    <w:rsid w:val="002C2627"/>
    <w:rsid w:val="002C2B50"/>
    <w:rsid w:val="002C2CAC"/>
    <w:rsid w:val="002C335F"/>
    <w:rsid w:val="002C363A"/>
    <w:rsid w:val="002C36E9"/>
    <w:rsid w:val="002C3D58"/>
    <w:rsid w:val="002C3E3F"/>
    <w:rsid w:val="002C3F01"/>
    <w:rsid w:val="002C41AD"/>
    <w:rsid w:val="002C4F67"/>
    <w:rsid w:val="002C589C"/>
    <w:rsid w:val="002C5A05"/>
    <w:rsid w:val="002C5B1C"/>
    <w:rsid w:val="002C61C4"/>
    <w:rsid w:val="002C7326"/>
    <w:rsid w:val="002D0A0F"/>
    <w:rsid w:val="002D0C0A"/>
    <w:rsid w:val="002D1436"/>
    <w:rsid w:val="002D1AC4"/>
    <w:rsid w:val="002D2635"/>
    <w:rsid w:val="002D2832"/>
    <w:rsid w:val="002D33A1"/>
    <w:rsid w:val="002D3DD7"/>
    <w:rsid w:val="002D402A"/>
    <w:rsid w:val="002D4751"/>
    <w:rsid w:val="002D50B8"/>
    <w:rsid w:val="002D53A3"/>
    <w:rsid w:val="002D54A1"/>
    <w:rsid w:val="002D56B0"/>
    <w:rsid w:val="002D5A47"/>
    <w:rsid w:val="002D5D04"/>
    <w:rsid w:val="002D6A44"/>
    <w:rsid w:val="002D6B3B"/>
    <w:rsid w:val="002D6C98"/>
    <w:rsid w:val="002D6E53"/>
    <w:rsid w:val="002D7215"/>
    <w:rsid w:val="002D76B9"/>
    <w:rsid w:val="002D7B05"/>
    <w:rsid w:val="002D7F32"/>
    <w:rsid w:val="002E0B69"/>
    <w:rsid w:val="002E1738"/>
    <w:rsid w:val="002E1E23"/>
    <w:rsid w:val="002E1FB6"/>
    <w:rsid w:val="002E20BF"/>
    <w:rsid w:val="002E326C"/>
    <w:rsid w:val="002E365F"/>
    <w:rsid w:val="002E3A55"/>
    <w:rsid w:val="002E4162"/>
    <w:rsid w:val="002E454C"/>
    <w:rsid w:val="002E485B"/>
    <w:rsid w:val="002E4903"/>
    <w:rsid w:val="002E4D26"/>
    <w:rsid w:val="002E4E17"/>
    <w:rsid w:val="002E51E9"/>
    <w:rsid w:val="002E6F97"/>
    <w:rsid w:val="002E774D"/>
    <w:rsid w:val="002E7779"/>
    <w:rsid w:val="002E77BE"/>
    <w:rsid w:val="002E77D4"/>
    <w:rsid w:val="002E7B4F"/>
    <w:rsid w:val="002E7F96"/>
    <w:rsid w:val="002F0323"/>
    <w:rsid w:val="002F0332"/>
    <w:rsid w:val="002F08F7"/>
    <w:rsid w:val="002F1166"/>
    <w:rsid w:val="002F164D"/>
    <w:rsid w:val="002F193F"/>
    <w:rsid w:val="002F24EE"/>
    <w:rsid w:val="002F2E0A"/>
    <w:rsid w:val="002F37C3"/>
    <w:rsid w:val="002F4C0B"/>
    <w:rsid w:val="002F4D88"/>
    <w:rsid w:val="002F59C9"/>
    <w:rsid w:val="002F5ACC"/>
    <w:rsid w:val="002F617F"/>
    <w:rsid w:val="002F7C6F"/>
    <w:rsid w:val="002F7D0A"/>
    <w:rsid w:val="00300109"/>
    <w:rsid w:val="0030017B"/>
    <w:rsid w:val="0030070C"/>
    <w:rsid w:val="00301755"/>
    <w:rsid w:val="00302122"/>
    <w:rsid w:val="0030311D"/>
    <w:rsid w:val="00303DF4"/>
    <w:rsid w:val="00303FDA"/>
    <w:rsid w:val="00305222"/>
    <w:rsid w:val="00305409"/>
    <w:rsid w:val="00306101"/>
    <w:rsid w:val="0030665E"/>
    <w:rsid w:val="00306894"/>
    <w:rsid w:val="00307378"/>
    <w:rsid w:val="003073BB"/>
    <w:rsid w:val="003074E9"/>
    <w:rsid w:val="0030791B"/>
    <w:rsid w:val="00307C2B"/>
    <w:rsid w:val="00310366"/>
    <w:rsid w:val="00310447"/>
    <w:rsid w:val="0031058E"/>
    <w:rsid w:val="003107B4"/>
    <w:rsid w:val="0031169A"/>
    <w:rsid w:val="00311725"/>
    <w:rsid w:val="00312223"/>
    <w:rsid w:val="003122F4"/>
    <w:rsid w:val="003127BD"/>
    <w:rsid w:val="003128B6"/>
    <w:rsid w:val="0031303B"/>
    <w:rsid w:val="00313F9C"/>
    <w:rsid w:val="003145D9"/>
    <w:rsid w:val="003147BB"/>
    <w:rsid w:val="00314915"/>
    <w:rsid w:val="00314985"/>
    <w:rsid w:val="003149F7"/>
    <w:rsid w:val="00314B9F"/>
    <w:rsid w:val="003150DD"/>
    <w:rsid w:val="003156FF"/>
    <w:rsid w:val="00315BB6"/>
    <w:rsid w:val="003160A1"/>
    <w:rsid w:val="00316492"/>
    <w:rsid w:val="00316F1E"/>
    <w:rsid w:val="00317102"/>
    <w:rsid w:val="003205D4"/>
    <w:rsid w:val="00320CB7"/>
    <w:rsid w:val="0032164D"/>
    <w:rsid w:val="00321CB2"/>
    <w:rsid w:val="00322115"/>
    <w:rsid w:val="00322415"/>
    <w:rsid w:val="003228EA"/>
    <w:rsid w:val="00322918"/>
    <w:rsid w:val="00322E91"/>
    <w:rsid w:val="00323A0A"/>
    <w:rsid w:val="00323A9C"/>
    <w:rsid w:val="00324751"/>
    <w:rsid w:val="00324878"/>
    <w:rsid w:val="00324A5C"/>
    <w:rsid w:val="00324F14"/>
    <w:rsid w:val="003252C3"/>
    <w:rsid w:val="003254A6"/>
    <w:rsid w:val="00325AF2"/>
    <w:rsid w:val="0032627C"/>
    <w:rsid w:val="0032641E"/>
    <w:rsid w:val="0032673A"/>
    <w:rsid w:val="003268D5"/>
    <w:rsid w:val="003269CF"/>
    <w:rsid w:val="003275BD"/>
    <w:rsid w:val="0032796F"/>
    <w:rsid w:val="00327B67"/>
    <w:rsid w:val="00327B73"/>
    <w:rsid w:val="00327C48"/>
    <w:rsid w:val="00327FF6"/>
    <w:rsid w:val="003312C4"/>
    <w:rsid w:val="00331C48"/>
    <w:rsid w:val="0033310A"/>
    <w:rsid w:val="00334033"/>
    <w:rsid w:val="0033458D"/>
    <w:rsid w:val="0033477B"/>
    <w:rsid w:val="003349FF"/>
    <w:rsid w:val="00334CD5"/>
    <w:rsid w:val="00334F3A"/>
    <w:rsid w:val="00334F47"/>
    <w:rsid w:val="003355BA"/>
    <w:rsid w:val="0033630F"/>
    <w:rsid w:val="0033755F"/>
    <w:rsid w:val="00340425"/>
    <w:rsid w:val="003410BB"/>
    <w:rsid w:val="0034110D"/>
    <w:rsid w:val="0034179E"/>
    <w:rsid w:val="00341E3D"/>
    <w:rsid w:val="00341FB6"/>
    <w:rsid w:val="003427F0"/>
    <w:rsid w:val="00342BD5"/>
    <w:rsid w:val="00342BFA"/>
    <w:rsid w:val="00342F00"/>
    <w:rsid w:val="00342FB6"/>
    <w:rsid w:val="00343211"/>
    <w:rsid w:val="003448F6"/>
    <w:rsid w:val="00345947"/>
    <w:rsid w:val="00345ADC"/>
    <w:rsid w:val="00345D07"/>
    <w:rsid w:val="00345D68"/>
    <w:rsid w:val="00345E2C"/>
    <w:rsid w:val="00346E61"/>
    <w:rsid w:val="003471AD"/>
    <w:rsid w:val="003502AD"/>
    <w:rsid w:val="003503BC"/>
    <w:rsid w:val="00350759"/>
    <w:rsid w:val="003507AE"/>
    <w:rsid w:val="00350E72"/>
    <w:rsid w:val="0035135C"/>
    <w:rsid w:val="003528B1"/>
    <w:rsid w:val="00352AAE"/>
    <w:rsid w:val="003548AC"/>
    <w:rsid w:val="00354D27"/>
    <w:rsid w:val="0035588A"/>
    <w:rsid w:val="003559AB"/>
    <w:rsid w:val="003563F7"/>
    <w:rsid w:val="00356A6B"/>
    <w:rsid w:val="0035738A"/>
    <w:rsid w:val="00357756"/>
    <w:rsid w:val="003579B5"/>
    <w:rsid w:val="00357FC2"/>
    <w:rsid w:val="003609CF"/>
    <w:rsid w:val="00360A8F"/>
    <w:rsid w:val="003613A9"/>
    <w:rsid w:val="0036186C"/>
    <w:rsid w:val="00362480"/>
    <w:rsid w:val="003638EB"/>
    <w:rsid w:val="0036396B"/>
    <w:rsid w:val="00363D01"/>
    <w:rsid w:val="0036467D"/>
    <w:rsid w:val="00364991"/>
    <w:rsid w:val="00364ED1"/>
    <w:rsid w:val="0036504D"/>
    <w:rsid w:val="00365672"/>
    <w:rsid w:val="00365B62"/>
    <w:rsid w:val="00366242"/>
    <w:rsid w:val="00366398"/>
    <w:rsid w:val="00366477"/>
    <w:rsid w:val="00366908"/>
    <w:rsid w:val="003674F9"/>
    <w:rsid w:val="00370DE2"/>
    <w:rsid w:val="003710F2"/>
    <w:rsid w:val="003712DB"/>
    <w:rsid w:val="00372C6F"/>
    <w:rsid w:val="003737AE"/>
    <w:rsid w:val="0037488C"/>
    <w:rsid w:val="00374A32"/>
    <w:rsid w:val="00374C78"/>
    <w:rsid w:val="00374CDB"/>
    <w:rsid w:val="00374ED1"/>
    <w:rsid w:val="00374F9F"/>
    <w:rsid w:val="00375655"/>
    <w:rsid w:val="00376486"/>
    <w:rsid w:val="003766B7"/>
    <w:rsid w:val="00376920"/>
    <w:rsid w:val="0037696C"/>
    <w:rsid w:val="00376A37"/>
    <w:rsid w:val="00376FEB"/>
    <w:rsid w:val="003779E0"/>
    <w:rsid w:val="00380060"/>
    <w:rsid w:val="00380358"/>
    <w:rsid w:val="0038073D"/>
    <w:rsid w:val="003814A5"/>
    <w:rsid w:val="0038159A"/>
    <w:rsid w:val="003815FA"/>
    <w:rsid w:val="0038180A"/>
    <w:rsid w:val="00382093"/>
    <w:rsid w:val="003828F1"/>
    <w:rsid w:val="00382E06"/>
    <w:rsid w:val="0038407D"/>
    <w:rsid w:val="00384DCB"/>
    <w:rsid w:val="003858A6"/>
    <w:rsid w:val="003861C7"/>
    <w:rsid w:val="00386297"/>
    <w:rsid w:val="00386611"/>
    <w:rsid w:val="00386D0C"/>
    <w:rsid w:val="00386D73"/>
    <w:rsid w:val="00386EC5"/>
    <w:rsid w:val="00387FDF"/>
    <w:rsid w:val="003915CD"/>
    <w:rsid w:val="00391F91"/>
    <w:rsid w:val="0039266B"/>
    <w:rsid w:val="00392C37"/>
    <w:rsid w:val="00392C78"/>
    <w:rsid w:val="00392CCB"/>
    <w:rsid w:val="00392CF1"/>
    <w:rsid w:val="00392DCC"/>
    <w:rsid w:val="003935EB"/>
    <w:rsid w:val="00393E70"/>
    <w:rsid w:val="00394B82"/>
    <w:rsid w:val="00394BED"/>
    <w:rsid w:val="00394D75"/>
    <w:rsid w:val="00395010"/>
    <w:rsid w:val="00395236"/>
    <w:rsid w:val="00395263"/>
    <w:rsid w:val="00395353"/>
    <w:rsid w:val="00395DD3"/>
    <w:rsid w:val="00396D72"/>
    <w:rsid w:val="0039745F"/>
    <w:rsid w:val="00397BB5"/>
    <w:rsid w:val="00397C09"/>
    <w:rsid w:val="003A0A78"/>
    <w:rsid w:val="003A0B1A"/>
    <w:rsid w:val="003A0C54"/>
    <w:rsid w:val="003A131C"/>
    <w:rsid w:val="003A1AE7"/>
    <w:rsid w:val="003A2289"/>
    <w:rsid w:val="003A2E37"/>
    <w:rsid w:val="003A32BB"/>
    <w:rsid w:val="003A3319"/>
    <w:rsid w:val="003A3D4D"/>
    <w:rsid w:val="003A48B3"/>
    <w:rsid w:val="003A4903"/>
    <w:rsid w:val="003A5B36"/>
    <w:rsid w:val="003A5BAA"/>
    <w:rsid w:val="003A6744"/>
    <w:rsid w:val="003A7302"/>
    <w:rsid w:val="003A7333"/>
    <w:rsid w:val="003A7459"/>
    <w:rsid w:val="003B0BBC"/>
    <w:rsid w:val="003B0C5A"/>
    <w:rsid w:val="003B2260"/>
    <w:rsid w:val="003B2AB6"/>
    <w:rsid w:val="003B31D5"/>
    <w:rsid w:val="003B352C"/>
    <w:rsid w:val="003B35B2"/>
    <w:rsid w:val="003B3E0A"/>
    <w:rsid w:val="003B3E0C"/>
    <w:rsid w:val="003B3FB5"/>
    <w:rsid w:val="003B42AC"/>
    <w:rsid w:val="003B42F8"/>
    <w:rsid w:val="003B4D93"/>
    <w:rsid w:val="003B5A8B"/>
    <w:rsid w:val="003B6917"/>
    <w:rsid w:val="003B7515"/>
    <w:rsid w:val="003B7B94"/>
    <w:rsid w:val="003C028A"/>
    <w:rsid w:val="003C0C50"/>
    <w:rsid w:val="003C1EC8"/>
    <w:rsid w:val="003C2499"/>
    <w:rsid w:val="003C24B4"/>
    <w:rsid w:val="003C2728"/>
    <w:rsid w:val="003C3191"/>
    <w:rsid w:val="003C3506"/>
    <w:rsid w:val="003C3AE8"/>
    <w:rsid w:val="003C49B4"/>
    <w:rsid w:val="003C4A9A"/>
    <w:rsid w:val="003C54D4"/>
    <w:rsid w:val="003C5910"/>
    <w:rsid w:val="003C5933"/>
    <w:rsid w:val="003C5998"/>
    <w:rsid w:val="003C60E0"/>
    <w:rsid w:val="003C7303"/>
    <w:rsid w:val="003C774F"/>
    <w:rsid w:val="003C775D"/>
    <w:rsid w:val="003D1693"/>
    <w:rsid w:val="003D1B92"/>
    <w:rsid w:val="003D2E7C"/>
    <w:rsid w:val="003D5224"/>
    <w:rsid w:val="003D5699"/>
    <w:rsid w:val="003D5D8A"/>
    <w:rsid w:val="003D5DD5"/>
    <w:rsid w:val="003D64C7"/>
    <w:rsid w:val="003D7131"/>
    <w:rsid w:val="003E0A13"/>
    <w:rsid w:val="003E0A92"/>
    <w:rsid w:val="003E0AF9"/>
    <w:rsid w:val="003E0CEE"/>
    <w:rsid w:val="003E0F9E"/>
    <w:rsid w:val="003E1499"/>
    <w:rsid w:val="003E1CB6"/>
    <w:rsid w:val="003E20D6"/>
    <w:rsid w:val="003E31AA"/>
    <w:rsid w:val="003E35D9"/>
    <w:rsid w:val="003E3803"/>
    <w:rsid w:val="003E420F"/>
    <w:rsid w:val="003E46F9"/>
    <w:rsid w:val="003E473F"/>
    <w:rsid w:val="003E4A79"/>
    <w:rsid w:val="003E4D87"/>
    <w:rsid w:val="003E4E83"/>
    <w:rsid w:val="003E5068"/>
    <w:rsid w:val="003E51D5"/>
    <w:rsid w:val="003E5A7A"/>
    <w:rsid w:val="003E5F50"/>
    <w:rsid w:val="003E605E"/>
    <w:rsid w:val="003E6BF6"/>
    <w:rsid w:val="003E6C3A"/>
    <w:rsid w:val="003E6CB3"/>
    <w:rsid w:val="003E7004"/>
    <w:rsid w:val="003E7CA0"/>
    <w:rsid w:val="003F002F"/>
    <w:rsid w:val="003F07DA"/>
    <w:rsid w:val="003F09A7"/>
    <w:rsid w:val="003F0ADE"/>
    <w:rsid w:val="003F20FD"/>
    <w:rsid w:val="003F21B2"/>
    <w:rsid w:val="003F278C"/>
    <w:rsid w:val="003F286E"/>
    <w:rsid w:val="003F2B92"/>
    <w:rsid w:val="003F2FF2"/>
    <w:rsid w:val="003F38D9"/>
    <w:rsid w:val="003F39B6"/>
    <w:rsid w:val="003F3A7B"/>
    <w:rsid w:val="003F45AC"/>
    <w:rsid w:val="003F4A0B"/>
    <w:rsid w:val="003F4B83"/>
    <w:rsid w:val="003F4BFD"/>
    <w:rsid w:val="003F4E1F"/>
    <w:rsid w:val="003F5013"/>
    <w:rsid w:val="003F5032"/>
    <w:rsid w:val="003F5428"/>
    <w:rsid w:val="003F5460"/>
    <w:rsid w:val="003F6815"/>
    <w:rsid w:val="003F75B6"/>
    <w:rsid w:val="003F795D"/>
    <w:rsid w:val="00400C6A"/>
    <w:rsid w:val="00400D96"/>
    <w:rsid w:val="00400EC3"/>
    <w:rsid w:val="00401082"/>
    <w:rsid w:val="00401A50"/>
    <w:rsid w:val="004022B4"/>
    <w:rsid w:val="004024E8"/>
    <w:rsid w:val="00402C41"/>
    <w:rsid w:val="00402FB7"/>
    <w:rsid w:val="00403512"/>
    <w:rsid w:val="00403937"/>
    <w:rsid w:val="00404812"/>
    <w:rsid w:val="00406AFB"/>
    <w:rsid w:val="00406D99"/>
    <w:rsid w:val="004076BB"/>
    <w:rsid w:val="00407BA8"/>
    <w:rsid w:val="00407E06"/>
    <w:rsid w:val="00410168"/>
    <w:rsid w:val="0041057F"/>
    <w:rsid w:val="00410819"/>
    <w:rsid w:val="00411C96"/>
    <w:rsid w:val="00411E36"/>
    <w:rsid w:val="00411E49"/>
    <w:rsid w:val="004132E2"/>
    <w:rsid w:val="0041440F"/>
    <w:rsid w:val="0041442C"/>
    <w:rsid w:val="00414EC2"/>
    <w:rsid w:val="00415BCB"/>
    <w:rsid w:val="00415CC5"/>
    <w:rsid w:val="00415E90"/>
    <w:rsid w:val="0041612A"/>
    <w:rsid w:val="00416762"/>
    <w:rsid w:val="00416892"/>
    <w:rsid w:val="004169B9"/>
    <w:rsid w:val="00416E55"/>
    <w:rsid w:val="00416F36"/>
    <w:rsid w:val="004178BA"/>
    <w:rsid w:val="00420F2D"/>
    <w:rsid w:val="00421955"/>
    <w:rsid w:val="00422341"/>
    <w:rsid w:val="00423D2E"/>
    <w:rsid w:val="00424716"/>
    <w:rsid w:val="00424C55"/>
    <w:rsid w:val="00424DB1"/>
    <w:rsid w:val="00424DB3"/>
    <w:rsid w:val="0042518A"/>
    <w:rsid w:val="0042533D"/>
    <w:rsid w:val="00425636"/>
    <w:rsid w:val="004261E4"/>
    <w:rsid w:val="00426438"/>
    <w:rsid w:val="00426445"/>
    <w:rsid w:val="00426CE8"/>
    <w:rsid w:val="00426F3B"/>
    <w:rsid w:val="00427662"/>
    <w:rsid w:val="004276A0"/>
    <w:rsid w:val="004304E3"/>
    <w:rsid w:val="00431429"/>
    <w:rsid w:val="004320BD"/>
    <w:rsid w:val="00432A64"/>
    <w:rsid w:val="00432F59"/>
    <w:rsid w:val="00433B19"/>
    <w:rsid w:val="00433E18"/>
    <w:rsid w:val="004374AE"/>
    <w:rsid w:val="004377F2"/>
    <w:rsid w:val="00437C76"/>
    <w:rsid w:val="00440D37"/>
    <w:rsid w:val="00441568"/>
    <w:rsid w:val="004421A5"/>
    <w:rsid w:val="00442578"/>
    <w:rsid w:val="00442B80"/>
    <w:rsid w:val="00442E1D"/>
    <w:rsid w:val="00443B18"/>
    <w:rsid w:val="004440D5"/>
    <w:rsid w:val="004440EC"/>
    <w:rsid w:val="004446EA"/>
    <w:rsid w:val="00444759"/>
    <w:rsid w:val="00444813"/>
    <w:rsid w:val="00444A63"/>
    <w:rsid w:val="00445216"/>
    <w:rsid w:val="00445265"/>
    <w:rsid w:val="0044588F"/>
    <w:rsid w:val="004459CB"/>
    <w:rsid w:val="00445C3F"/>
    <w:rsid w:val="00446B68"/>
    <w:rsid w:val="00446D30"/>
    <w:rsid w:val="004470AA"/>
    <w:rsid w:val="00447B2E"/>
    <w:rsid w:val="00447B6F"/>
    <w:rsid w:val="00447FBA"/>
    <w:rsid w:val="00447FC6"/>
    <w:rsid w:val="00450F8B"/>
    <w:rsid w:val="00451560"/>
    <w:rsid w:val="00451579"/>
    <w:rsid w:val="004516A1"/>
    <w:rsid w:val="00451C7E"/>
    <w:rsid w:val="004528EA"/>
    <w:rsid w:val="004531D7"/>
    <w:rsid w:val="00454432"/>
    <w:rsid w:val="004547A7"/>
    <w:rsid w:val="00455006"/>
    <w:rsid w:val="0045555E"/>
    <w:rsid w:val="004559CE"/>
    <w:rsid w:val="004561BD"/>
    <w:rsid w:val="00456879"/>
    <w:rsid w:val="00460E1A"/>
    <w:rsid w:val="0046168A"/>
    <w:rsid w:val="00461690"/>
    <w:rsid w:val="00461ADE"/>
    <w:rsid w:val="00461C46"/>
    <w:rsid w:val="00461FFE"/>
    <w:rsid w:val="004624E2"/>
    <w:rsid w:val="00462A1D"/>
    <w:rsid w:val="0046325E"/>
    <w:rsid w:val="00463B64"/>
    <w:rsid w:val="00463CC8"/>
    <w:rsid w:val="00463DF8"/>
    <w:rsid w:val="0046406F"/>
    <w:rsid w:val="00464218"/>
    <w:rsid w:val="004655BC"/>
    <w:rsid w:val="004658FC"/>
    <w:rsid w:val="004660F9"/>
    <w:rsid w:val="0046614B"/>
    <w:rsid w:val="0046641E"/>
    <w:rsid w:val="00466868"/>
    <w:rsid w:val="00466BD4"/>
    <w:rsid w:val="00467020"/>
    <w:rsid w:val="00467B86"/>
    <w:rsid w:val="00467E07"/>
    <w:rsid w:val="004703D8"/>
    <w:rsid w:val="00470EE4"/>
    <w:rsid w:val="004718C9"/>
    <w:rsid w:val="0047270A"/>
    <w:rsid w:val="00472F5C"/>
    <w:rsid w:val="00473500"/>
    <w:rsid w:val="004735B1"/>
    <w:rsid w:val="00473CA6"/>
    <w:rsid w:val="004744C7"/>
    <w:rsid w:val="00475085"/>
    <w:rsid w:val="00476C90"/>
    <w:rsid w:val="00476CF6"/>
    <w:rsid w:val="004776BB"/>
    <w:rsid w:val="00477AA8"/>
    <w:rsid w:val="0048074C"/>
    <w:rsid w:val="00480AE7"/>
    <w:rsid w:val="00481021"/>
    <w:rsid w:val="004810C2"/>
    <w:rsid w:val="00481989"/>
    <w:rsid w:val="004824EF"/>
    <w:rsid w:val="00483215"/>
    <w:rsid w:val="00484197"/>
    <w:rsid w:val="0048469B"/>
    <w:rsid w:val="00485CC3"/>
    <w:rsid w:val="00485DA9"/>
    <w:rsid w:val="00485F74"/>
    <w:rsid w:val="004860E0"/>
    <w:rsid w:val="00486286"/>
    <w:rsid w:val="00490787"/>
    <w:rsid w:val="0049085E"/>
    <w:rsid w:val="004912BD"/>
    <w:rsid w:val="004917B9"/>
    <w:rsid w:val="00491CB7"/>
    <w:rsid w:val="00491DE4"/>
    <w:rsid w:val="00491E7C"/>
    <w:rsid w:val="004921EC"/>
    <w:rsid w:val="00492668"/>
    <w:rsid w:val="00492FCB"/>
    <w:rsid w:val="00494C6A"/>
    <w:rsid w:val="00494EC3"/>
    <w:rsid w:val="004954D2"/>
    <w:rsid w:val="00495706"/>
    <w:rsid w:val="00495D6B"/>
    <w:rsid w:val="00496087"/>
    <w:rsid w:val="00496DBA"/>
    <w:rsid w:val="0049796B"/>
    <w:rsid w:val="00497D27"/>
    <w:rsid w:val="004A0E1A"/>
    <w:rsid w:val="004A0EAF"/>
    <w:rsid w:val="004A0F11"/>
    <w:rsid w:val="004A160D"/>
    <w:rsid w:val="004A1D46"/>
    <w:rsid w:val="004A2942"/>
    <w:rsid w:val="004A309A"/>
    <w:rsid w:val="004A3EAA"/>
    <w:rsid w:val="004A4936"/>
    <w:rsid w:val="004A4B84"/>
    <w:rsid w:val="004A5250"/>
    <w:rsid w:val="004A5389"/>
    <w:rsid w:val="004A60CC"/>
    <w:rsid w:val="004A6435"/>
    <w:rsid w:val="004A6459"/>
    <w:rsid w:val="004A6A77"/>
    <w:rsid w:val="004A6EDA"/>
    <w:rsid w:val="004A7486"/>
    <w:rsid w:val="004A7D97"/>
    <w:rsid w:val="004A7E4A"/>
    <w:rsid w:val="004A7F90"/>
    <w:rsid w:val="004B02F3"/>
    <w:rsid w:val="004B05BE"/>
    <w:rsid w:val="004B105C"/>
    <w:rsid w:val="004B1122"/>
    <w:rsid w:val="004B213E"/>
    <w:rsid w:val="004B2802"/>
    <w:rsid w:val="004B2ABF"/>
    <w:rsid w:val="004B2BCC"/>
    <w:rsid w:val="004B2C2E"/>
    <w:rsid w:val="004B39F0"/>
    <w:rsid w:val="004B3AC9"/>
    <w:rsid w:val="004B3D88"/>
    <w:rsid w:val="004B3F62"/>
    <w:rsid w:val="004B402D"/>
    <w:rsid w:val="004B44BD"/>
    <w:rsid w:val="004B4523"/>
    <w:rsid w:val="004B5021"/>
    <w:rsid w:val="004B5133"/>
    <w:rsid w:val="004B569F"/>
    <w:rsid w:val="004B586C"/>
    <w:rsid w:val="004B66CD"/>
    <w:rsid w:val="004B724B"/>
    <w:rsid w:val="004B7395"/>
    <w:rsid w:val="004B7540"/>
    <w:rsid w:val="004B78F9"/>
    <w:rsid w:val="004B7B2D"/>
    <w:rsid w:val="004C026F"/>
    <w:rsid w:val="004C0352"/>
    <w:rsid w:val="004C04C1"/>
    <w:rsid w:val="004C0A85"/>
    <w:rsid w:val="004C0F71"/>
    <w:rsid w:val="004C19AA"/>
    <w:rsid w:val="004C1F41"/>
    <w:rsid w:val="004C2102"/>
    <w:rsid w:val="004C2902"/>
    <w:rsid w:val="004C320B"/>
    <w:rsid w:val="004C350F"/>
    <w:rsid w:val="004C3542"/>
    <w:rsid w:val="004C3F7A"/>
    <w:rsid w:val="004C41B6"/>
    <w:rsid w:val="004C4742"/>
    <w:rsid w:val="004C4BE8"/>
    <w:rsid w:val="004C4C48"/>
    <w:rsid w:val="004C556B"/>
    <w:rsid w:val="004C56D3"/>
    <w:rsid w:val="004C5ABA"/>
    <w:rsid w:val="004C5B8E"/>
    <w:rsid w:val="004C5D73"/>
    <w:rsid w:val="004C5DC5"/>
    <w:rsid w:val="004C7043"/>
    <w:rsid w:val="004C7770"/>
    <w:rsid w:val="004D05A6"/>
    <w:rsid w:val="004D0756"/>
    <w:rsid w:val="004D09E3"/>
    <w:rsid w:val="004D0B6E"/>
    <w:rsid w:val="004D17C9"/>
    <w:rsid w:val="004D1E88"/>
    <w:rsid w:val="004D241C"/>
    <w:rsid w:val="004D2785"/>
    <w:rsid w:val="004D28D1"/>
    <w:rsid w:val="004D2987"/>
    <w:rsid w:val="004D2FF0"/>
    <w:rsid w:val="004D3327"/>
    <w:rsid w:val="004D33ED"/>
    <w:rsid w:val="004D3DC0"/>
    <w:rsid w:val="004D40B8"/>
    <w:rsid w:val="004D48E3"/>
    <w:rsid w:val="004D53AB"/>
    <w:rsid w:val="004D6E37"/>
    <w:rsid w:val="004D728D"/>
    <w:rsid w:val="004D7478"/>
    <w:rsid w:val="004E00EA"/>
    <w:rsid w:val="004E326A"/>
    <w:rsid w:val="004E367C"/>
    <w:rsid w:val="004E498C"/>
    <w:rsid w:val="004E4AF4"/>
    <w:rsid w:val="004E4CE2"/>
    <w:rsid w:val="004E6B14"/>
    <w:rsid w:val="004E6C7B"/>
    <w:rsid w:val="004E7427"/>
    <w:rsid w:val="004E75D2"/>
    <w:rsid w:val="004E7686"/>
    <w:rsid w:val="004E796E"/>
    <w:rsid w:val="004E7ECA"/>
    <w:rsid w:val="004F0299"/>
    <w:rsid w:val="004F09A6"/>
    <w:rsid w:val="004F110A"/>
    <w:rsid w:val="004F1D99"/>
    <w:rsid w:val="004F1DB5"/>
    <w:rsid w:val="004F1FFF"/>
    <w:rsid w:val="004F2341"/>
    <w:rsid w:val="004F287A"/>
    <w:rsid w:val="004F2EB4"/>
    <w:rsid w:val="004F3C02"/>
    <w:rsid w:val="004F3DDD"/>
    <w:rsid w:val="004F3F4E"/>
    <w:rsid w:val="004F41B6"/>
    <w:rsid w:val="004F42F2"/>
    <w:rsid w:val="004F4B92"/>
    <w:rsid w:val="004F4F45"/>
    <w:rsid w:val="004F5E1F"/>
    <w:rsid w:val="004F5E7B"/>
    <w:rsid w:val="004F62B0"/>
    <w:rsid w:val="004F685C"/>
    <w:rsid w:val="004F6951"/>
    <w:rsid w:val="004F6BA7"/>
    <w:rsid w:val="004F7626"/>
    <w:rsid w:val="004F77B0"/>
    <w:rsid w:val="005003A5"/>
    <w:rsid w:val="005010C1"/>
    <w:rsid w:val="0050189C"/>
    <w:rsid w:val="0050194A"/>
    <w:rsid w:val="00501B6C"/>
    <w:rsid w:val="00501CB1"/>
    <w:rsid w:val="00501D28"/>
    <w:rsid w:val="00502A9D"/>
    <w:rsid w:val="005030FF"/>
    <w:rsid w:val="00503D3D"/>
    <w:rsid w:val="00503EE4"/>
    <w:rsid w:val="00504115"/>
    <w:rsid w:val="0050411F"/>
    <w:rsid w:val="00504690"/>
    <w:rsid w:val="0050487D"/>
    <w:rsid w:val="00504A9D"/>
    <w:rsid w:val="00504F2B"/>
    <w:rsid w:val="005052A2"/>
    <w:rsid w:val="005052AF"/>
    <w:rsid w:val="00505FFE"/>
    <w:rsid w:val="005060B9"/>
    <w:rsid w:val="005060BC"/>
    <w:rsid w:val="0050678A"/>
    <w:rsid w:val="0050686C"/>
    <w:rsid w:val="00507040"/>
    <w:rsid w:val="00507648"/>
    <w:rsid w:val="0050784E"/>
    <w:rsid w:val="00507E5F"/>
    <w:rsid w:val="005101BA"/>
    <w:rsid w:val="0051055D"/>
    <w:rsid w:val="005106DE"/>
    <w:rsid w:val="00510A54"/>
    <w:rsid w:val="00510ED7"/>
    <w:rsid w:val="00510FA6"/>
    <w:rsid w:val="00511652"/>
    <w:rsid w:val="00513539"/>
    <w:rsid w:val="005155B2"/>
    <w:rsid w:val="00515DBA"/>
    <w:rsid w:val="0051628A"/>
    <w:rsid w:val="005162C8"/>
    <w:rsid w:val="00516785"/>
    <w:rsid w:val="00520442"/>
    <w:rsid w:val="00520493"/>
    <w:rsid w:val="00520795"/>
    <w:rsid w:val="00520F15"/>
    <w:rsid w:val="005211B3"/>
    <w:rsid w:val="00521636"/>
    <w:rsid w:val="00521A6F"/>
    <w:rsid w:val="0052377A"/>
    <w:rsid w:val="005237D5"/>
    <w:rsid w:val="0052419D"/>
    <w:rsid w:val="0052459E"/>
    <w:rsid w:val="00525235"/>
    <w:rsid w:val="0052523C"/>
    <w:rsid w:val="005254ED"/>
    <w:rsid w:val="00525A8A"/>
    <w:rsid w:val="0052656B"/>
    <w:rsid w:val="005267F8"/>
    <w:rsid w:val="00526DC9"/>
    <w:rsid w:val="00527A73"/>
    <w:rsid w:val="00527B03"/>
    <w:rsid w:val="005301F8"/>
    <w:rsid w:val="00530A05"/>
    <w:rsid w:val="00530FEF"/>
    <w:rsid w:val="005312FC"/>
    <w:rsid w:val="005319BD"/>
    <w:rsid w:val="005319F2"/>
    <w:rsid w:val="005325C6"/>
    <w:rsid w:val="00532613"/>
    <w:rsid w:val="005326FD"/>
    <w:rsid w:val="00532C6D"/>
    <w:rsid w:val="005338D2"/>
    <w:rsid w:val="0053392D"/>
    <w:rsid w:val="005339B2"/>
    <w:rsid w:val="00534BA9"/>
    <w:rsid w:val="0053569E"/>
    <w:rsid w:val="0053583E"/>
    <w:rsid w:val="0053603D"/>
    <w:rsid w:val="00536056"/>
    <w:rsid w:val="00536099"/>
    <w:rsid w:val="005362CE"/>
    <w:rsid w:val="005362F8"/>
    <w:rsid w:val="005363A0"/>
    <w:rsid w:val="005365D4"/>
    <w:rsid w:val="005367EC"/>
    <w:rsid w:val="005368FB"/>
    <w:rsid w:val="00536A5F"/>
    <w:rsid w:val="00536DE3"/>
    <w:rsid w:val="00537395"/>
    <w:rsid w:val="0053742A"/>
    <w:rsid w:val="005376AD"/>
    <w:rsid w:val="00537C85"/>
    <w:rsid w:val="005403C7"/>
    <w:rsid w:val="00541D29"/>
    <w:rsid w:val="005422C2"/>
    <w:rsid w:val="00542B67"/>
    <w:rsid w:val="00542BF5"/>
    <w:rsid w:val="00542D4F"/>
    <w:rsid w:val="0054338A"/>
    <w:rsid w:val="00543439"/>
    <w:rsid w:val="005437F7"/>
    <w:rsid w:val="00543F23"/>
    <w:rsid w:val="00544983"/>
    <w:rsid w:val="00544AB9"/>
    <w:rsid w:val="00544EB2"/>
    <w:rsid w:val="00545587"/>
    <w:rsid w:val="00545B58"/>
    <w:rsid w:val="0054609E"/>
    <w:rsid w:val="00546AAA"/>
    <w:rsid w:val="00547C02"/>
    <w:rsid w:val="00547CB2"/>
    <w:rsid w:val="00547DE5"/>
    <w:rsid w:val="005501E8"/>
    <w:rsid w:val="00551FB6"/>
    <w:rsid w:val="00552A80"/>
    <w:rsid w:val="00553A60"/>
    <w:rsid w:val="00553B03"/>
    <w:rsid w:val="00553C78"/>
    <w:rsid w:val="00553D41"/>
    <w:rsid w:val="005549A7"/>
    <w:rsid w:val="00554D97"/>
    <w:rsid w:val="00554E16"/>
    <w:rsid w:val="00554E50"/>
    <w:rsid w:val="00554E72"/>
    <w:rsid w:val="0055545F"/>
    <w:rsid w:val="00555C93"/>
    <w:rsid w:val="0055608B"/>
    <w:rsid w:val="005567F6"/>
    <w:rsid w:val="00556EAB"/>
    <w:rsid w:val="0055702E"/>
    <w:rsid w:val="005570FB"/>
    <w:rsid w:val="005571FB"/>
    <w:rsid w:val="005572EA"/>
    <w:rsid w:val="005623EF"/>
    <w:rsid w:val="00562F17"/>
    <w:rsid w:val="005630E2"/>
    <w:rsid w:val="0056325A"/>
    <w:rsid w:val="00564BFE"/>
    <w:rsid w:val="00564F38"/>
    <w:rsid w:val="0056521C"/>
    <w:rsid w:val="005655D0"/>
    <w:rsid w:val="0056582C"/>
    <w:rsid w:val="0056611B"/>
    <w:rsid w:val="00567573"/>
    <w:rsid w:val="00567A49"/>
    <w:rsid w:val="00570CB8"/>
    <w:rsid w:val="005712EF"/>
    <w:rsid w:val="00571728"/>
    <w:rsid w:val="005719FF"/>
    <w:rsid w:val="00571E20"/>
    <w:rsid w:val="00572104"/>
    <w:rsid w:val="00573323"/>
    <w:rsid w:val="00573D07"/>
    <w:rsid w:val="00574255"/>
    <w:rsid w:val="00574290"/>
    <w:rsid w:val="0057431F"/>
    <w:rsid w:val="00575000"/>
    <w:rsid w:val="0057557B"/>
    <w:rsid w:val="00576A97"/>
    <w:rsid w:val="00576EE2"/>
    <w:rsid w:val="005771C4"/>
    <w:rsid w:val="005776B2"/>
    <w:rsid w:val="005777F2"/>
    <w:rsid w:val="0057791E"/>
    <w:rsid w:val="00577EE2"/>
    <w:rsid w:val="005802D4"/>
    <w:rsid w:val="00581381"/>
    <w:rsid w:val="005830F5"/>
    <w:rsid w:val="00583244"/>
    <w:rsid w:val="0058390C"/>
    <w:rsid w:val="00583C07"/>
    <w:rsid w:val="0058418C"/>
    <w:rsid w:val="005844F6"/>
    <w:rsid w:val="0058461D"/>
    <w:rsid w:val="00584F68"/>
    <w:rsid w:val="0058532A"/>
    <w:rsid w:val="0058577F"/>
    <w:rsid w:val="00586605"/>
    <w:rsid w:val="005868DE"/>
    <w:rsid w:val="005877AC"/>
    <w:rsid w:val="00587BD9"/>
    <w:rsid w:val="005906E0"/>
    <w:rsid w:val="005907B9"/>
    <w:rsid w:val="005908AC"/>
    <w:rsid w:val="00590A1E"/>
    <w:rsid w:val="005912F2"/>
    <w:rsid w:val="005913B0"/>
    <w:rsid w:val="0059184F"/>
    <w:rsid w:val="0059277E"/>
    <w:rsid w:val="00592EE9"/>
    <w:rsid w:val="005931C9"/>
    <w:rsid w:val="005933BD"/>
    <w:rsid w:val="00593696"/>
    <w:rsid w:val="00594A6B"/>
    <w:rsid w:val="00595642"/>
    <w:rsid w:val="00595C27"/>
    <w:rsid w:val="00595CB6"/>
    <w:rsid w:val="005966B7"/>
    <w:rsid w:val="00596F5A"/>
    <w:rsid w:val="005A00AB"/>
    <w:rsid w:val="005A05A2"/>
    <w:rsid w:val="005A05CE"/>
    <w:rsid w:val="005A075B"/>
    <w:rsid w:val="005A09E5"/>
    <w:rsid w:val="005A0B96"/>
    <w:rsid w:val="005A1273"/>
    <w:rsid w:val="005A1A2C"/>
    <w:rsid w:val="005A1BD2"/>
    <w:rsid w:val="005A1CCE"/>
    <w:rsid w:val="005A26EE"/>
    <w:rsid w:val="005A2C82"/>
    <w:rsid w:val="005A3816"/>
    <w:rsid w:val="005A404A"/>
    <w:rsid w:val="005A46A9"/>
    <w:rsid w:val="005A48BA"/>
    <w:rsid w:val="005A4DA9"/>
    <w:rsid w:val="005A50EF"/>
    <w:rsid w:val="005A54C1"/>
    <w:rsid w:val="005A57A1"/>
    <w:rsid w:val="005A5ED4"/>
    <w:rsid w:val="005A6194"/>
    <w:rsid w:val="005A6531"/>
    <w:rsid w:val="005A6534"/>
    <w:rsid w:val="005A6AC2"/>
    <w:rsid w:val="005A7111"/>
    <w:rsid w:val="005B08B0"/>
    <w:rsid w:val="005B0DED"/>
    <w:rsid w:val="005B1C62"/>
    <w:rsid w:val="005B1F6F"/>
    <w:rsid w:val="005B409D"/>
    <w:rsid w:val="005B4EF8"/>
    <w:rsid w:val="005B5370"/>
    <w:rsid w:val="005B58C6"/>
    <w:rsid w:val="005B5E2A"/>
    <w:rsid w:val="005B62AC"/>
    <w:rsid w:val="005B75A6"/>
    <w:rsid w:val="005C01E6"/>
    <w:rsid w:val="005C02A4"/>
    <w:rsid w:val="005C06F0"/>
    <w:rsid w:val="005C0C2B"/>
    <w:rsid w:val="005C1C56"/>
    <w:rsid w:val="005C1D4C"/>
    <w:rsid w:val="005C20D2"/>
    <w:rsid w:val="005C256C"/>
    <w:rsid w:val="005C28E2"/>
    <w:rsid w:val="005C2979"/>
    <w:rsid w:val="005C32FE"/>
    <w:rsid w:val="005C37AE"/>
    <w:rsid w:val="005C503A"/>
    <w:rsid w:val="005C6228"/>
    <w:rsid w:val="005C6EBB"/>
    <w:rsid w:val="005C7E90"/>
    <w:rsid w:val="005D024A"/>
    <w:rsid w:val="005D11DF"/>
    <w:rsid w:val="005D2D71"/>
    <w:rsid w:val="005D4085"/>
    <w:rsid w:val="005D4FD4"/>
    <w:rsid w:val="005D562A"/>
    <w:rsid w:val="005D58C7"/>
    <w:rsid w:val="005D6066"/>
    <w:rsid w:val="005D60D3"/>
    <w:rsid w:val="005D6AB0"/>
    <w:rsid w:val="005D6D64"/>
    <w:rsid w:val="005D6E40"/>
    <w:rsid w:val="005D724A"/>
    <w:rsid w:val="005E04BB"/>
    <w:rsid w:val="005E10DB"/>
    <w:rsid w:val="005E1331"/>
    <w:rsid w:val="005E14A4"/>
    <w:rsid w:val="005E1D38"/>
    <w:rsid w:val="005E4844"/>
    <w:rsid w:val="005E58B7"/>
    <w:rsid w:val="005E5F1F"/>
    <w:rsid w:val="005E675D"/>
    <w:rsid w:val="005E698F"/>
    <w:rsid w:val="005E69DE"/>
    <w:rsid w:val="005E79ED"/>
    <w:rsid w:val="005E7C5F"/>
    <w:rsid w:val="005F0874"/>
    <w:rsid w:val="005F1F87"/>
    <w:rsid w:val="005F2659"/>
    <w:rsid w:val="005F26BF"/>
    <w:rsid w:val="005F30D7"/>
    <w:rsid w:val="005F35CA"/>
    <w:rsid w:val="005F40BB"/>
    <w:rsid w:val="005F44E9"/>
    <w:rsid w:val="005F4958"/>
    <w:rsid w:val="005F4B1A"/>
    <w:rsid w:val="005F5895"/>
    <w:rsid w:val="005F5FA8"/>
    <w:rsid w:val="005F61F5"/>
    <w:rsid w:val="005F69D0"/>
    <w:rsid w:val="005F6FAE"/>
    <w:rsid w:val="005F777A"/>
    <w:rsid w:val="005F7891"/>
    <w:rsid w:val="005F7C82"/>
    <w:rsid w:val="00600D35"/>
    <w:rsid w:val="0060101A"/>
    <w:rsid w:val="00601236"/>
    <w:rsid w:val="00601650"/>
    <w:rsid w:val="00602299"/>
    <w:rsid w:val="00602638"/>
    <w:rsid w:val="00602743"/>
    <w:rsid w:val="006029DD"/>
    <w:rsid w:val="0060467C"/>
    <w:rsid w:val="00604EEF"/>
    <w:rsid w:val="006051E8"/>
    <w:rsid w:val="006054D5"/>
    <w:rsid w:val="00605651"/>
    <w:rsid w:val="00605AFD"/>
    <w:rsid w:val="006062E2"/>
    <w:rsid w:val="00606523"/>
    <w:rsid w:val="006068CE"/>
    <w:rsid w:val="00606B7D"/>
    <w:rsid w:val="00606E35"/>
    <w:rsid w:val="00606E79"/>
    <w:rsid w:val="0060702F"/>
    <w:rsid w:val="00607EFA"/>
    <w:rsid w:val="00610C53"/>
    <w:rsid w:val="00610F3F"/>
    <w:rsid w:val="00610FB3"/>
    <w:rsid w:val="006112E9"/>
    <w:rsid w:val="0061157E"/>
    <w:rsid w:val="00611E87"/>
    <w:rsid w:val="006123D4"/>
    <w:rsid w:val="00613660"/>
    <w:rsid w:val="00613934"/>
    <w:rsid w:val="00613C21"/>
    <w:rsid w:val="00613EED"/>
    <w:rsid w:val="0061437A"/>
    <w:rsid w:val="0061445B"/>
    <w:rsid w:val="006145CE"/>
    <w:rsid w:val="00614644"/>
    <w:rsid w:val="00614BC3"/>
    <w:rsid w:val="006150B5"/>
    <w:rsid w:val="00615B90"/>
    <w:rsid w:val="0061606E"/>
    <w:rsid w:val="006161A8"/>
    <w:rsid w:val="006166A1"/>
    <w:rsid w:val="00616806"/>
    <w:rsid w:val="006168CD"/>
    <w:rsid w:val="00616E7C"/>
    <w:rsid w:val="006200BE"/>
    <w:rsid w:val="0062095B"/>
    <w:rsid w:val="00620A6D"/>
    <w:rsid w:val="00620E6E"/>
    <w:rsid w:val="00621C8C"/>
    <w:rsid w:val="0062321A"/>
    <w:rsid w:val="00623462"/>
    <w:rsid w:val="00623CCB"/>
    <w:rsid w:val="00624C4B"/>
    <w:rsid w:val="00624ED9"/>
    <w:rsid w:val="00625EB0"/>
    <w:rsid w:val="0062633E"/>
    <w:rsid w:val="0062743B"/>
    <w:rsid w:val="00630ABA"/>
    <w:rsid w:val="006321CE"/>
    <w:rsid w:val="00632284"/>
    <w:rsid w:val="00632464"/>
    <w:rsid w:val="00632A07"/>
    <w:rsid w:val="00633629"/>
    <w:rsid w:val="006345EC"/>
    <w:rsid w:val="00635994"/>
    <w:rsid w:val="00635F12"/>
    <w:rsid w:val="0063692C"/>
    <w:rsid w:val="00636D92"/>
    <w:rsid w:val="006403FF"/>
    <w:rsid w:val="00640870"/>
    <w:rsid w:val="006410F4"/>
    <w:rsid w:val="00641559"/>
    <w:rsid w:val="006419B5"/>
    <w:rsid w:val="006419DB"/>
    <w:rsid w:val="00641ADE"/>
    <w:rsid w:val="00641CB6"/>
    <w:rsid w:val="00641DAE"/>
    <w:rsid w:val="00642CF2"/>
    <w:rsid w:val="00642D23"/>
    <w:rsid w:val="006433A4"/>
    <w:rsid w:val="00643966"/>
    <w:rsid w:val="0064499F"/>
    <w:rsid w:val="00644DC9"/>
    <w:rsid w:val="00644FD9"/>
    <w:rsid w:val="006455C8"/>
    <w:rsid w:val="00645B15"/>
    <w:rsid w:val="00645EF3"/>
    <w:rsid w:val="006469CC"/>
    <w:rsid w:val="00647C37"/>
    <w:rsid w:val="00647D7A"/>
    <w:rsid w:val="006500A7"/>
    <w:rsid w:val="00650150"/>
    <w:rsid w:val="006502A9"/>
    <w:rsid w:val="00651520"/>
    <w:rsid w:val="006517C8"/>
    <w:rsid w:val="00651B30"/>
    <w:rsid w:val="00652796"/>
    <w:rsid w:val="00652B09"/>
    <w:rsid w:val="00652E82"/>
    <w:rsid w:val="00653320"/>
    <w:rsid w:val="0065341E"/>
    <w:rsid w:val="00653A2B"/>
    <w:rsid w:val="0065456D"/>
    <w:rsid w:val="006548A4"/>
    <w:rsid w:val="00654B40"/>
    <w:rsid w:val="00655157"/>
    <w:rsid w:val="00655D78"/>
    <w:rsid w:val="0065610C"/>
    <w:rsid w:val="006561F4"/>
    <w:rsid w:val="006562A7"/>
    <w:rsid w:val="00656A1C"/>
    <w:rsid w:val="00656E59"/>
    <w:rsid w:val="00656FA7"/>
    <w:rsid w:val="00657C4E"/>
    <w:rsid w:val="00657CEC"/>
    <w:rsid w:val="00657DAA"/>
    <w:rsid w:val="006611C8"/>
    <w:rsid w:val="00661A16"/>
    <w:rsid w:val="00662049"/>
    <w:rsid w:val="0066367F"/>
    <w:rsid w:val="00663A5B"/>
    <w:rsid w:val="00664854"/>
    <w:rsid w:val="006650D9"/>
    <w:rsid w:val="006650E7"/>
    <w:rsid w:val="00665221"/>
    <w:rsid w:val="00665AB2"/>
    <w:rsid w:val="00665FAF"/>
    <w:rsid w:val="00665FF5"/>
    <w:rsid w:val="00666174"/>
    <w:rsid w:val="00666249"/>
    <w:rsid w:val="00666C05"/>
    <w:rsid w:val="00666FA2"/>
    <w:rsid w:val="006670C4"/>
    <w:rsid w:val="0066795B"/>
    <w:rsid w:val="00671312"/>
    <w:rsid w:val="00672421"/>
    <w:rsid w:val="00672517"/>
    <w:rsid w:val="00672609"/>
    <w:rsid w:val="00672B5D"/>
    <w:rsid w:val="006731C0"/>
    <w:rsid w:val="0067392A"/>
    <w:rsid w:val="0067473E"/>
    <w:rsid w:val="006758D3"/>
    <w:rsid w:val="00675A55"/>
    <w:rsid w:val="00675D4D"/>
    <w:rsid w:val="0067622C"/>
    <w:rsid w:val="00676944"/>
    <w:rsid w:val="00680CA4"/>
    <w:rsid w:val="00681574"/>
    <w:rsid w:val="00681E91"/>
    <w:rsid w:val="006821F4"/>
    <w:rsid w:val="00682249"/>
    <w:rsid w:val="00683348"/>
    <w:rsid w:val="006845EF"/>
    <w:rsid w:val="00685006"/>
    <w:rsid w:val="0068573C"/>
    <w:rsid w:val="0068579D"/>
    <w:rsid w:val="00685854"/>
    <w:rsid w:val="00685A6E"/>
    <w:rsid w:val="00685BC8"/>
    <w:rsid w:val="00685CF7"/>
    <w:rsid w:val="00686165"/>
    <w:rsid w:val="00686B59"/>
    <w:rsid w:val="00686DA1"/>
    <w:rsid w:val="0068775F"/>
    <w:rsid w:val="00687932"/>
    <w:rsid w:val="006900C7"/>
    <w:rsid w:val="00690B0E"/>
    <w:rsid w:val="00691CB5"/>
    <w:rsid w:val="006923DF"/>
    <w:rsid w:val="00692713"/>
    <w:rsid w:val="00692C6F"/>
    <w:rsid w:val="00693680"/>
    <w:rsid w:val="00693ECD"/>
    <w:rsid w:val="00695329"/>
    <w:rsid w:val="00695ACC"/>
    <w:rsid w:val="0069674C"/>
    <w:rsid w:val="006967AE"/>
    <w:rsid w:val="006968F7"/>
    <w:rsid w:val="00696E5B"/>
    <w:rsid w:val="006971F3"/>
    <w:rsid w:val="00697781"/>
    <w:rsid w:val="00697B5D"/>
    <w:rsid w:val="006A0170"/>
    <w:rsid w:val="006A0AEA"/>
    <w:rsid w:val="006A0E39"/>
    <w:rsid w:val="006A1114"/>
    <w:rsid w:val="006A1869"/>
    <w:rsid w:val="006A1B28"/>
    <w:rsid w:val="006A23B7"/>
    <w:rsid w:val="006A336B"/>
    <w:rsid w:val="006A37F5"/>
    <w:rsid w:val="006A4235"/>
    <w:rsid w:val="006A4805"/>
    <w:rsid w:val="006A4D43"/>
    <w:rsid w:val="006A6D55"/>
    <w:rsid w:val="006A6FC9"/>
    <w:rsid w:val="006A7037"/>
    <w:rsid w:val="006A77B7"/>
    <w:rsid w:val="006A78A8"/>
    <w:rsid w:val="006B0AC8"/>
    <w:rsid w:val="006B124A"/>
    <w:rsid w:val="006B1942"/>
    <w:rsid w:val="006B2390"/>
    <w:rsid w:val="006B2A84"/>
    <w:rsid w:val="006B38FF"/>
    <w:rsid w:val="006B3BE0"/>
    <w:rsid w:val="006B4A17"/>
    <w:rsid w:val="006B57B0"/>
    <w:rsid w:val="006B603F"/>
    <w:rsid w:val="006B641E"/>
    <w:rsid w:val="006B6BBE"/>
    <w:rsid w:val="006B6BCE"/>
    <w:rsid w:val="006B6D84"/>
    <w:rsid w:val="006B700E"/>
    <w:rsid w:val="006B71F7"/>
    <w:rsid w:val="006B7E66"/>
    <w:rsid w:val="006C11CE"/>
    <w:rsid w:val="006C14A3"/>
    <w:rsid w:val="006C175A"/>
    <w:rsid w:val="006C1892"/>
    <w:rsid w:val="006C1C98"/>
    <w:rsid w:val="006C2633"/>
    <w:rsid w:val="006C269E"/>
    <w:rsid w:val="006C2A99"/>
    <w:rsid w:val="006C2CF7"/>
    <w:rsid w:val="006C36A4"/>
    <w:rsid w:val="006C3C53"/>
    <w:rsid w:val="006C40F7"/>
    <w:rsid w:val="006C445E"/>
    <w:rsid w:val="006C44C8"/>
    <w:rsid w:val="006C4743"/>
    <w:rsid w:val="006C4F88"/>
    <w:rsid w:val="006C521F"/>
    <w:rsid w:val="006C5B73"/>
    <w:rsid w:val="006C5C84"/>
    <w:rsid w:val="006C613C"/>
    <w:rsid w:val="006C645D"/>
    <w:rsid w:val="006C73CA"/>
    <w:rsid w:val="006D0410"/>
    <w:rsid w:val="006D108A"/>
    <w:rsid w:val="006D1131"/>
    <w:rsid w:val="006D18AC"/>
    <w:rsid w:val="006D23DC"/>
    <w:rsid w:val="006D2557"/>
    <w:rsid w:val="006D268F"/>
    <w:rsid w:val="006D28EB"/>
    <w:rsid w:val="006D3086"/>
    <w:rsid w:val="006D363D"/>
    <w:rsid w:val="006D3C4F"/>
    <w:rsid w:val="006D41CA"/>
    <w:rsid w:val="006D5697"/>
    <w:rsid w:val="006D5A67"/>
    <w:rsid w:val="006D5D89"/>
    <w:rsid w:val="006D6913"/>
    <w:rsid w:val="006D6CA5"/>
    <w:rsid w:val="006D6EB6"/>
    <w:rsid w:val="006D772C"/>
    <w:rsid w:val="006D7B6B"/>
    <w:rsid w:val="006D7E47"/>
    <w:rsid w:val="006E000E"/>
    <w:rsid w:val="006E0348"/>
    <w:rsid w:val="006E03FB"/>
    <w:rsid w:val="006E0E30"/>
    <w:rsid w:val="006E10E4"/>
    <w:rsid w:val="006E1652"/>
    <w:rsid w:val="006E1A81"/>
    <w:rsid w:val="006E2D07"/>
    <w:rsid w:val="006E2D2A"/>
    <w:rsid w:val="006E2EF7"/>
    <w:rsid w:val="006E2F56"/>
    <w:rsid w:val="006E35FE"/>
    <w:rsid w:val="006E3CC3"/>
    <w:rsid w:val="006E4456"/>
    <w:rsid w:val="006E4E3C"/>
    <w:rsid w:val="006E529B"/>
    <w:rsid w:val="006E68C2"/>
    <w:rsid w:val="006E6FB1"/>
    <w:rsid w:val="006E7175"/>
    <w:rsid w:val="006E77E9"/>
    <w:rsid w:val="006E7933"/>
    <w:rsid w:val="006E7A66"/>
    <w:rsid w:val="006F07EE"/>
    <w:rsid w:val="006F0968"/>
    <w:rsid w:val="006F09C0"/>
    <w:rsid w:val="006F0C16"/>
    <w:rsid w:val="006F13D0"/>
    <w:rsid w:val="006F1F13"/>
    <w:rsid w:val="006F2342"/>
    <w:rsid w:val="006F3DDA"/>
    <w:rsid w:val="006F469B"/>
    <w:rsid w:val="006F4B80"/>
    <w:rsid w:val="006F511B"/>
    <w:rsid w:val="006F5480"/>
    <w:rsid w:val="006F569D"/>
    <w:rsid w:val="006F5F53"/>
    <w:rsid w:val="006F6C4C"/>
    <w:rsid w:val="006F6EA7"/>
    <w:rsid w:val="006F723F"/>
    <w:rsid w:val="006F774C"/>
    <w:rsid w:val="006F7A95"/>
    <w:rsid w:val="00700989"/>
    <w:rsid w:val="00700ECD"/>
    <w:rsid w:val="00700F6F"/>
    <w:rsid w:val="00700F91"/>
    <w:rsid w:val="007012DB"/>
    <w:rsid w:val="00701A19"/>
    <w:rsid w:val="00701F52"/>
    <w:rsid w:val="00702095"/>
    <w:rsid w:val="007021FC"/>
    <w:rsid w:val="0070236F"/>
    <w:rsid w:val="00702941"/>
    <w:rsid w:val="00702D79"/>
    <w:rsid w:val="00703648"/>
    <w:rsid w:val="007040A9"/>
    <w:rsid w:val="007043F0"/>
    <w:rsid w:val="00704C25"/>
    <w:rsid w:val="0070541F"/>
    <w:rsid w:val="00705631"/>
    <w:rsid w:val="007056F0"/>
    <w:rsid w:val="0070585A"/>
    <w:rsid w:val="00706200"/>
    <w:rsid w:val="0070693C"/>
    <w:rsid w:val="00706E8E"/>
    <w:rsid w:val="00706FBB"/>
    <w:rsid w:val="007071B7"/>
    <w:rsid w:val="00707309"/>
    <w:rsid w:val="00707444"/>
    <w:rsid w:val="0071002D"/>
    <w:rsid w:val="00710181"/>
    <w:rsid w:val="00710F1E"/>
    <w:rsid w:val="0071146C"/>
    <w:rsid w:val="00711857"/>
    <w:rsid w:val="00711D2D"/>
    <w:rsid w:val="00711D51"/>
    <w:rsid w:val="0071291A"/>
    <w:rsid w:val="00712E0B"/>
    <w:rsid w:val="00712EA1"/>
    <w:rsid w:val="00714EA9"/>
    <w:rsid w:val="007157AA"/>
    <w:rsid w:val="00715F96"/>
    <w:rsid w:val="007160CE"/>
    <w:rsid w:val="0071632B"/>
    <w:rsid w:val="00716D59"/>
    <w:rsid w:val="007171B3"/>
    <w:rsid w:val="0071765C"/>
    <w:rsid w:val="007177B9"/>
    <w:rsid w:val="0071790D"/>
    <w:rsid w:val="00717E10"/>
    <w:rsid w:val="007201B0"/>
    <w:rsid w:val="007202F5"/>
    <w:rsid w:val="00720370"/>
    <w:rsid w:val="007204BF"/>
    <w:rsid w:val="0072082E"/>
    <w:rsid w:val="00720DA1"/>
    <w:rsid w:val="00720DBD"/>
    <w:rsid w:val="007216AA"/>
    <w:rsid w:val="007216E3"/>
    <w:rsid w:val="00721CC6"/>
    <w:rsid w:val="00722940"/>
    <w:rsid w:val="00722A6C"/>
    <w:rsid w:val="00722B53"/>
    <w:rsid w:val="00722CC4"/>
    <w:rsid w:val="00722FC2"/>
    <w:rsid w:val="0072353C"/>
    <w:rsid w:val="00723744"/>
    <w:rsid w:val="00723A20"/>
    <w:rsid w:val="007245A1"/>
    <w:rsid w:val="007245AB"/>
    <w:rsid w:val="00724FD7"/>
    <w:rsid w:val="007250C1"/>
    <w:rsid w:val="0072527D"/>
    <w:rsid w:val="00725A2B"/>
    <w:rsid w:val="00725A6C"/>
    <w:rsid w:val="00725F3F"/>
    <w:rsid w:val="007270F0"/>
    <w:rsid w:val="00727B7E"/>
    <w:rsid w:val="00727F7C"/>
    <w:rsid w:val="0073004B"/>
    <w:rsid w:val="007300E5"/>
    <w:rsid w:val="0073030F"/>
    <w:rsid w:val="0073069E"/>
    <w:rsid w:val="00730CEA"/>
    <w:rsid w:val="00730EC9"/>
    <w:rsid w:val="0073164B"/>
    <w:rsid w:val="0073197F"/>
    <w:rsid w:val="00732ADB"/>
    <w:rsid w:val="007339BD"/>
    <w:rsid w:val="00735361"/>
    <w:rsid w:val="00735382"/>
    <w:rsid w:val="00735702"/>
    <w:rsid w:val="00735884"/>
    <w:rsid w:val="007364EC"/>
    <w:rsid w:val="00737221"/>
    <w:rsid w:val="007373CB"/>
    <w:rsid w:val="007377CF"/>
    <w:rsid w:val="00737984"/>
    <w:rsid w:val="00740322"/>
    <w:rsid w:val="00740B87"/>
    <w:rsid w:val="00742366"/>
    <w:rsid w:val="007425F0"/>
    <w:rsid w:val="00743378"/>
    <w:rsid w:val="00743723"/>
    <w:rsid w:val="007439A6"/>
    <w:rsid w:val="00743D30"/>
    <w:rsid w:val="00744484"/>
    <w:rsid w:val="00744922"/>
    <w:rsid w:val="00744CF5"/>
    <w:rsid w:val="00745616"/>
    <w:rsid w:val="00745CD3"/>
    <w:rsid w:val="00745F2B"/>
    <w:rsid w:val="00745F7D"/>
    <w:rsid w:val="007461B4"/>
    <w:rsid w:val="0074691A"/>
    <w:rsid w:val="0074731E"/>
    <w:rsid w:val="007478DD"/>
    <w:rsid w:val="00747CBD"/>
    <w:rsid w:val="007509DD"/>
    <w:rsid w:val="00750CA2"/>
    <w:rsid w:val="0075103E"/>
    <w:rsid w:val="0075123B"/>
    <w:rsid w:val="0075127C"/>
    <w:rsid w:val="0075154C"/>
    <w:rsid w:val="00751799"/>
    <w:rsid w:val="00751B61"/>
    <w:rsid w:val="00752148"/>
    <w:rsid w:val="00752530"/>
    <w:rsid w:val="007525AC"/>
    <w:rsid w:val="00752818"/>
    <w:rsid w:val="00753115"/>
    <w:rsid w:val="00754497"/>
    <w:rsid w:val="00754784"/>
    <w:rsid w:val="007551E6"/>
    <w:rsid w:val="00755813"/>
    <w:rsid w:val="00755FB3"/>
    <w:rsid w:val="0075768C"/>
    <w:rsid w:val="00757F2C"/>
    <w:rsid w:val="007604FB"/>
    <w:rsid w:val="00760D6E"/>
    <w:rsid w:val="007614BA"/>
    <w:rsid w:val="007618E0"/>
    <w:rsid w:val="00761986"/>
    <w:rsid w:val="00761F93"/>
    <w:rsid w:val="00762B3E"/>
    <w:rsid w:val="00762B51"/>
    <w:rsid w:val="00763474"/>
    <w:rsid w:val="00763B0B"/>
    <w:rsid w:val="00763DFA"/>
    <w:rsid w:val="00763E81"/>
    <w:rsid w:val="007651AD"/>
    <w:rsid w:val="007657A4"/>
    <w:rsid w:val="00766184"/>
    <w:rsid w:val="00766C3F"/>
    <w:rsid w:val="00767370"/>
    <w:rsid w:val="00767ADA"/>
    <w:rsid w:val="00767FFE"/>
    <w:rsid w:val="0077011F"/>
    <w:rsid w:val="00770215"/>
    <w:rsid w:val="007705A6"/>
    <w:rsid w:val="00771CE0"/>
    <w:rsid w:val="007722A4"/>
    <w:rsid w:val="007734F2"/>
    <w:rsid w:val="00773567"/>
    <w:rsid w:val="0077374C"/>
    <w:rsid w:val="007738DD"/>
    <w:rsid w:val="00773B84"/>
    <w:rsid w:val="0077436E"/>
    <w:rsid w:val="007749ED"/>
    <w:rsid w:val="00774A52"/>
    <w:rsid w:val="00774C50"/>
    <w:rsid w:val="00774F8D"/>
    <w:rsid w:val="00774FB0"/>
    <w:rsid w:val="0077520A"/>
    <w:rsid w:val="0077614D"/>
    <w:rsid w:val="00776876"/>
    <w:rsid w:val="007770E4"/>
    <w:rsid w:val="00777A2A"/>
    <w:rsid w:val="00777A5B"/>
    <w:rsid w:val="00777CF5"/>
    <w:rsid w:val="00777E2E"/>
    <w:rsid w:val="007802F4"/>
    <w:rsid w:val="00780DEB"/>
    <w:rsid w:val="00781587"/>
    <w:rsid w:val="007818DD"/>
    <w:rsid w:val="00781908"/>
    <w:rsid w:val="007823F7"/>
    <w:rsid w:val="0078257B"/>
    <w:rsid w:val="00782C5B"/>
    <w:rsid w:val="00783497"/>
    <w:rsid w:val="00783611"/>
    <w:rsid w:val="00783A76"/>
    <w:rsid w:val="00783D75"/>
    <w:rsid w:val="007842B8"/>
    <w:rsid w:val="0078437E"/>
    <w:rsid w:val="0078476C"/>
    <w:rsid w:val="00784C0A"/>
    <w:rsid w:val="00785165"/>
    <w:rsid w:val="00785334"/>
    <w:rsid w:val="007856BE"/>
    <w:rsid w:val="00785902"/>
    <w:rsid w:val="0078628B"/>
    <w:rsid w:val="00786333"/>
    <w:rsid w:val="007863FB"/>
    <w:rsid w:val="0078709A"/>
    <w:rsid w:val="00787AA9"/>
    <w:rsid w:val="00790295"/>
    <w:rsid w:val="007908F9"/>
    <w:rsid w:val="007915CA"/>
    <w:rsid w:val="007919D9"/>
    <w:rsid w:val="00791CA6"/>
    <w:rsid w:val="0079268D"/>
    <w:rsid w:val="00792A7A"/>
    <w:rsid w:val="00792E1F"/>
    <w:rsid w:val="00793FAE"/>
    <w:rsid w:val="007941B2"/>
    <w:rsid w:val="00794B40"/>
    <w:rsid w:val="00795352"/>
    <w:rsid w:val="007954A1"/>
    <w:rsid w:val="007957C1"/>
    <w:rsid w:val="00795BE2"/>
    <w:rsid w:val="00795F87"/>
    <w:rsid w:val="0079688D"/>
    <w:rsid w:val="00796A6E"/>
    <w:rsid w:val="00796C18"/>
    <w:rsid w:val="00796C3E"/>
    <w:rsid w:val="00796E26"/>
    <w:rsid w:val="0079739F"/>
    <w:rsid w:val="007A0616"/>
    <w:rsid w:val="007A0C49"/>
    <w:rsid w:val="007A1079"/>
    <w:rsid w:val="007A15D3"/>
    <w:rsid w:val="007A182A"/>
    <w:rsid w:val="007A186A"/>
    <w:rsid w:val="007A19B4"/>
    <w:rsid w:val="007A1E2C"/>
    <w:rsid w:val="007A1E98"/>
    <w:rsid w:val="007A2109"/>
    <w:rsid w:val="007A21DC"/>
    <w:rsid w:val="007A3413"/>
    <w:rsid w:val="007A3682"/>
    <w:rsid w:val="007A381A"/>
    <w:rsid w:val="007A3995"/>
    <w:rsid w:val="007A3BFB"/>
    <w:rsid w:val="007A46C6"/>
    <w:rsid w:val="007A4BBE"/>
    <w:rsid w:val="007A513C"/>
    <w:rsid w:val="007A60AE"/>
    <w:rsid w:val="007A6772"/>
    <w:rsid w:val="007A6E04"/>
    <w:rsid w:val="007A6E61"/>
    <w:rsid w:val="007A6FD8"/>
    <w:rsid w:val="007A7020"/>
    <w:rsid w:val="007A71A4"/>
    <w:rsid w:val="007A7DC0"/>
    <w:rsid w:val="007A7F63"/>
    <w:rsid w:val="007B0694"/>
    <w:rsid w:val="007B1008"/>
    <w:rsid w:val="007B1569"/>
    <w:rsid w:val="007B1608"/>
    <w:rsid w:val="007B2010"/>
    <w:rsid w:val="007B201E"/>
    <w:rsid w:val="007B2237"/>
    <w:rsid w:val="007B2368"/>
    <w:rsid w:val="007B2677"/>
    <w:rsid w:val="007B27EA"/>
    <w:rsid w:val="007B2C2E"/>
    <w:rsid w:val="007B2DF2"/>
    <w:rsid w:val="007B321B"/>
    <w:rsid w:val="007B34C4"/>
    <w:rsid w:val="007B3732"/>
    <w:rsid w:val="007B389D"/>
    <w:rsid w:val="007B3A18"/>
    <w:rsid w:val="007B4A56"/>
    <w:rsid w:val="007B550C"/>
    <w:rsid w:val="007B60D3"/>
    <w:rsid w:val="007B6DB8"/>
    <w:rsid w:val="007B6FEA"/>
    <w:rsid w:val="007B7244"/>
    <w:rsid w:val="007B76AB"/>
    <w:rsid w:val="007B77E6"/>
    <w:rsid w:val="007C0761"/>
    <w:rsid w:val="007C1416"/>
    <w:rsid w:val="007C14E8"/>
    <w:rsid w:val="007C18CD"/>
    <w:rsid w:val="007C1A91"/>
    <w:rsid w:val="007C1C40"/>
    <w:rsid w:val="007C318E"/>
    <w:rsid w:val="007C3A3F"/>
    <w:rsid w:val="007C3C67"/>
    <w:rsid w:val="007C4014"/>
    <w:rsid w:val="007C409A"/>
    <w:rsid w:val="007C53CF"/>
    <w:rsid w:val="007C5694"/>
    <w:rsid w:val="007C6283"/>
    <w:rsid w:val="007C6A1E"/>
    <w:rsid w:val="007C7145"/>
    <w:rsid w:val="007C7A35"/>
    <w:rsid w:val="007D0CC8"/>
    <w:rsid w:val="007D1486"/>
    <w:rsid w:val="007D1614"/>
    <w:rsid w:val="007D172C"/>
    <w:rsid w:val="007D1E8F"/>
    <w:rsid w:val="007D2284"/>
    <w:rsid w:val="007D24A2"/>
    <w:rsid w:val="007D3176"/>
    <w:rsid w:val="007D3987"/>
    <w:rsid w:val="007D3DBF"/>
    <w:rsid w:val="007D3DEA"/>
    <w:rsid w:val="007D400A"/>
    <w:rsid w:val="007D434D"/>
    <w:rsid w:val="007D43AC"/>
    <w:rsid w:val="007D5215"/>
    <w:rsid w:val="007D5530"/>
    <w:rsid w:val="007D5800"/>
    <w:rsid w:val="007D592B"/>
    <w:rsid w:val="007D5AA6"/>
    <w:rsid w:val="007D7A08"/>
    <w:rsid w:val="007D7A91"/>
    <w:rsid w:val="007D7F32"/>
    <w:rsid w:val="007E0A0C"/>
    <w:rsid w:val="007E136F"/>
    <w:rsid w:val="007E1CE6"/>
    <w:rsid w:val="007E23E8"/>
    <w:rsid w:val="007E324A"/>
    <w:rsid w:val="007E3657"/>
    <w:rsid w:val="007E51B1"/>
    <w:rsid w:val="007E61A5"/>
    <w:rsid w:val="007E61F6"/>
    <w:rsid w:val="007E6456"/>
    <w:rsid w:val="007E6537"/>
    <w:rsid w:val="007E6600"/>
    <w:rsid w:val="007E6AE0"/>
    <w:rsid w:val="007F0652"/>
    <w:rsid w:val="007F1108"/>
    <w:rsid w:val="007F1E15"/>
    <w:rsid w:val="007F1FBC"/>
    <w:rsid w:val="007F277F"/>
    <w:rsid w:val="007F2B0C"/>
    <w:rsid w:val="007F2E7D"/>
    <w:rsid w:val="007F2FC8"/>
    <w:rsid w:val="007F348C"/>
    <w:rsid w:val="007F3551"/>
    <w:rsid w:val="007F35B5"/>
    <w:rsid w:val="007F4CE8"/>
    <w:rsid w:val="007F5BE7"/>
    <w:rsid w:val="007F683F"/>
    <w:rsid w:val="007F7DE1"/>
    <w:rsid w:val="007F7EAC"/>
    <w:rsid w:val="008003C5"/>
    <w:rsid w:val="008007CE"/>
    <w:rsid w:val="00800BAD"/>
    <w:rsid w:val="00800DBA"/>
    <w:rsid w:val="0080142F"/>
    <w:rsid w:val="008017A1"/>
    <w:rsid w:val="00801EB4"/>
    <w:rsid w:val="00802132"/>
    <w:rsid w:val="008026DB"/>
    <w:rsid w:val="0080487F"/>
    <w:rsid w:val="00805823"/>
    <w:rsid w:val="00805C42"/>
    <w:rsid w:val="00805D68"/>
    <w:rsid w:val="00805DF8"/>
    <w:rsid w:val="00805E60"/>
    <w:rsid w:val="00807137"/>
    <w:rsid w:val="008078BC"/>
    <w:rsid w:val="0080796C"/>
    <w:rsid w:val="00810416"/>
    <w:rsid w:val="00810507"/>
    <w:rsid w:val="008107D8"/>
    <w:rsid w:val="00810924"/>
    <w:rsid w:val="0081112A"/>
    <w:rsid w:val="00811356"/>
    <w:rsid w:val="008118EF"/>
    <w:rsid w:val="00811943"/>
    <w:rsid w:val="0081194C"/>
    <w:rsid w:val="00811BE8"/>
    <w:rsid w:val="00811D7E"/>
    <w:rsid w:val="00812863"/>
    <w:rsid w:val="00813075"/>
    <w:rsid w:val="00813566"/>
    <w:rsid w:val="00813612"/>
    <w:rsid w:val="008137BE"/>
    <w:rsid w:val="00813881"/>
    <w:rsid w:val="008145A9"/>
    <w:rsid w:val="0081480A"/>
    <w:rsid w:val="00814AA4"/>
    <w:rsid w:val="0081578E"/>
    <w:rsid w:val="00815AD1"/>
    <w:rsid w:val="00815C81"/>
    <w:rsid w:val="00815E77"/>
    <w:rsid w:val="00815F88"/>
    <w:rsid w:val="00816721"/>
    <w:rsid w:val="00816B49"/>
    <w:rsid w:val="00816ECD"/>
    <w:rsid w:val="00820119"/>
    <w:rsid w:val="008202C7"/>
    <w:rsid w:val="008206F9"/>
    <w:rsid w:val="00820F0F"/>
    <w:rsid w:val="00821E13"/>
    <w:rsid w:val="00821F94"/>
    <w:rsid w:val="00822DC9"/>
    <w:rsid w:val="00822EE4"/>
    <w:rsid w:val="008231CB"/>
    <w:rsid w:val="00823260"/>
    <w:rsid w:val="00823D40"/>
    <w:rsid w:val="0082403D"/>
    <w:rsid w:val="00824C53"/>
    <w:rsid w:val="00825491"/>
    <w:rsid w:val="00825C22"/>
    <w:rsid w:val="008262BA"/>
    <w:rsid w:val="008263C0"/>
    <w:rsid w:val="00826FE0"/>
    <w:rsid w:val="00827089"/>
    <w:rsid w:val="008276AC"/>
    <w:rsid w:val="008276BD"/>
    <w:rsid w:val="00827C0B"/>
    <w:rsid w:val="008306D5"/>
    <w:rsid w:val="00830A27"/>
    <w:rsid w:val="008311B8"/>
    <w:rsid w:val="0083137B"/>
    <w:rsid w:val="008313D1"/>
    <w:rsid w:val="008315F2"/>
    <w:rsid w:val="00831670"/>
    <w:rsid w:val="0083217F"/>
    <w:rsid w:val="00832739"/>
    <w:rsid w:val="00833355"/>
    <w:rsid w:val="008333C2"/>
    <w:rsid w:val="00833423"/>
    <w:rsid w:val="00833E20"/>
    <w:rsid w:val="00834243"/>
    <w:rsid w:val="00835BE9"/>
    <w:rsid w:val="00835D27"/>
    <w:rsid w:val="00836037"/>
    <w:rsid w:val="008365F1"/>
    <w:rsid w:val="00837278"/>
    <w:rsid w:val="008374C4"/>
    <w:rsid w:val="00837AC4"/>
    <w:rsid w:val="00840335"/>
    <w:rsid w:val="00840951"/>
    <w:rsid w:val="008409F0"/>
    <w:rsid w:val="00840EDE"/>
    <w:rsid w:val="00841B80"/>
    <w:rsid w:val="00841FB7"/>
    <w:rsid w:val="0084232E"/>
    <w:rsid w:val="00842464"/>
    <w:rsid w:val="00842A2F"/>
    <w:rsid w:val="00843555"/>
    <w:rsid w:val="008435AD"/>
    <w:rsid w:val="00843A4F"/>
    <w:rsid w:val="00843D35"/>
    <w:rsid w:val="008448E1"/>
    <w:rsid w:val="00844946"/>
    <w:rsid w:val="00844D21"/>
    <w:rsid w:val="00846037"/>
    <w:rsid w:val="008464B8"/>
    <w:rsid w:val="008477E6"/>
    <w:rsid w:val="00850D23"/>
    <w:rsid w:val="008510C4"/>
    <w:rsid w:val="008510F3"/>
    <w:rsid w:val="00851316"/>
    <w:rsid w:val="008517DA"/>
    <w:rsid w:val="0085189C"/>
    <w:rsid w:val="00851DE5"/>
    <w:rsid w:val="00852781"/>
    <w:rsid w:val="00852E40"/>
    <w:rsid w:val="008535C3"/>
    <w:rsid w:val="00853641"/>
    <w:rsid w:val="008538C9"/>
    <w:rsid w:val="00853D4C"/>
    <w:rsid w:val="00853D87"/>
    <w:rsid w:val="008547E2"/>
    <w:rsid w:val="0085545C"/>
    <w:rsid w:val="0085590D"/>
    <w:rsid w:val="00855BEC"/>
    <w:rsid w:val="008566AD"/>
    <w:rsid w:val="00856804"/>
    <w:rsid w:val="008568E6"/>
    <w:rsid w:val="0085712F"/>
    <w:rsid w:val="00857326"/>
    <w:rsid w:val="0085790D"/>
    <w:rsid w:val="00857969"/>
    <w:rsid w:val="00857B97"/>
    <w:rsid w:val="00857E9A"/>
    <w:rsid w:val="008603DA"/>
    <w:rsid w:val="0086065E"/>
    <w:rsid w:val="008616A0"/>
    <w:rsid w:val="008618B7"/>
    <w:rsid w:val="008623C5"/>
    <w:rsid w:val="00862493"/>
    <w:rsid w:val="00862B71"/>
    <w:rsid w:val="008632F5"/>
    <w:rsid w:val="0086426A"/>
    <w:rsid w:val="00864EFE"/>
    <w:rsid w:val="0086508E"/>
    <w:rsid w:val="008671BC"/>
    <w:rsid w:val="00867E42"/>
    <w:rsid w:val="00871205"/>
    <w:rsid w:val="008715AE"/>
    <w:rsid w:val="0087214B"/>
    <w:rsid w:val="00872625"/>
    <w:rsid w:val="00873117"/>
    <w:rsid w:val="00873140"/>
    <w:rsid w:val="00873682"/>
    <w:rsid w:val="00874CFC"/>
    <w:rsid w:val="00874E6F"/>
    <w:rsid w:val="008755E6"/>
    <w:rsid w:val="00875B7F"/>
    <w:rsid w:val="00875D5F"/>
    <w:rsid w:val="008761E3"/>
    <w:rsid w:val="00876542"/>
    <w:rsid w:val="008775EC"/>
    <w:rsid w:val="008776FF"/>
    <w:rsid w:val="00877916"/>
    <w:rsid w:val="008807B2"/>
    <w:rsid w:val="008809FB"/>
    <w:rsid w:val="00880ECA"/>
    <w:rsid w:val="008814FE"/>
    <w:rsid w:val="008815F6"/>
    <w:rsid w:val="00881735"/>
    <w:rsid w:val="008829AB"/>
    <w:rsid w:val="00882BCB"/>
    <w:rsid w:val="00882CC4"/>
    <w:rsid w:val="008844AC"/>
    <w:rsid w:val="008850C9"/>
    <w:rsid w:val="0088522F"/>
    <w:rsid w:val="00885545"/>
    <w:rsid w:val="00885FC9"/>
    <w:rsid w:val="008868A8"/>
    <w:rsid w:val="0088725C"/>
    <w:rsid w:val="008905D3"/>
    <w:rsid w:val="0089082E"/>
    <w:rsid w:val="0089212E"/>
    <w:rsid w:val="00892633"/>
    <w:rsid w:val="00892BD2"/>
    <w:rsid w:val="0089305C"/>
    <w:rsid w:val="00894166"/>
    <w:rsid w:val="008943CB"/>
    <w:rsid w:val="00894443"/>
    <w:rsid w:val="00894BAC"/>
    <w:rsid w:val="00894D34"/>
    <w:rsid w:val="00895321"/>
    <w:rsid w:val="008955AA"/>
    <w:rsid w:val="00895703"/>
    <w:rsid w:val="0089689F"/>
    <w:rsid w:val="008968BD"/>
    <w:rsid w:val="00897082"/>
    <w:rsid w:val="008973C3"/>
    <w:rsid w:val="008973CB"/>
    <w:rsid w:val="00897D6F"/>
    <w:rsid w:val="00897F46"/>
    <w:rsid w:val="00897F81"/>
    <w:rsid w:val="008A02AF"/>
    <w:rsid w:val="008A21AF"/>
    <w:rsid w:val="008A306D"/>
    <w:rsid w:val="008A3284"/>
    <w:rsid w:val="008A32DF"/>
    <w:rsid w:val="008A3615"/>
    <w:rsid w:val="008A381B"/>
    <w:rsid w:val="008A3CDD"/>
    <w:rsid w:val="008A3D9C"/>
    <w:rsid w:val="008A446B"/>
    <w:rsid w:val="008A491C"/>
    <w:rsid w:val="008A4C85"/>
    <w:rsid w:val="008A4F4E"/>
    <w:rsid w:val="008A73D2"/>
    <w:rsid w:val="008A7B35"/>
    <w:rsid w:val="008A7B48"/>
    <w:rsid w:val="008A7CC1"/>
    <w:rsid w:val="008B0961"/>
    <w:rsid w:val="008B0A95"/>
    <w:rsid w:val="008B0D41"/>
    <w:rsid w:val="008B13D8"/>
    <w:rsid w:val="008B2BD8"/>
    <w:rsid w:val="008B3CAE"/>
    <w:rsid w:val="008B3FFB"/>
    <w:rsid w:val="008B48B8"/>
    <w:rsid w:val="008B4A3E"/>
    <w:rsid w:val="008B5286"/>
    <w:rsid w:val="008B5460"/>
    <w:rsid w:val="008B55B8"/>
    <w:rsid w:val="008B5918"/>
    <w:rsid w:val="008B5A6C"/>
    <w:rsid w:val="008B64EB"/>
    <w:rsid w:val="008B6744"/>
    <w:rsid w:val="008B67DD"/>
    <w:rsid w:val="008B7177"/>
    <w:rsid w:val="008B745F"/>
    <w:rsid w:val="008B7AF0"/>
    <w:rsid w:val="008C03C9"/>
    <w:rsid w:val="008C1D13"/>
    <w:rsid w:val="008C29B3"/>
    <w:rsid w:val="008C3057"/>
    <w:rsid w:val="008C33B5"/>
    <w:rsid w:val="008C3694"/>
    <w:rsid w:val="008C388E"/>
    <w:rsid w:val="008C3A9D"/>
    <w:rsid w:val="008C459D"/>
    <w:rsid w:val="008C46EE"/>
    <w:rsid w:val="008C4D86"/>
    <w:rsid w:val="008C4F95"/>
    <w:rsid w:val="008C4FCC"/>
    <w:rsid w:val="008C50A0"/>
    <w:rsid w:val="008C51E3"/>
    <w:rsid w:val="008C520B"/>
    <w:rsid w:val="008C5436"/>
    <w:rsid w:val="008C59DB"/>
    <w:rsid w:val="008C61FB"/>
    <w:rsid w:val="008C622B"/>
    <w:rsid w:val="008C675F"/>
    <w:rsid w:val="008C7004"/>
    <w:rsid w:val="008C702D"/>
    <w:rsid w:val="008C7342"/>
    <w:rsid w:val="008C7F71"/>
    <w:rsid w:val="008D00CE"/>
    <w:rsid w:val="008D0674"/>
    <w:rsid w:val="008D0DB8"/>
    <w:rsid w:val="008D1228"/>
    <w:rsid w:val="008D199E"/>
    <w:rsid w:val="008D19DD"/>
    <w:rsid w:val="008D2233"/>
    <w:rsid w:val="008D2ED4"/>
    <w:rsid w:val="008D32E6"/>
    <w:rsid w:val="008D339F"/>
    <w:rsid w:val="008D33DA"/>
    <w:rsid w:val="008D35A4"/>
    <w:rsid w:val="008D3970"/>
    <w:rsid w:val="008D41D1"/>
    <w:rsid w:val="008D4F9D"/>
    <w:rsid w:val="008D50FA"/>
    <w:rsid w:val="008D5403"/>
    <w:rsid w:val="008D5E6F"/>
    <w:rsid w:val="008D60CB"/>
    <w:rsid w:val="008D6630"/>
    <w:rsid w:val="008D6B8B"/>
    <w:rsid w:val="008E02EC"/>
    <w:rsid w:val="008E04C7"/>
    <w:rsid w:val="008E06DE"/>
    <w:rsid w:val="008E1033"/>
    <w:rsid w:val="008E156F"/>
    <w:rsid w:val="008E2342"/>
    <w:rsid w:val="008E24D2"/>
    <w:rsid w:val="008E25B2"/>
    <w:rsid w:val="008E28FB"/>
    <w:rsid w:val="008E2A3F"/>
    <w:rsid w:val="008E319A"/>
    <w:rsid w:val="008E3508"/>
    <w:rsid w:val="008E3670"/>
    <w:rsid w:val="008E36CB"/>
    <w:rsid w:val="008E3708"/>
    <w:rsid w:val="008E4D9A"/>
    <w:rsid w:val="008E601D"/>
    <w:rsid w:val="008E6292"/>
    <w:rsid w:val="008E6472"/>
    <w:rsid w:val="008E6C31"/>
    <w:rsid w:val="008E6E61"/>
    <w:rsid w:val="008F022D"/>
    <w:rsid w:val="008F1521"/>
    <w:rsid w:val="008F16EF"/>
    <w:rsid w:val="008F20B3"/>
    <w:rsid w:val="008F212B"/>
    <w:rsid w:val="008F225D"/>
    <w:rsid w:val="008F225E"/>
    <w:rsid w:val="008F23EB"/>
    <w:rsid w:val="008F27BF"/>
    <w:rsid w:val="008F292F"/>
    <w:rsid w:val="008F2B32"/>
    <w:rsid w:val="008F2BA6"/>
    <w:rsid w:val="008F3868"/>
    <w:rsid w:val="008F42F8"/>
    <w:rsid w:val="008F43D6"/>
    <w:rsid w:val="008F4557"/>
    <w:rsid w:val="008F48AB"/>
    <w:rsid w:val="008F4CE8"/>
    <w:rsid w:val="008F4FC6"/>
    <w:rsid w:val="008F5101"/>
    <w:rsid w:val="008F511C"/>
    <w:rsid w:val="008F5695"/>
    <w:rsid w:val="008F57C8"/>
    <w:rsid w:val="008F5C28"/>
    <w:rsid w:val="008F62B0"/>
    <w:rsid w:val="008F64A8"/>
    <w:rsid w:val="008F665F"/>
    <w:rsid w:val="008F669A"/>
    <w:rsid w:val="008F67BE"/>
    <w:rsid w:val="008F68C3"/>
    <w:rsid w:val="008F714F"/>
    <w:rsid w:val="008F71B4"/>
    <w:rsid w:val="008F7DAA"/>
    <w:rsid w:val="0090017F"/>
    <w:rsid w:val="00900200"/>
    <w:rsid w:val="0090032D"/>
    <w:rsid w:val="0090054A"/>
    <w:rsid w:val="0090220B"/>
    <w:rsid w:val="009025FC"/>
    <w:rsid w:val="00902F1C"/>
    <w:rsid w:val="00904151"/>
    <w:rsid w:val="00904718"/>
    <w:rsid w:val="0090539E"/>
    <w:rsid w:val="00905C67"/>
    <w:rsid w:val="00905CAF"/>
    <w:rsid w:val="009062C7"/>
    <w:rsid w:val="00906E0C"/>
    <w:rsid w:val="00906E61"/>
    <w:rsid w:val="00907134"/>
    <w:rsid w:val="0090745C"/>
    <w:rsid w:val="00907C95"/>
    <w:rsid w:val="009105F6"/>
    <w:rsid w:val="00910B89"/>
    <w:rsid w:val="00910F8F"/>
    <w:rsid w:val="0091119E"/>
    <w:rsid w:val="0091121B"/>
    <w:rsid w:val="009125B4"/>
    <w:rsid w:val="00912CF7"/>
    <w:rsid w:val="0091395F"/>
    <w:rsid w:val="00913BCB"/>
    <w:rsid w:val="00914D6F"/>
    <w:rsid w:val="0091603A"/>
    <w:rsid w:val="00916A1B"/>
    <w:rsid w:val="00917E28"/>
    <w:rsid w:val="00917F13"/>
    <w:rsid w:val="009202D6"/>
    <w:rsid w:val="00920338"/>
    <w:rsid w:val="00920CA1"/>
    <w:rsid w:val="00920CDD"/>
    <w:rsid w:val="00921548"/>
    <w:rsid w:val="00921555"/>
    <w:rsid w:val="00921710"/>
    <w:rsid w:val="009229B2"/>
    <w:rsid w:val="00923CE9"/>
    <w:rsid w:val="00923F65"/>
    <w:rsid w:val="00924A7E"/>
    <w:rsid w:val="00924D72"/>
    <w:rsid w:val="00924FAD"/>
    <w:rsid w:val="0092509A"/>
    <w:rsid w:val="00925299"/>
    <w:rsid w:val="00925AA5"/>
    <w:rsid w:val="009262F7"/>
    <w:rsid w:val="00926B2C"/>
    <w:rsid w:val="00926BF4"/>
    <w:rsid w:val="0092754E"/>
    <w:rsid w:val="009279CD"/>
    <w:rsid w:val="0093077C"/>
    <w:rsid w:val="00930E63"/>
    <w:rsid w:val="0093191B"/>
    <w:rsid w:val="00931AFD"/>
    <w:rsid w:val="00932327"/>
    <w:rsid w:val="00933D35"/>
    <w:rsid w:val="00934695"/>
    <w:rsid w:val="0093540D"/>
    <w:rsid w:val="00935997"/>
    <w:rsid w:val="0093602B"/>
    <w:rsid w:val="00936E16"/>
    <w:rsid w:val="00936EB1"/>
    <w:rsid w:val="00936F72"/>
    <w:rsid w:val="0094019D"/>
    <w:rsid w:val="0094043B"/>
    <w:rsid w:val="0094129B"/>
    <w:rsid w:val="00941EB5"/>
    <w:rsid w:val="009425B5"/>
    <w:rsid w:val="009426A8"/>
    <w:rsid w:val="00942C11"/>
    <w:rsid w:val="00942C94"/>
    <w:rsid w:val="0094351F"/>
    <w:rsid w:val="00943B45"/>
    <w:rsid w:val="00943DCB"/>
    <w:rsid w:val="009442A9"/>
    <w:rsid w:val="00944C39"/>
    <w:rsid w:val="009453E2"/>
    <w:rsid w:val="0094571E"/>
    <w:rsid w:val="0094677D"/>
    <w:rsid w:val="00946AF7"/>
    <w:rsid w:val="009473CE"/>
    <w:rsid w:val="009501FD"/>
    <w:rsid w:val="00950805"/>
    <w:rsid w:val="0095087C"/>
    <w:rsid w:val="00950A86"/>
    <w:rsid w:val="00950B54"/>
    <w:rsid w:val="0095185F"/>
    <w:rsid w:val="009518EF"/>
    <w:rsid w:val="009519D6"/>
    <w:rsid w:val="00951B14"/>
    <w:rsid w:val="00951D08"/>
    <w:rsid w:val="009526DB"/>
    <w:rsid w:val="00952AE7"/>
    <w:rsid w:val="00953C77"/>
    <w:rsid w:val="009547F8"/>
    <w:rsid w:val="00954C12"/>
    <w:rsid w:val="0095543D"/>
    <w:rsid w:val="0095565D"/>
    <w:rsid w:val="009557D4"/>
    <w:rsid w:val="00955EAB"/>
    <w:rsid w:val="00956E72"/>
    <w:rsid w:val="009570DC"/>
    <w:rsid w:val="0095747D"/>
    <w:rsid w:val="00957577"/>
    <w:rsid w:val="009577D5"/>
    <w:rsid w:val="0095780C"/>
    <w:rsid w:val="00960A40"/>
    <w:rsid w:val="009614CC"/>
    <w:rsid w:val="009615F1"/>
    <w:rsid w:val="009617EC"/>
    <w:rsid w:val="00961A02"/>
    <w:rsid w:val="00962563"/>
    <w:rsid w:val="00962ACF"/>
    <w:rsid w:val="0096315D"/>
    <w:rsid w:val="0096333D"/>
    <w:rsid w:val="00963AEA"/>
    <w:rsid w:val="00964198"/>
    <w:rsid w:val="00964795"/>
    <w:rsid w:val="0096620D"/>
    <w:rsid w:val="009669AB"/>
    <w:rsid w:val="00966A1C"/>
    <w:rsid w:val="009670C1"/>
    <w:rsid w:val="009672DB"/>
    <w:rsid w:val="0096778B"/>
    <w:rsid w:val="00967F46"/>
    <w:rsid w:val="00970D5B"/>
    <w:rsid w:val="00971114"/>
    <w:rsid w:val="00971D49"/>
    <w:rsid w:val="00971F97"/>
    <w:rsid w:val="00972087"/>
    <w:rsid w:val="009729D4"/>
    <w:rsid w:val="00972FD9"/>
    <w:rsid w:val="0097341C"/>
    <w:rsid w:val="009735F3"/>
    <w:rsid w:val="00973C58"/>
    <w:rsid w:val="00974996"/>
    <w:rsid w:val="0097506E"/>
    <w:rsid w:val="009751C2"/>
    <w:rsid w:val="009753F8"/>
    <w:rsid w:val="009758E0"/>
    <w:rsid w:val="00975F1C"/>
    <w:rsid w:val="00976378"/>
    <w:rsid w:val="009768E6"/>
    <w:rsid w:val="009769F6"/>
    <w:rsid w:val="00976AEE"/>
    <w:rsid w:val="00977187"/>
    <w:rsid w:val="00977540"/>
    <w:rsid w:val="009775C5"/>
    <w:rsid w:val="00977F73"/>
    <w:rsid w:val="00980759"/>
    <w:rsid w:val="009809CC"/>
    <w:rsid w:val="009811DA"/>
    <w:rsid w:val="00981343"/>
    <w:rsid w:val="009817B0"/>
    <w:rsid w:val="009821CE"/>
    <w:rsid w:val="009822A0"/>
    <w:rsid w:val="0098246E"/>
    <w:rsid w:val="00982986"/>
    <w:rsid w:val="00982CD5"/>
    <w:rsid w:val="00983483"/>
    <w:rsid w:val="00983A97"/>
    <w:rsid w:val="00983B31"/>
    <w:rsid w:val="00983C51"/>
    <w:rsid w:val="00984A30"/>
    <w:rsid w:val="009851B5"/>
    <w:rsid w:val="0098524C"/>
    <w:rsid w:val="00985C4F"/>
    <w:rsid w:val="009861D6"/>
    <w:rsid w:val="00986359"/>
    <w:rsid w:val="00986391"/>
    <w:rsid w:val="009868B0"/>
    <w:rsid w:val="00987616"/>
    <w:rsid w:val="0098769C"/>
    <w:rsid w:val="00987832"/>
    <w:rsid w:val="00987AE2"/>
    <w:rsid w:val="00987B40"/>
    <w:rsid w:val="00987CE5"/>
    <w:rsid w:val="00990641"/>
    <w:rsid w:val="0099107F"/>
    <w:rsid w:val="00991122"/>
    <w:rsid w:val="009913F8"/>
    <w:rsid w:val="00991C2E"/>
    <w:rsid w:val="00992367"/>
    <w:rsid w:val="00992757"/>
    <w:rsid w:val="00994184"/>
    <w:rsid w:val="00994DF4"/>
    <w:rsid w:val="009953B1"/>
    <w:rsid w:val="009953E6"/>
    <w:rsid w:val="0099554F"/>
    <w:rsid w:val="00995EF0"/>
    <w:rsid w:val="009968BB"/>
    <w:rsid w:val="00996B54"/>
    <w:rsid w:val="00996C16"/>
    <w:rsid w:val="009977F1"/>
    <w:rsid w:val="009A0AB0"/>
    <w:rsid w:val="009A13DF"/>
    <w:rsid w:val="009A2412"/>
    <w:rsid w:val="009A277C"/>
    <w:rsid w:val="009A33E7"/>
    <w:rsid w:val="009A348A"/>
    <w:rsid w:val="009A449B"/>
    <w:rsid w:val="009A49EB"/>
    <w:rsid w:val="009A4FD8"/>
    <w:rsid w:val="009A52A7"/>
    <w:rsid w:val="009A5D8B"/>
    <w:rsid w:val="009A6527"/>
    <w:rsid w:val="009A658F"/>
    <w:rsid w:val="009A7614"/>
    <w:rsid w:val="009A7E24"/>
    <w:rsid w:val="009B088F"/>
    <w:rsid w:val="009B10C8"/>
    <w:rsid w:val="009B2249"/>
    <w:rsid w:val="009B2C4C"/>
    <w:rsid w:val="009B2D58"/>
    <w:rsid w:val="009B4456"/>
    <w:rsid w:val="009B4661"/>
    <w:rsid w:val="009B5047"/>
    <w:rsid w:val="009B55F3"/>
    <w:rsid w:val="009B5A6C"/>
    <w:rsid w:val="009B5AC1"/>
    <w:rsid w:val="009B5BC2"/>
    <w:rsid w:val="009B68C4"/>
    <w:rsid w:val="009B70F3"/>
    <w:rsid w:val="009B7896"/>
    <w:rsid w:val="009B79FC"/>
    <w:rsid w:val="009B7BD4"/>
    <w:rsid w:val="009B7F5D"/>
    <w:rsid w:val="009C01B9"/>
    <w:rsid w:val="009C18D0"/>
    <w:rsid w:val="009C1D99"/>
    <w:rsid w:val="009C2E45"/>
    <w:rsid w:val="009C2F89"/>
    <w:rsid w:val="009C3020"/>
    <w:rsid w:val="009C3612"/>
    <w:rsid w:val="009C385B"/>
    <w:rsid w:val="009C386D"/>
    <w:rsid w:val="009C3B72"/>
    <w:rsid w:val="009C4674"/>
    <w:rsid w:val="009C4BD0"/>
    <w:rsid w:val="009C591D"/>
    <w:rsid w:val="009C5A95"/>
    <w:rsid w:val="009C6379"/>
    <w:rsid w:val="009C6CC8"/>
    <w:rsid w:val="009C7202"/>
    <w:rsid w:val="009C7270"/>
    <w:rsid w:val="009C73B2"/>
    <w:rsid w:val="009C76FE"/>
    <w:rsid w:val="009C7C5C"/>
    <w:rsid w:val="009D022B"/>
    <w:rsid w:val="009D08EF"/>
    <w:rsid w:val="009D0AA5"/>
    <w:rsid w:val="009D0B63"/>
    <w:rsid w:val="009D1727"/>
    <w:rsid w:val="009D2C07"/>
    <w:rsid w:val="009D2CFF"/>
    <w:rsid w:val="009D2E4C"/>
    <w:rsid w:val="009D3B4E"/>
    <w:rsid w:val="009D457B"/>
    <w:rsid w:val="009D499B"/>
    <w:rsid w:val="009D4DAA"/>
    <w:rsid w:val="009D5B30"/>
    <w:rsid w:val="009D5D89"/>
    <w:rsid w:val="009D6330"/>
    <w:rsid w:val="009D648E"/>
    <w:rsid w:val="009D66D3"/>
    <w:rsid w:val="009D689D"/>
    <w:rsid w:val="009D6B8A"/>
    <w:rsid w:val="009D756B"/>
    <w:rsid w:val="009E001B"/>
    <w:rsid w:val="009E0020"/>
    <w:rsid w:val="009E0B10"/>
    <w:rsid w:val="009E0CA5"/>
    <w:rsid w:val="009E0E1F"/>
    <w:rsid w:val="009E1594"/>
    <w:rsid w:val="009E171B"/>
    <w:rsid w:val="009E27DF"/>
    <w:rsid w:val="009E29F8"/>
    <w:rsid w:val="009E2FB7"/>
    <w:rsid w:val="009E359E"/>
    <w:rsid w:val="009E3766"/>
    <w:rsid w:val="009E4C03"/>
    <w:rsid w:val="009E4D10"/>
    <w:rsid w:val="009E4D8B"/>
    <w:rsid w:val="009E63E8"/>
    <w:rsid w:val="009E6485"/>
    <w:rsid w:val="009E6617"/>
    <w:rsid w:val="009E6BBA"/>
    <w:rsid w:val="009E7058"/>
    <w:rsid w:val="009F0887"/>
    <w:rsid w:val="009F0C05"/>
    <w:rsid w:val="009F0C28"/>
    <w:rsid w:val="009F11CF"/>
    <w:rsid w:val="009F1BC0"/>
    <w:rsid w:val="009F22C1"/>
    <w:rsid w:val="009F3523"/>
    <w:rsid w:val="009F38EA"/>
    <w:rsid w:val="009F4752"/>
    <w:rsid w:val="009F49F0"/>
    <w:rsid w:val="009F4F52"/>
    <w:rsid w:val="009F517A"/>
    <w:rsid w:val="009F5528"/>
    <w:rsid w:val="009F55B1"/>
    <w:rsid w:val="009F5B42"/>
    <w:rsid w:val="009F74EB"/>
    <w:rsid w:val="009F7B45"/>
    <w:rsid w:val="009F7B8F"/>
    <w:rsid w:val="009F7C72"/>
    <w:rsid w:val="009F7F49"/>
    <w:rsid w:val="00A0015E"/>
    <w:rsid w:val="00A013D6"/>
    <w:rsid w:val="00A015E8"/>
    <w:rsid w:val="00A018B7"/>
    <w:rsid w:val="00A01B59"/>
    <w:rsid w:val="00A01B5B"/>
    <w:rsid w:val="00A022B2"/>
    <w:rsid w:val="00A04379"/>
    <w:rsid w:val="00A04734"/>
    <w:rsid w:val="00A0498A"/>
    <w:rsid w:val="00A05450"/>
    <w:rsid w:val="00A05643"/>
    <w:rsid w:val="00A05892"/>
    <w:rsid w:val="00A05DC7"/>
    <w:rsid w:val="00A05F02"/>
    <w:rsid w:val="00A06288"/>
    <w:rsid w:val="00A06859"/>
    <w:rsid w:val="00A06DDA"/>
    <w:rsid w:val="00A07B63"/>
    <w:rsid w:val="00A07B85"/>
    <w:rsid w:val="00A07D47"/>
    <w:rsid w:val="00A07D5B"/>
    <w:rsid w:val="00A101D2"/>
    <w:rsid w:val="00A1033D"/>
    <w:rsid w:val="00A10593"/>
    <w:rsid w:val="00A1134C"/>
    <w:rsid w:val="00A12899"/>
    <w:rsid w:val="00A12CFE"/>
    <w:rsid w:val="00A12F62"/>
    <w:rsid w:val="00A1310E"/>
    <w:rsid w:val="00A13DD1"/>
    <w:rsid w:val="00A142D8"/>
    <w:rsid w:val="00A14C2E"/>
    <w:rsid w:val="00A14FE9"/>
    <w:rsid w:val="00A155F0"/>
    <w:rsid w:val="00A158E5"/>
    <w:rsid w:val="00A1774C"/>
    <w:rsid w:val="00A17B44"/>
    <w:rsid w:val="00A17C42"/>
    <w:rsid w:val="00A20A9A"/>
    <w:rsid w:val="00A20D0F"/>
    <w:rsid w:val="00A20E81"/>
    <w:rsid w:val="00A222AD"/>
    <w:rsid w:val="00A22669"/>
    <w:rsid w:val="00A2381A"/>
    <w:rsid w:val="00A23C5A"/>
    <w:rsid w:val="00A242E0"/>
    <w:rsid w:val="00A249D2"/>
    <w:rsid w:val="00A24AF4"/>
    <w:rsid w:val="00A255DB"/>
    <w:rsid w:val="00A25737"/>
    <w:rsid w:val="00A25DEE"/>
    <w:rsid w:val="00A26269"/>
    <w:rsid w:val="00A26EAA"/>
    <w:rsid w:val="00A26EE8"/>
    <w:rsid w:val="00A305D5"/>
    <w:rsid w:val="00A311EC"/>
    <w:rsid w:val="00A312C7"/>
    <w:rsid w:val="00A316AC"/>
    <w:rsid w:val="00A31D43"/>
    <w:rsid w:val="00A3278E"/>
    <w:rsid w:val="00A32A6E"/>
    <w:rsid w:val="00A32D42"/>
    <w:rsid w:val="00A330DF"/>
    <w:rsid w:val="00A33C84"/>
    <w:rsid w:val="00A344CE"/>
    <w:rsid w:val="00A345F9"/>
    <w:rsid w:val="00A35729"/>
    <w:rsid w:val="00A35E17"/>
    <w:rsid w:val="00A35E87"/>
    <w:rsid w:val="00A35F0A"/>
    <w:rsid w:val="00A36230"/>
    <w:rsid w:val="00A36465"/>
    <w:rsid w:val="00A36998"/>
    <w:rsid w:val="00A369F9"/>
    <w:rsid w:val="00A3749B"/>
    <w:rsid w:val="00A3780C"/>
    <w:rsid w:val="00A37D87"/>
    <w:rsid w:val="00A403F3"/>
    <w:rsid w:val="00A41315"/>
    <w:rsid w:val="00A41CE6"/>
    <w:rsid w:val="00A42010"/>
    <w:rsid w:val="00A4232B"/>
    <w:rsid w:val="00A429A7"/>
    <w:rsid w:val="00A43C16"/>
    <w:rsid w:val="00A43EA5"/>
    <w:rsid w:val="00A44DE3"/>
    <w:rsid w:val="00A44E47"/>
    <w:rsid w:val="00A457FB"/>
    <w:rsid w:val="00A45B89"/>
    <w:rsid w:val="00A46A0C"/>
    <w:rsid w:val="00A47217"/>
    <w:rsid w:val="00A47AE4"/>
    <w:rsid w:val="00A50918"/>
    <w:rsid w:val="00A50C71"/>
    <w:rsid w:val="00A50D88"/>
    <w:rsid w:val="00A510EA"/>
    <w:rsid w:val="00A5233A"/>
    <w:rsid w:val="00A52990"/>
    <w:rsid w:val="00A53795"/>
    <w:rsid w:val="00A53E0E"/>
    <w:rsid w:val="00A54654"/>
    <w:rsid w:val="00A54877"/>
    <w:rsid w:val="00A54A28"/>
    <w:rsid w:val="00A54CA3"/>
    <w:rsid w:val="00A552CD"/>
    <w:rsid w:val="00A564F6"/>
    <w:rsid w:val="00A565C3"/>
    <w:rsid w:val="00A567E9"/>
    <w:rsid w:val="00A56923"/>
    <w:rsid w:val="00A56FE1"/>
    <w:rsid w:val="00A575CD"/>
    <w:rsid w:val="00A57B85"/>
    <w:rsid w:val="00A57FFD"/>
    <w:rsid w:val="00A60696"/>
    <w:rsid w:val="00A60BF6"/>
    <w:rsid w:val="00A60D57"/>
    <w:rsid w:val="00A612B1"/>
    <w:rsid w:val="00A61371"/>
    <w:rsid w:val="00A624BF"/>
    <w:rsid w:val="00A62504"/>
    <w:rsid w:val="00A62E42"/>
    <w:rsid w:val="00A63201"/>
    <w:rsid w:val="00A63A8B"/>
    <w:rsid w:val="00A64A71"/>
    <w:rsid w:val="00A64AF9"/>
    <w:rsid w:val="00A64BAD"/>
    <w:rsid w:val="00A66104"/>
    <w:rsid w:val="00A66A28"/>
    <w:rsid w:val="00A66ABF"/>
    <w:rsid w:val="00A671EF"/>
    <w:rsid w:val="00A674F4"/>
    <w:rsid w:val="00A67A61"/>
    <w:rsid w:val="00A70679"/>
    <w:rsid w:val="00A70826"/>
    <w:rsid w:val="00A70B16"/>
    <w:rsid w:val="00A70C20"/>
    <w:rsid w:val="00A70C49"/>
    <w:rsid w:val="00A70D62"/>
    <w:rsid w:val="00A7236C"/>
    <w:rsid w:val="00A72455"/>
    <w:rsid w:val="00A72960"/>
    <w:rsid w:val="00A72D8F"/>
    <w:rsid w:val="00A7314C"/>
    <w:rsid w:val="00A73DBF"/>
    <w:rsid w:val="00A74815"/>
    <w:rsid w:val="00A74BD7"/>
    <w:rsid w:val="00A74D33"/>
    <w:rsid w:val="00A752FF"/>
    <w:rsid w:val="00A761F5"/>
    <w:rsid w:val="00A76B55"/>
    <w:rsid w:val="00A76DEE"/>
    <w:rsid w:val="00A77B92"/>
    <w:rsid w:val="00A801DE"/>
    <w:rsid w:val="00A823EF"/>
    <w:rsid w:val="00A82A45"/>
    <w:rsid w:val="00A830AD"/>
    <w:rsid w:val="00A83348"/>
    <w:rsid w:val="00A83564"/>
    <w:rsid w:val="00A84D09"/>
    <w:rsid w:val="00A8564F"/>
    <w:rsid w:val="00A85C87"/>
    <w:rsid w:val="00A87AC7"/>
    <w:rsid w:val="00A87FB2"/>
    <w:rsid w:val="00A90347"/>
    <w:rsid w:val="00A90A72"/>
    <w:rsid w:val="00A90F75"/>
    <w:rsid w:val="00A910C6"/>
    <w:rsid w:val="00A9121F"/>
    <w:rsid w:val="00A91E55"/>
    <w:rsid w:val="00A92054"/>
    <w:rsid w:val="00A925A9"/>
    <w:rsid w:val="00A92C87"/>
    <w:rsid w:val="00A93401"/>
    <w:rsid w:val="00A94F2C"/>
    <w:rsid w:val="00A9514E"/>
    <w:rsid w:val="00A95700"/>
    <w:rsid w:val="00A95C98"/>
    <w:rsid w:val="00A9618B"/>
    <w:rsid w:val="00A967D9"/>
    <w:rsid w:val="00A96F37"/>
    <w:rsid w:val="00A97160"/>
    <w:rsid w:val="00A97CBD"/>
    <w:rsid w:val="00A97D64"/>
    <w:rsid w:val="00A97FF0"/>
    <w:rsid w:val="00A97FF6"/>
    <w:rsid w:val="00AA0027"/>
    <w:rsid w:val="00AA03FD"/>
    <w:rsid w:val="00AA078E"/>
    <w:rsid w:val="00AA09C6"/>
    <w:rsid w:val="00AA13E5"/>
    <w:rsid w:val="00AA26CF"/>
    <w:rsid w:val="00AA26F9"/>
    <w:rsid w:val="00AA2F05"/>
    <w:rsid w:val="00AA300B"/>
    <w:rsid w:val="00AA3027"/>
    <w:rsid w:val="00AA39DF"/>
    <w:rsid w:val="00AA42F7"/>
    <w:rsid w:val="00AA4B4A"/>
    <w:rsid w:val="00AA4FAE"/>
    <w:rsid w:val="00AA5B92"/>
    <w:rsid w:val="00AA5F4C"/>
    <w:rsid w:val="00AA6058"/>
    <w:rsid w:val="00AA635D"/>
    <w:rsid w:val="00AA67E3"/>
    <w:rsid w:val="00AA6ADD"/>
    <w:rsid w:val="00AA6F74"/>
    <w:rsid w:val="00AA791B"/>
    <w:rsid w:val="00AA7D55"/>
    <w:rsid w:val="00AA7DC0"/>
    <w:rsid w:val="00AB0763"/>
    <w:rsid w:val="00AB07EA"/>
    <w:rsid w:val="00AB0D06"/>
    <w:rsid w:val="00AB149E"/>
    <w:rsid w:val="00AB15E7"/>
    <w:rsid w:val="00AB1E4C"/>
    <w:rsid w:val="00AB2BAC"/>
    <w:rsid w:val="00AB2E7C"/>
    <w:rsid w:val="00AB321A"/>
    <w:rsid w:val="00AB3C5E"/>
    <w:rsid w:val="00AB3C77"/>
    <w:rsid w:val="00AB3FA5"/>
    <w:rsid w:val="00AB4453"/>
    <w:rsid w:val="00AB4FA0"/>
    <w:rsid w:val="00AB5200"/>
    <w:rsid w:val="00AB5346"/>
    <w:rsid w:val="00AB5D35"/>
    <w:rsid w:val="00AB63B8"/>
    <w:rsid w:val="00AB64BF"/>
    <w:rsid w:val="00AB7510"/>
    <w:rsid w:val="00AB797E"/>
    <w:rsid w:val="00AB7EAE"/>
    <w:rsid w:val="00AC0420"/>
    <w:rsid w:val="00AC0F32"/>
    <w:rsid w:val="00AC1844"/>
    <w:rsid w:val="00AC1CCF"/>
    <w:rsid w:val="00AC2003"/>
    <w:rsid w:val="00AC3196"/>
    <w:rsid w:val="00AC3220"/>
    <w:rsid w:val="00AC4065"/>
    <w:rsid w:val="00AC5284"/>
    <w:rsid w:val="00AC56EE"/>
    <w:rsid w:val="00AC60B0"/>
    <w:rsid w:val="00AC681D"/>
    <w:rsid w:val="00AC6CF8"/>
    <w:rsid w:val="00AC75E2"/>
    <w:rsid w:val="00AC79DF"/>
    <w:rsid w:val="00AC7CC1"/>
    <w:rsid w:val="00AD03A7"/>
    <w:rsid w:val="00AD0AC4"/>
    <w:rsid w:val="00AD0E42"/>
    <w:rsid w:val="00AD15EE"/>
    <w:rsid w:val="00AD20BC"/>
    <w:rsid w:val="00AD217E"/>
    <w:rsid w:val="00AD246B"/>
    <w:rsid w:val="00AD273F"/>
    <w:rsid w:val="00AD28DB"/>
    <w:rsid w:val="00AD3037"/>
    <w:rsid w:val="00AD34C9"/>
    <w:rsid w:val="00AD3D40"/>
    <w:rsid w:val="00AD3E02"/>
    <w:rsid w:val="00AD3EAB"/>
    <w:rsid w:val="00AD438D"/>
    <w:rsid w:val="00AD452F"/>
    <w:rsid w:val="00AD4618"/>
    <w:rsid w:val="00AD4DF9"/>
    <w:rsid w:val="00AD55C3"/>
    <w:rsid w:val="00AD5977"/>
    <w:rsid w:val="00AD651C"/>
    <w:rsid w:val="00AE0C58"/>
    <w:rsid w:val="00AE1781"/>
    <w:rsid w:val="00AE1991"/>
    <w:rsid w:val="00AE1DC6"/>
    <w:rsid w:val="00AE20A5"/>
    <w:rsid w:val="00AE2141"/>
    <w:rsid w:val="00AE292C"/>
    <w:rsid w:val="00AE2F90"/>
    <w:rsid w:val="00AE3847"/>
    <w:rsid w:val="00AE424A"/>
    <w:rsid w:val="00AE457B"/>
    <w:rsid w:val="00AE50AA"/>
    <w:rsid w:val="00AE5537"/>
    <w:rsid w:val="00AE5939"/>
    <w:rsid w:val="00AE66C4"/>
    <w:rsid w:val="00AE6B6D"/>
    <w:rsid w:val="00AE7B1E"/>
    <w:rsid w:val="00AF02D9"/>
    <w:rsid w:val="00AF031E"/>
    <w:rsid w:val="00AF08EF"/>
    <w:rsid w:val="00AF0BFF"/>
    <w:rsid w:val="00AF1A29"/>
    <w:rsid w:val="00AF1A92"/>
    <w:rsid w:val="00AF1D96"/>
    <w:rsid w:val="00AF1DB3"/>
    <w:rsid w:val="00AF2EFE"/>
    <w:rsid w:val="00AF354A"/>
    <w:rsid w:val="00AF3581"/>
    <w:rsid w:val="00AF3C4C"/>
    <w:rsid w:val="00AF3D98"/>
    <w:rsid w:val="00AF3FF6"/>
    <w:rsid w:val="00AF4E41"/>
    <w:rsid w:val="00AF5331"/>
    <w:rsid w:val="00AF5A3F"/>
    <w:rsid w:val="00AF5ECC"/>
    <w:rsid w:val="00AF624C"/>
    <w:rsid w:val="00AF6787"/>
    <w:rsid w:val="00AF6CBD"/>
    <w:rsid w:val="00AF71DE"/>
    <w:rsid w:val="00B00C11"/>
    <w:rsid w:val="00B01389"/>
    <w:rsid w:val="00B01397"/>
    <w:rsid w:val="00B01B35"/>
    <w:rsid w:val="00B0249E"/>
    <w:rsid w:val="00B02605"/>
    <w:rsid w:val="00B02828"/>
    <w:rsid w:val="00B03162"/>
    <w:rsid w:val="00B032F8"/>
    <w:rsid w:val="00B037F0"/>
    <w:rsid w:val="00B03ADA"/>
    <w:rsid w:val="00B03DD6"/>
    <w:rsid w:val="00B043BC"/>
    <w:rsid w:val="00B045BB"/>
    <w:rsid w:val="00B0578B"/>
    <w:rsid w:val="00B05D5F"/>
    <w:rsid w:val="00B0685D"/>
    <w:rsid w:val="00B077A3"/>
    <w:rsid w:val="00B07AB5"/>
    <w:rsid w:val="00B07CEB"/>
    <w:rsid w:val="00B10188"/>
    <w:rsid w:val="00B10A24"/>
    <w:rsid w:val="00B10BA2"/>
    <w:rsid w:val="00B11010"/>
    <w:rsid w:val="00B11195"/>
    <w:rsid w:val="00B11446"/>
    <w:rsid w:val="00B1188C"/>
    <w:rsid w:val="00B11E92"/>
    <w:rsid w:val="00B12602"/>
    <w:rsid w:val="00B126A7"/>
    <w:rsid w:val="00B127A2"/>
    <w:rsid w:val="00B134CD"/>
    <w:rsid w:val="00B13FB7"/>
    <w:rsid w:val="00B1417E"/>
    <w:rsid w:val="00B141EF"/>
    <w:rsid w:val="00B15E46"/>
    <w:rsid w:val="00B1675E"/>
    <w:rsid w:val="00B175ED"/>
    <w:rsid w:val="00B17D35"/>
    <w:rsid w:val="00B17ED1"/>
    <w:rsid w:val="00B17FD1"/>
    <w:rsid w:val="00B20689"/>
    <w:rsid w:val="00B20F4D"/>
    <w:rsid w:val="00B214C6"/>
    <w:rsid w:val="00B21BB4"/>
    <w:rsid w:val="00B21FD1"/>
    <w:rsid w:val="00B228DE"/>
    <w:rsid w:val="00B22C11"/>
    <w:rsid w:val="00B22CCC"/>
    <w:rsid w:val="00B232ED"/>
    <w:rsid w:val="00B238F0"/>
    <w:rsid w:val="00B23F64"/>
    <w:rsid w:val="00B24191"/>
    <w:rsid w:val="00B24B9F"/>
    <w:rsid w:val="00B2597E"/>
    <w:rsid w:val="00B25A6E"/>
    <w:rsid w:val="00B25ABC"/>
    <w:rsid w:val="00B26B54"/>
    <w:rsid w:val="00B27557"/>
    <w:rsid w:val="00B27EC2"/>
    <w:rsid w:val="00B27FF2"/>
    <w:rsid w:val="00B3089A"/>
    <w:rsid w:val="00B30AD4"/>
    <w:rsid w:val="00B32CD7"/>
    <w:rsid w:val="00B33238"/>
    <w:rsid w:val="00B33C38"/>
    <w:rsid w:val="00B33F7A"/>
    <w:rsid w:val="00B34425"/>
    <w:rsid w:val="00B34D87"/>
    <w:rsid w:val="00B3583B"/>
    <w:rsid w:val="00B358D7"/>
    <w:rsid w:val="00B35BE5"/>
    <w:rsid w:val="00B35D60"/>
    <w:rsid w:val="00B36040"/>
    <w:rsid w:val="00B36426"/>
    <w:rsid w:val="00B3669F"/>
    <w:rsid w:val="00B37299"/>
    <w:rsid w:val="00B37A8F"/>
    <w:rsid w:val="00B40D7D"/>
    <w:rsid w:val="00B4123B"/>
    <w:rsid w:val="00B41DC3"/>
    <w:rsid w:val="00B42DD5"/>
    <w:rsid w:val="00B42DED"/>
    <w:rsid w:val="00B42E8B"/>
    <w:rsid w:val="00B441CA"/>
    <w:rsid w:val="00B4588B"/>
    <w:rsid w:val="00B45D5E"/>
    <w:rsid w:val="00B45F41"/>
    <w:rsid w:val="00B46173"/>
    <w:rsid w:val="00B46651"/>
    <w:rsid w:val="00B46F8B"/>
    <w:rsid w:val="00B46FEE"/>
    <w:rsid w:val="00B472BD"/>
    <w:rsid w:val="00B506ED"/>
    <w:rsid w:val="00B508BA"/>
    <w:rsid w:val="00B50A78"/>
    <w:rsid w:val="00B5168B"/>
    <w:rsid w:val="00B5184A"/>
    <w:rsid w:val="00B51EE9"/>
    <w:rsid w:val="00B524AC"/>
    <w:rsid w:val="00B527B2"/>
    <w:rsid w:val="00B527CE"/>
    <w:rsid w:val="00B53219"/>
    <w:rsid w:val="00B544F1"/>
    <w:rsid w:val="00B54D16"/>
    <w:rsid w:val="00B55B04"/>
    <w:rsid w:val="00B55C88"/>
    <w:rsid w:val="00B567B1"/>
    <w:rsid w:val="00B56832"/>
    <w:rsid w:val="00B568D6"/>
    <w:rsid w:val="00B57814"/>
    <w:rsid w:val="00B57BDE"/>
    <w:rsid w:val="00B60ABC"/>
    <w:rsid w:val="00B61ABF"/>
    <w:rsid w:val="00B61CD6"/>
    <w:rsid w:val="00B624C4"/>
    <w:rsid w:val="00B63494"/>
    <w:rsid w:val="00B635C6"/>
    <w:rsid w:val="00B63A15"/>
    <w:rsid w:val="00B63DF9"/>
    <w:rsid w:val="00B643AF"/>
    <w:rsid w:val="00B65347"/>
    <w:rsid w:val="00B6598E"/>
    <w:rsid w:val="00B65DE1"/>
    <w:rsid w:val="00B6643C"/>
    <w:rsid w:val="00B66686"/>
    <w:rsid w:val="00B671AA"/>
    <w:rsid w:val="00B678E2"/>
    <w:rsid w:val="00B67C29"/>
    <w:rsid w:val="00B706CA"/>
    <w:rsid w:val="00B707AC"/>
    <w:rsid w:val="00B7150C"/>
    <w:rsid w:val="00B717EB"/>
    <w:rsid w:val="00B71F0B"/>
    <w:rsid w:val="00B72AF0"/>
    <w:rsid w:val="00B72C13"/>
    <w:rsid w:val="00B72EBF"/>
    <w:rsid w:val="00B72F42"/>
    <w:rsid w:val="00B732EB"/>
    <w:rsid w:val="00B737EB"/>
    <w:rsid w:val="00B73C6D"/>
    <w:rsid w:val="00B73E25"/>
    <w:rsid w:val="00B73F72"/>
    <w:rsid w:val="00B74884"/>
    <w:rsid w:val="00B759CE"/>
    <w:rsid w:val="00B7617C"/>
    <w:rsid w:val="00B76893"/>
    <w:rsid w:val="00B76B46"/>
    <w:rsid w:val="00B775EE"/>
    <w:rsid w:val="00B778D7"/>
    <w:rsid w:val="00B818EA"/>
    <w:rsid w:val="00B81C35"/>
    <w:rsid w:val="00B82015"/>
    <w:rsid w:val="00B82C04"/>
    <w:rsid w:val="00B82E76"/>
    <w:rsid w:val="00B84106"/>
    <w:rsid w:val="00B84245"/>
    <w:rsid w:val="00B854A3"/>
    <w:rsid w:val="00B86782"/>
    <w:rsid w:val="00B86C1B"/>
    <w:rsid w:val="00B873A9"/>
    <w:rsid w:val="00B87752"/>
    <w:rsid w:val="00B87850"/>
    <w:rsid w:val="00B87927"/>
    <w:rsid w:val="00B87E1F"/>
    <w:rsid w:val="00B915D3"/>
    <w:rsid w:val="00B91708"/>
    <w:rsid w:val="00B91764"/>
    <w:rsid w:val="00B9177D"/>
    <w:rsid w:val="00B91DA0"/>
    <w:rsid w:val="00B92BA7"/>
    <w:rsid w:val="00B92CB7"/>
    <w:rsid w:val="00B93306"/>
    <w:rsid w:val="00B93957"/>
    <w:rsid w:val="00B94454"/>
    <w:rsid w:val="00B94B5C"/>
    <w:rsid w:val="00B9505B"/>
    <w:rsid w:val="00B951B4"/>
    <w:rsid w:val="00B95983"/>
    <w:rsid w:val="00B97B90"/>
    <w:rsid w:val="00BA1610"/>
    <w:rsid w:val="00BA2891"/>
    <w:rsid w:val="00BA2A66"/>
    <w:rsid w:val="00BA2C9F"/>
    <w:rsid w:val="00BA2E1A"/>
    <w:rsid w:val="00BA2FE7"/>
    <w:rsid w:val="00BA3015"/>
    <w:rsid w:val="00BA30CF"/>
    <w:rsid w:val="00BA429B"/>
    <w:rsid w:val="00BA4EB0"/>
    <w:rsid w:val="00BA5E9F"/>
    <w:rsid w:val="00BA619D"/>
    <w:rsid w:val="00BA6782"/>
    <w:rsid w:val="00BA74AA"/>
    <w:rsid w:val="00BA779B"/>
    <w:rsid w:val="00BA7853"/>
    <w:rsid w:val="00BB00F3"/>
    <w:rsid w:val="00BB05F9"/>
    <w:rsid w:val="00BB0AC4"/>
    <w:rsid w:val="00BB0C6E"/>
    <w:rsid w:val="00BB0C6F"/>
    <w:rsid w:val="00BB1156"/>
    <w:rsid w:val="00BB1615"/>
    <w:rsid w:val="00BB1DCA"/>
    <w:rsid w:val="00BB1F34"/>
    <w:rsid w:val="00BB27E9"/>
    <w:rsid w:val="00BB3624"/>
    <w:rsid w:val="00BB38D6"/>
    <w:rsid w:val="00BB3B2B"/>
    <w:rsid w:val="00BB3F69"/>
    <w:rsid w:val="00BB44FD"/>
    <w:rsid w:val="00BB463E"/>
    <w:rsid w:val="00BB4C1A"/>
    <w:rsid w:val="00BB598C"/>
    <w:rsid w:val="00BB5BB5"/>
    <w:rsid w:val="00BB5EE5"/>
    <w:rsid w:val="00BB5FD4"/>
    <w:rsid w:val="00BB64AB"/>
    <w:rsid w:val="00BC0986"/>
    <w:rsid w:val="00BC302D"/>
    <w:rsid w:val="00BC3204"/>
    <w:rsid w:val="00BC34C9"/>
    <w:rsid w:val="00BC4FCC"/>
    <w:rsid w:val="00BC5D06"/>
    <w:rsid w:val="00BC5D5E"/>
    <w:rsid w:val="00BC6409"/>
    <w:rsid w:val="00BC6E69"/>
    <w:rsid w:val="00BC7116"/>
    <w:rsid w:val="00BC7548"/>
    <w:rsid w:val="00BD00A9"/>
    <w:rsid w:val="00BD02F8"/>
    <w:rsid w:val="00BD0344"/>
    <w:rsid w:val="00BD0974"/>
    <w:rsid w:val="00BD1048"/>
    <w:rsid w:val="00BD123F"/>
    <w:rsid w:val="00BD1B7C"/>
    <w:rsid w:val="00BD20AF"/>
    <w:rsid w:val="00BD26AA"/>
    <w:rsid w:val="00BD27CC"/>
    <w:rsid w:val="00BD2B12"/>
    <w:rsid w:val="00BD2D67"/>
    <w:rsid w:val="00BD2D87"/>
    <w:rsid w:val="00BD2EC0"/>
    <w:rsid w:val="00BD3131"/>
    <w:rsid w:val="00BD33A5"/>
    <w:rsid w:val="00BD3CBC"/>
    <w:rsid w:val="00BD3E8A"/>
    <w:rsid w:val="00BD454F"/>
    <w:rsid w:val="00BD4A34"/>
    <w:rsid w:val="00BD4B8C"/>
    <w:rsid w:val="00BD4DA2"/>
    <w:rsid w:val="00BD55EB"/>
    <w:rsid w:val="00BD57CA"/>
    <w:rsid w:val="00BD5C2F"/>
    <w:rsid w:val="00BD61D8"/>
    <w:rsid w:val="00BD727C"/>
    <w:rsid w:val="00BD7365"/>
    <w:rsid w:val="00BD7F9E"/>
    <w:rsid w:val="00BE0C90"/>
    <w:rsid w:val="00BE1590"/>
    <w:rsid w:val="00BE161C"/>
    <w:rsid w:val="00BE17AC"/>
    <w:rsid w:val="00BE1924"/>
    <w:rsid w:val="00BE1C22"/>
    <w:rsid w:val="00BE264F"/>
    <w:rsid w:val="00BE2D39"/>
    <w:rsid w:val="00BE40DE"/>
    <w:rsid w:val="00BE4D6C"/>
    <w:rsid w:val="00BE4E64"/>
    <w:rsid w:val="00BE5606"/>
    <w:rsid w:val="00BE58FF"/>
    <w:rsid w:val="00BE5B82"/>
    <w:rsid w:val="00BE64AF"/>
    <w:rsid w:val="00BE69EF"/>
    <w:rsid w:val="00BE6C3C"/>
    <w:rsid w:val="00BE705D"/>
    <w:rsid w:val="00BE7162"/>
    <w:rsid w:val="00BE7EA5"/>
    <w:rsid w:val="00BF0521"/>
    <w:rsid w:val="00BF05AC"/>
    <w:rsid w:val="00BF072E"/>
    <w:rsid w:val="00BF1363"/>
    <w:rsid w:val="00BF1800"/>
    <w:rsid w:val="00BF2B44"/>
    <w:rsid w:val="00BF3375"/>
    <w:rsid w:val="00BF3431"/>
    <w:rsid w:val="00BF3563"/>
    <w:rsid w:val="00BF38B7"/>
    <w:rsid w:val="00BF3919"/>
    <w:rsid w:val="00BF3A98"/>
    <w:rsid w:val="00BF3AE3"/>
    <w:rsid w:val="00BF3B71"/>
    <w:rsid w:val="00BF3CE8"/>
    <w:rsid w:val="00BF61A1"/>
    <w:rsid w:val="00BF6238"/>
    <w:rsid w:val="00BF6833"/>
    <w:rsid w:val="00BF6E27"/>
    <w:rsid w:val="00C00E0A"/>
    <w:rsid w:val="00C01155"/>
    <w:rsid w:val="00C01639"/>
    <w:rsid w:val="00C016D7"/>
    <w:rsid w:val="00C01C02"/>
    <w:rsid w:val="00C01DCC"/>
    <w:rsid w:val="00C02CCB"/>
    <w:rsid w:val="00C02DFF"/>
    <w:rsid w:val="00C02F11"/>
    <w:rsid w:val="00C030D6"/>
    <w:rsid w:val="00C03185"/>
    <w:rsid w:val="00C03B33"/>
    <w:rsid w:val="00C04373"/>
    <w:rsid w:val="00C048F1"/>
    <w:rsid w:val="00C04F4B"/>
    <w:rsid w:val="00C054E6"/>
    <w:rsid w:val="00C05D0B"/>
    <w:rsid w:val="00C05D84"/>
    <w:rsid w:val="00C070A2"/>
    <w:rsid w:val="00C070A8"/>
    <w:rsid w:val="00C0717F"/>
    <w:rsid w:val="00C100A3"/>
    <w:rsid w:val="00C11256"/>
    <w:rsid w:val="00C113E1"/>
    <w:rsid w:val="00C1196A"/>
    <w:rsid w:val="00C11C74"/>
    <w:rsid w:val="00C12206"/>
    <w:rsid w:val="00C12A4E"/>
    <w:rsid w:val="00C12CDC"/>
    <w:rsid w:val="00C12DFE"/>
    <w:rsid w:val="00C13555"/>
    <w:rsid w:val="00C1355B"/>
    <w:rsid w:val="00C1356E"/>
    <w:rsid w:val="00C13619"/>
    <w:rsid w:val="00C13B2D"/>
    <w:rsid w:val="00C14254"/>
    <w:rsid w:val="00C14873"/>
    <w:rsid w:val="00C14A5C"/>
    <w:rsid w:val="00C14B70"/>
    <w:rsid w:val="00C14F78"/>
    <w:rsid w:val="00C15026"/>
    <w:rsid w:val="00C15801"/>
    <w:rsid w:val="00C166EA"/>
    <w:rsid w:val="00C17CE2"/>
    <w:rsid w:val="00C202B3"/>
    <w:rsid w:val="00C2037A"/>
    <w:rsid w:val="00C20458"/>
    <w:rsid w:val="00C206EE"/>
    <w:rsid w:val="00C2091F"/>
    <w:rsid w:val="00C21294"/>
    <w:rsid w:val="00C2137B"/>
    <w:rsid w:val="00C2139C"/>
    <w:rsid w:val="00C219B3"/>
    <w:rsid w:val="00C21B03"/>
    <w:rsid w:val="00C21EE0"/>
    <w:rsid w:val="00C22BE9"/>
    <w:rsid w:val="00C22D5F"/>
    <w:rsid w:val="00C23100"/>
    <w:rsid w:val="00C25B99"/>
    <w:rsid w:val="00C27DF0"/>
    <w:rsid w:val="00C30285"/>
    <w:rsid w:val="00C30297"/>
    <w:rsid w:val="00C308A1"/>
    <w:rsid w:val="00C319D0"/>
    <w:rsid w:val="00C31B76"/>
    <w:rsid w:val="00C31C3E"/>
    <w:rsid w:val="00C31FC9"/>
    <w:rsid w:val="00C31FE7"/>
    <w:rsid w:val="00C32E01"/>
    <w:rsid w:val="00C33E59"/>
    <w:rsid w:val="00C34BDA"/>
    <w:rsid w:val="00C34F6F"/>
    <w:rsid w:val="00C34FC1"/>
    <w:rsid w:val="00C35574"/>
    <w:rsid w:val="00C35C97"/>
    <w:rsid w:val="00C363BD"/>
    <w:rsid w:val="00C36A06"/>
    <w:rsid w:val="00C36CEE"/>
    <w:rsid w:val="00C37CFC"/>
    <w:rsid w:val="00C40898"/>
    <w:rsid w:val="00C4124A"/>
    <w:rsid w:val="00C417E3"/>
    <w:rsid w:val="00C41A0C"/>
    <w:rsid w:val="00C41CFF"/>
    <w:rsid w:val="00C41D3E"/>
    <w:rsid w:val="00C42935"/>
    <w:rsid w:val="00C43214"/>
    <w:rsid w:val="00C43AE8"/>
    <w:rsid w:val="00C43D1B"/>
    <w:rsid w:val="00C4509B"/>
    <w:rsid w:val="00C45829"/>
    <w:rsid w:val="00C45B49"/>
    <w:rsid w:val="00C45F15"/>
    <w:rsid w:val="00C46335"/>
    <w:rsid w:val="00C463A8"/>
    <w:rsid w:val="00C4684B"/>
    <w:rsid w:val="00C46C09"/>
    <w:rsid w:val="00C47CF2"/>
    <w:rsid w:val="00C50139"/>
    <w:rsid w:val="00C50990"/>
    <w:rsid w:val="00C509FD"/>
    <w:rsid w:val="00C50B48"/>
    <w:rsid w:val="00C54946"/>
    <w:rsid w:val="00C54E37"/>
    <w:rsid w:val="00C55056"/>
    <w:rsid w:val="00C5538E"/>
    <w:rsid w:val="00C55470"/>
    <w:rsid w:val="00C555AC"/>
    <w:rsid w:val="00C571C5"/>
    <w:rsid w:val="00C575ED"/>
    <w:rsid w:val="00C576DB"/>
    <w:rsid w:val="00C60BD1"/>
    <w:rsid w:val="00C6102A"/>
    <w:rsid w:val="00C617EB"/>
    <w:rsid w:val="00C618FF"/>
    <w:rsid w:val="00C61AA6"/>
    <w:rsid w:val="00C61F3F"/>
    <w:rsid w:val="00C62114"/>
    <w:rsid w:val="00C62242"/>
    <w:rsid w:val="00C62D2E"/>
    <w:rsid w:val="00C6300D"/>
    <w:rsid w:val="00C63C7B"/>
    <w:rsid w:val="00C63D90"/>
    <w:rsid w:val="00C63F49"/>
    <w:rsid w:val="00C63F6A"/>
    <w:rsid w:val="00C640AE"/>
    <w:rsid w:val="00C643DC"/>
    <w:rsid w:val="00C647A0"/>
    <w:rsid w:val="00C647E1"/>
    <w:rsid w:val="00C64A94"/>
    <w:rsid w:val="00C64C9C"/>
    <w:rsid w:val="00C64FC8"/>
    <w:rsid w:val="00C65307"/>
    <w:rsid w:val="00C656B3"/>
    <w:rsid w:val="00C6632E"/>
    <w:rsid w:val="00C66A7D"/>
    <w:rsid w:val="00C67497"/>
    <w:rsid w:val="00C67B36"/>
    <w:rsid w:val="00C67E7D"/>
    <w:rsid w:val="00C70051"/>
    <w:rsid w:val="00C7096D"/>
    <w:rsid w:val="00C709EE"/>
    <w:rsid w:val="00C70B8E"/>
    <w:rsid w:val="00C713ED"/>
    <w:rsid w:val="00C71AE6"/>
    <w:rsid w:val="00C72318"/>
    <w:rsid w:val="00C724E6"/>
    <w:rsid w:val="00C72A93"/>
    <w:rsid w:val="00C72D5D"/>
    <w:rsid w:val="00C72E6C"/>
    <w:rsid w:val="00C73126"/>
    <w:rsid w:val="00C747A5"/>
    <w:rsid w:val="00C7488F"/>
    <w:rsid w:val="00C753EC"/>
    <w:rsid w:val="00C759CC"/>
    <w:rsid w:val="00C759FB"/>
    <w:rsid w:val="00C75B30"/>
    <w:rsid w:val="00C762AE"/>
    <w:rsid w:val="00C76D9C"/>
    <w:rsid w:val="00C773C7"/>
    <w:rsid w:val="00C77C0F"/>
    <w:rsid w:val="00C801EB"/>
    <w:rsid w:val="00C80271"/>
    <w:rsid w:val="00C806E3"/>
    <w:rsid w:val="00C80937"/>
    <w:rsid w:val="00C80E37"/>
    <w:rsid w:val="00C81A54"/>
    <w:rsid w:val="00C827AB"/>
    <w:rsid w:val="00C8403C"/>
    <w:rsid w:val="00C840BE"/>
    <w:rsid w:val="00C8483B"/>
    <w:rsid w:val="00C84985"/>
    <w:rsid w:val="00C84E1E"/>
    <w:rsid w:val="00C85156"/>
    <w:rsid w:val="00C8521F"/>
    <w:rsid w:val="00C85314"/>
    <w:rsid w:val="00C85367"/>
    <w:rsid w:val="00C85DCD"/>
    <w:rsid w:val="00C85EAA"/>
    <w:rsid w:val="00C861C0"/>
    <w:rsid w:val="00C86605"/>
    <w:rsid w:val="00C867A4"/>
    <w:rsid w:val="00C869B5"/>
    <w:rsid w:val="00C87354"/>
    <w:rsid w:val="00C873BA"/>
    <w:rsid w:val="00C87471"/>
    <w:rsid w:val="00C87B44"/>
    <w:rsid w:val="00C90CA0"/>
    <w:rsid w:val="00C90E1E"/>
    <w:rsid w:val="00C91B32"/>
    <w:rsid w:val="00C91F2E"/>
    <w:rsid w:val="00C926C4"/>
    <w:rsid w:val="00C93032"/>
    <w:rsid w:val="00C930AA"/>
    <w:rsid w:val="00C933D6"/>
    <w:rsid w:val="00C9355D"/>
    <w:rsid w:val="00C943E7"/>
    <w:rsid w:val="00C957F3"/>
    <w:rsid w:val="00C95913"/>
    <w:rsid w:val="00C962F4"/>
    <w:rsid w:val="00C964E0"/>
    <w:rsid w:val="00C96671"/>
    <w:rsid w:val="00C970D4"/>
    <w:rsid w:val="00C97203"/>
    <w:rsid w:val="00C974FF"/>
    <w:rsid w:val="00C97CB5"/>
    <w:rsid w:val="00C97DB4"/>
    <w:rsid w:val="00CA005B"/>
    <w:rsid w:val="00CA0116"/>
    <w:rsid w:val="00CA073B"/>
    <w:rsid w:val="00CA1096"/>
    <w:rsid w:val="00CA1B86"/>
    <w:rsid w:val="00CA1C7C"/>
    <w:rsid w:val="00CA3A5F"/>
    <w:rsid w:val="00CA428C"/>
    <w:rsid w:val="00CA4BC0"/>
    <w:rsid w:val="00CA509D"/>
    <w:rsid w:val="00CA530C"/>
    <w:rsid w:val="00CA5CA8"/>
    <w:rsid w:val="00CA66FF"/>
    <w:rsid w:val="00CA67A6"/>
    <w:rsid w:val="00CA6EB4"/>
    <w:rsid w:val="00CB009B"/>
    <w:rsid w:val="00CB010D"/>
    <w:rsid w:val="00CB0157"/>
    <w:rsid w:val="00CB0700"/>
    <w:rsid w:val="00CB0E47"/>
    <w:rsid w:val="00CB193D"/>
    <w:rsid w:val="00CB1FE9"/>
    <w:rsid w:val="00CB214A"/>
    <w:rsid w:val="00CB2527"/>
    <w:rsid w:val="00CB28E9"/>
    <w:rsid w:val="00CB3C1E"/>
    <w:rsid w:val="00CB45B4"/>
    <w:rsid w:val="00CB4685"/>
    <w:rsid w:val="00CB4A57"/>
    <w:rsid w:val="00CB5205"/>
    <w:rsid w:val="00CB52C6"/>
    <w:rsid w:val="00CB5AD5"/>
    <w:rsid w:val="00CB5CEB"/>
    <w:rsid w:val="00CB5D4B"/>
    <w:rsid w:val="00CB61AA"/>
    <w:rsid w:val="00CB6230"/>
    <w:rsid w:val="00CB6F1B"/>
    <w:rsid w:val="00CB71B7"/>
    <w:rsid w:val="00CB77A9"/>
    <w:rsid w:val="00CB7CF9"/>
    <w:rsid w:val="00CC0D1F"/>
    <w:rsid w:val="00CC1085"/>
    <w:rsid w:val="00CC179F"/>
    <w:rsid w:val="00CC1DE8"/>
    <w:rsid w:val="00CC278E"/>
    <w:rsid w:val="00CC27B1"/>
    <w:rsid w:val="00CC31F5"/>
    <w:rsid w:val="00CC38AC"/>
    <w:rsid w:val="00CC3B2F"/>
    <w:rsid w:val="00CC3EA2"/>
    <w:rsid w:val="00CC41E5"/>
    <w:rsid w:val="00CC458A"/>
    <w:rsid w:val="00CC4929"/>
    <w:rsid w:val="00CC4BA8"/>
    <w:rsid w:val="00CC559D"/>
    <w:rsid w:val="00CC6E0D"/>
    <w:rsid w:val="00CC71AE"/>
    <w:rsid w:val="00CC7982"/>
    <w:rsid w:val="00CD01DD"/>
    <w:rsid w:val="00CD02D0"/>
    <w:rsid w:val="00CD081A"/>
    <w:rsid w:val="00CD0C13"/>
    <w:rsid w:val="00CD20F5"/>
    <w:rsid w:val="00CD2672"/>
    <w:rsid w:val="00CD2B48"/>
    <w:rsid w:val="00CD3537"/>
    <w:rsid w:val="00CD3CD9"/>
    <w:rsid w:val="00CD4091"/>
    <w:rsid w:val="00CD422D"/>
    <w:rsid w:val="00CD4458"/>
    <w:rsid w:val="00CD4ADF"/>
    <w:rsid w:val="00CD4D46"/>
    <w:rsid w:val="00CD4E53"/>
    <w:rsid w:val="00CD4EFE"/>
    <w:rsid w:val="00CD4FBB"/>
    <w:rsid w:val="00CD5889"/>
    <w:rsid w:val="00CD5B1B"/>
    <w:rsid w:val="00CD6020"/>
    <w:rsid w:val="00CD62A4"/>
    <w:rsid w:val="00CD654B"/>
    <w:rsid w:val="00CD6A72"/>
    <w:rsid w:val="00CD7335"/>
    <w:rsid w:val="00CD7770"/>
    <w:rsid w:val="00CD7BB2"/>
    <w:rsid w:val="00CE02EF"/>
    <w:rsid w:val="00CE0863"/>
    <w:rsid w:val="00CE0D31"/>
    <w:rsid w:val="00CE1375"/>
    <w:rsid w:val="00CE1ED8"/>
    <w:rsid w:val="00CE2005"/>
    <w:rsid w:val="00CE223E"/>
    <w:rsid w:val="00CE26D8"/>
    <w:rsid w:val="00CE304E"/>
    <w:rsid w:val="00CE30D2"/>
    <w:rsid w:val="00CE3821"/>
    <w:rsid w:val="00CE3E9C"/>
    <w:rsid w:val="00CE42B5"/>
    <w:rsid w:val="00CE48D1"/>
    <w:rsid w:val="00CE497C"/>
    <w:rsid w:val="00CE52B6"/>
    <w:rsid w:val="00CE5974"/>
    <w:rsid w:val="00CE5C5A"/>
    <w:rsid w:val="00CE5F71"/>
    <w:rsid w:val="00CE6008"/>
    <w:rsid w:val="00CE6963"/>
    <w:rsid w:val="00CE6D46"/>
    <w:rsid w:val="00CE706A"/>
    <w:rsid w:val="00CE7601"/>
    <w:rsid w:val="00CE786D"/>
    <w:rsid w:val="00CE7FAC"/>
    <w:rsid w:val="00CF0196"/>
    <w:rsid w:val="00CF01EA"/>
    <w:rsid w:val="00CF06BC"/>
    <w:rsid w:val="00CF0B1E"/>
    <w:rsid w:val="00CF0CED"/>
    <w:rsid w:val="00CF16E1"/>
    <w:rsid w:val="00CF19B8"/>
    <w:rsid w:val="00CF30AE"/>
    <w:rsid w:val="00CF32F4"/>
    <w:rsid w:val="00CF393A"/>
    <w:rsid w:val="00CF3A41"/>
    <w:rsid w:val="00CF3B38"/>
    <w:rsid w:val="00CF3D4D"/>
    <w:rsid w:val="00CF3F0D"/>
    <w:rsid w:val="00CF4E48"/>
    <w:rsid w:val="00CF5048"/>
    <w:rsid w:val="00CF51AF"/>
    <w:rsid w:val="00CF6481"/>
    <w:rsid w:val="00CF6A34"/>
    <w:rsid w:val="00CF7B55"/>
    <w:rsid w:val="00D0076F"/>
    <w:rsid w:val="00D00D42"/>
    <w:rsid w:val="00D01598"/>
    <w:rsid w:val="00D018D2"/>
    <w:rsid w:val="00D02170"/>
    <w:rsid w:val="00D0271F"/>
    <w:rsid w:val="00D030F7"/>
    <w:rsid w:val="00D03637"/>
    <w:rsid w:val="00D03813"/>
    <w:rsid w:val="00D03836"/>
    <w:rsid w:val="00D039E5"/>
    <w:rsid w:val="00D03E7C"/>
    <w:rsid w:val="00D0415C"/>
    <w:rsid w:val="00D04738"/>
    <w:rsid w:val="00D0527C"/>
    <w:rsid w:val="00D06B5B"/>
    <w:rsid w:val="00D073B6"/>
    <w:rsid w:val="00D074DD"/>
    <w:rsid w:val="00D077F5"/>
    <w:rsid w:val="00D0789F"/>
    <w:rsid w:val="00D07FE2"/>
    <w:rsid w:val="00D101F7"/>
    <w:rsid w:val="00D11C2C"/>
    <w:rsid w:val="00D120DB"/>
    <w:rsid w:val="00D12B13"/>
    <w:rsid w:val="00D1311A"/>
    <w:rsid w:val="00D13D5E"/>
    <w:rsid w:val="00D145F5"/>
    <w:rsid w:val="00D1472B"/>
    <w:rsid w:val="00D14D24"/>
    <w:rsid w:val="00D15908"/>
    <w:rsid w:val="00D16294"/>
    <w:rsid w:val="00D17CAC"/>
    <w:rsid w:val="00D17F09"/>
    <w:rsid w:val="00D20A7E"/>
    <w:rsid w:val="00D21737"/>
    <w:rsid w:val="00D21752"/>
    <w:rsid w:val="00D21E90"/>
    <w:rsid w:val="00D22798"/>
    <w:rsid w:val="00D22A09"/>
    <w:rsid w:val="00D22C7D"/>
    <w:rsid w:val="00D22EC5"/>
    <w:rsid w:val="00D233C3"/>
    <w:rsid w:val="00D23EB5"/>
    <w:rsid w:val="00D24EF9"/>
    <w:rsid w:val="00D25267"/>
    <w:rsid w:val="00D252E8"/>
    <w:rsid w:val="00D25A34"/>
    <w:rsid w:val="00D26382"/>
    <w:rsid w:val="00D263F9"/>
    <w:rsid w:val="00D26993"/>
    <w:rsid w:val="00D26B17"/>
    <w:rsid w:val="00D2758A"/>
    <w:rsid w:val="00D27B9E"/>
    <w:rsid w:val="00D30093"/>
    <w:rsid w:val="00D30671"/>
    <w:rsid w:val="00D30E28"/>
    <w:rsid w:val="00D3134B"/>
    <w:rsid w:val="00D31401"/>
    <w:rsid w:val="00D316A1"/>
    <w:rsid w:val="00D317A8"/>
    <w:rsid w:val="00D317DD"/>
    <w:rsid w:val="00D31BFE"/>
    <w:rsid w:val="00D31C6C"/>
    <w:rsid w:val="00D3267E"/>
    <w:rsid w:val="00D32831"/>
    <w:rsid w:val="00D329F1"/>
    <w:rsid w:val="00D32C89"/>
    <w:rsid w:val="00D33472"/>
    <w:rsid w:val="00D335F8"/>
    <w:rsid w:val="00D338DC"/>
    <w:rsid w:val="00D33EE3"/>
    <w:rsid w:val="00D355F0"/>
    <w:rsid w:val="00D361CC"/>
    <w:rsid w:val="00D362F6"/>
    <w:rsid w:val="00D36442"/>
    <w:rsid w:val="00D373B7"/>
    <w:rsid w:val="00D37E9A"/>
    <w:rsid w:val="00D4096E"/>
    <w:rsid w:val="00D40F70"/>
    <w:rsid w:val="00D41091"/>
    <w:rsid w:val="00D41E2D"/>
    <w:rsid w:val="00D42270"/>
    <w:rsid w:val="00D42322"/>
    <w:rsid w:val="00D436B5"/>
    <w:rsid w:val="00D437F4"/>
    <w:rsid w:val="00D43A02"/>
    <w:rsid w:val="00D43AC8"/>
    <w:rsid w:val="00D43E6D"/>
    <w:rsid w:val="00D447F3"/>
    <w:rsid w:val="00D44F4D"/>
    <w:rsid w:val="00D451AC"/>
    <w:rsid w:val="00D451ED"/>
    <w:rsid w:val="00D45D49"/>
    <w:rsid w:val="00D47417"/>
    <w:rsid w:val="00D47A57"/>
    <w:rsid w:val="00D47CE3"/>
    <w:rsid w:val="00D47DC5"/>
    <w:rsid w:val="00D5033E"/>
    <w:rsid w:val="00D50879"/>
    <w:rsid w:val="00D512AC"/>
    <w:rsid w:val="00D51610"/>
    <w:rsid w:val="00D51981"/>
    <w:rsid w:val="00D52440"/>
    <w:rsid w:val="00D52764"/>
    <w:rsid w:val="00D5282B"/>
    <w:rsid w:val="00D529AA"/>
    <w:rsid w:val="00D52F0E"/>
    <w:rsid w:val="00D53A6E"/>
    <w:rsid w:val="00D53D59"/>
    <w:rsid w:val="00D53E41"/>
    <w:rsid w:val="00D54275"/>
    <w:rsid w:val="00D545FF"/>
    <w:rsid w:val="00D54927"/>
    <w:rsid w:val="00D55237"/>
    <w:rsid w:val="00D55774"/>
    <w:rsid w:val="00D56113"/>
    <w:rsid w:val="00D562CA"/>
    <w:rsid w:val="00D57402"/>
    <w:rsid w:val="00D57495"/>
    <w:rsid w:val="00D574C5"/>
    <w:rsid w:val="00D57779"/>
    <w:rsid w:val="00D60436"/>
    <w:rsid w:val="00D605B4"/>
    <w:rsid w:val="00D619AE"/>
    <w:rsid w:val="00D61EBE"/>
    <w:rsid w:val="00D627A7"/>
    <w:rsid w:val="00D62E71"/>
    <w:rsid w:val="00D631B1"/>
    <w:rsid w:val="00D631E4"/>
    <w:rsid w:val="00D643DF"/>
    <w:rsid w:val="00D643F4"/>
    <w:rsid w:val="00D64425"/>
    <w:rsid w:val="00D64CEC"/>
    <w:rsid w:val="00D65668"/>
    <w:rsid w:val="00D65D28"/>
    <w:rsid w:val="00D65E14"/>
    <w:rsid w:val="00D6636D"/>
    <w:rsid w:val="00D70355"/>
    <w:rsid w:val="00D7047A"/>
    <w:rsid w:val="00D71476"/>
    <w:rsid w:val="00D714A7"/>
    <w:rsid w:val="00D723B2"/>
    <w:rsid w:val="00D736C0"/>
    <w:rsid w:val="00D7465A"/>
    <w:rsid w:val="00D746BF"/>
    <w:rsid w:val="00D74A21"/>
    <w:rsid w:val="00D7530F"/>
    <w:rsid w:val="00D757AB"/>
    <w:rsid w:val="00D76194"/>
    <w:rsid w:val="00D762DC"/>
    <w:rsid w:val="00D77158"/>
    <w:rsid w:val="00D77543"/>
    <w:rsid w:val="00D779DD"/>
    <w:rsid w:val="00D80515"/>
    <w:rsid w:val="00D806A0"/>
    <w:rsid w:val="00D80E19"/>
    <w:rsid w:val="00D82287"/>
    <w:rsid w:val="00D8277B"/>
    <w:rsid w:val="00D82D42"/>
    <w:rsid w:val="00D82EA8"/>
    <w:rsid w:val="00D82FF5"/>
    <w:rsid w:val="00D833D9"/>
    <w:rsid w:val="00D83BD9"/>
    <w:rsid w:val="00D83DB9"/>
    <w:rsid w:val="00D9015A"/>
    <w:rsid w:val="00D90FC3"/>
    <w:rsid w:val="00D913B8"/>
    <w:rsid w:val="00D932CB"/>
    <w:rsid w:val="00D94B35"/>
    <w:rsid w:val="00D94DCF"/>
    <w:rsid w:val="00D94EAE"/>
    <w:rsid w:val="00D953A6"/>
    <w:rsid w:val="00D95901"/>
    <w:rsid w:val="00D96051"/>
    <w:rsid w:val="00D96651"/>
    <w:rsid w:val="00D97911"/>
    <w:rsid w:val="00DA063F"/>
    <w:rsid w:val="00DA0E0D"/>
    <w:rsid w:val="00DA1A1B"/>
    <w:rsid w:val="00DA28ED"/>
    <w:rsid w:val="00DA28F4"/>
    <w:rsid w:val="00DA461F"/>
    <w:rsid w:val="00DA586F"/>
    <w:rsid w:val="00DA6A7F"/>
    <w:rsid w:val="00DA6D8D"/>
    <w:rsid w:val="00DA6FD1"/>
    <w:rsid w:val="00DA7118"/>
    <w:rsid w:val="00DA774D"/>
    <w:rsid w:val="00DA777A"/>
    <w:rsid w:val="00DA7B06"/>
    <w:rsid w:val="00DB02F4"/>
    <w:rsid w:val="00DB073B"/>
    <w:rsid w:val="00DB08DA"/>
    <w:rsid w:val="00DB18F5"/>
    <w:rsid w:val="00DB1989"/>
    <w:rsid w:val="00DB1F64"/>
    <w:rsid w:val="00DB304E"/>
    <w:rsid w:val="00DB32B5"/>
    <w:rsid w:val="00DB3B7B"/>
    <w:rsid w:val="00DB3B96"/>
    <w:rsid w:val="00DB491C"/>
    <w:rsid w:val="00DB5100"/>
    <w:rsid w:val="00DB5529"/>
    <w:rsid w:val="00DB5658"/>
    <w:rsid w:val="00DB717F"/>
    <w:rsid w:val="00DB7919"/>
    <w:rsid w:val="00DB7F09"/>
    <w:rsid w:val="00DC00E8"/>
    <w:rsid w:val="00DC0469"/>
    <w:rsid w:val="00DC13B2"/>
    <w:rsid w:val="00DC1584"/>
    <w:rsid w:val="00DC18CB"/>
    <w:rsid w:val="00DC1C56"/>
    <w:rsid w:val="00DC292C"/>
    <w:rsid w:val="00DC2BBB"/>
    <w:rsid w:val="00DC3553"/>
    <w:rsid w:val="00DC43EB"/>
    <w:rsid w:val="00DC4731"/>
    <w:rsid w:val="00DC4756"/>
    <w:rsid w:val="00DC52EF"/>
    <w:rsid w:val="00DC5F2A"/>
    <w:rsid w:val="00DC6379"/>
    <w:rsid w:val="00DC6AAD"/>
    <w:rsid w:val="00DD0405"/>
    <w:rsid w:val="00DD0566"/>
    <w:rsid w:val="00DD0DEC"/>
    <w:rsid w:val="00DD17AA"/>
    <w:rsid w:val="00DD196E"/>
    <w:rsid w:val="00DD2627"/>
    <w:rsid w:val="00DD3DB7"/>
    <w:rsid w:val="00DD3E5F"/>
    <w:rsid w:val="00DD4543"/>
    <w:rsid w:val="00DD51A9"/>
    <w:rsid w:val="00DD5A2D"/>
    <w:rsid w:val="00DD6A25"/>
    <w:rsid w:val="00DD6A66"/>
    <w:rsid w:val="00DD6ED6"/>
    <w:rsid w:val="00DD70A3"/>
    <w:rsid w:val="00DD7150"/>
    <w:rsid w:val="00DD73D5"/>
    <w:rsid w:val="00DD7847"/>
    <w:rsid w:val="00DD7B8A"/>
    <w:rsid w:val="00DD7DBA"/>
    <w:rsid w:val="00DE099F"/>
    <w:rsid w:val="00DE0C05"/>
    <w:rsid w:val="00DE0D70"/>
    <w:rsid w:val="00DE0E2C"/>
    <w:rsid w:val="00DE11A4"/>
    <w:rsid w:val="00DE127C"/>
    <w:rsid w:val="00DE14C3"/>
    <w:rsid w:val="00DE216A"/>
    <w:rsid w:val="00DE2763"/>
    <w:rsid w:val="00DE286B"/>
    <w:rsid w:val="00DE2DF1"/>
    <w:rsid w:val="00DE3A53"/>
    <w:rsid w:val="00DE3C77"/>
    <w:rsid w:val="00DE4276"/>
    <w:rsid w:val="00DE4745"/>
    <w:rsid w:val="00DE4C8A"/>
    <w:rsid w:val="00DE4DCC"/>
    <w:rsid w:val="00DE5654"/>
    <w:rsid w:val="00DE6CF6"/>
    <w:rsid w:val="00DE70F1"/>
    <w:rsid w:val="00DE70FD"/>
    <w:rsid w:val="00DE745C"/>
    <w:rsid w:val="00DE78CE"/>
    <w:rsid w:val="00DF0033"/>
    <w:rsid w:val="00DF081A"/>
    <w:rsid w:val="00DF0A08"/>
    <w:rsid w:val="00DF1F44"/>
    <w:rsid w:val="00DF2015"/>
    <w:rsid w:val="00DF261E"/>
    <w:rsid w:val="00DF2C05"/>
    <w:rsid w:val="00DF349F"/>
    <w:rsid w:val="00DF37D2"/>
    <w:rsid w:val="00DF3F6F"/>
    <w:rsid w:val="00DF42EE"/>
    <w:rsid w:val="00DF44A3"/>
    <w:rsid w:val="00DF49F6"/>
    <w:rsid w:val="00DF5289"/>
    <w:rsid w:val="00DF69C9"/>
    <w:rsid w:val="00DF6DDD"/>
    <w:rsid w:val="00DF6F61"/>
    <w:rsid w:val="00DF78F7"/>
    <w:rsid w:val="00E001BA"/>
    <w:rsid w:val="00E008FD"/>
    <w:rsid w:val="00E00AEA"/>
    <w:rsid w:val="00E00D8E"/>
    <w:rsid w:val="00E01025"/>
    <w:rsid w:val="00E01212"/>
    <w:rsid w:val="00E01856"/>
    <w:rsid w:val="00E01D2C"/>
    <w:rsid w:val="00E01D8C"/>
    <w:rsid w:val="00E022BD"/>
    <w:rsid w:val="00E02760"/>
    <w:rsid w:val="00E02D07"/>
    <w:rsid w:val="00E03029"/>
    <w:rsid w:val="00E03855"/>
    <w:rsid w:val="00E04031"/>
    <w:rsid w:val="00E04516"/>
    <w:rsid w:val="00E04FC1"/>
    <w:rsid w:val="00E0525D"/>
    <w:rsid w:val="00E06153"/>
    <w:rsid w:val="00E061C8"/>
    <w:rsid w:val="00E063E2"/>
    <w:rsid w:val="00E06BF9"/>
    <w:rsid w:val="00E071A2"/>
    <w:rsid w:val="00E076EA"/>
    <w:rsid w:val="00E0778A"/>
    <w:rsid w:val="00E100C1"/>
    <w:rsid w:val="00E101C6"/>
    <w:rsid w:val="00E1080C"/>
    <w:rsid w:val="00E110CC"/>
    <w:rsid w:val="00E12B6E"/>
    <w:rsid w:val="00E12D28"/>
    <w:rsid w:val="00E130E4"/>
    <w:rsid w:val="00E135E9"/>
    <w:rsid w:val="00E137F7"/>
    <w:rsid w:val="00E13B45"/>
    <w:rsid w:val="00E13E7F"/>
    <w:rsid w:val="00E13F01"/>
    <w:rsid w:val="00E15A9B"/>
    <w:rsid w:val="00E15BA4"/>
    <w:rsid w:val="00E16B1A"/>
    <w:rsid w:val="00E16DED"/>
    <w:rsid w:val="00E174F1"/>
    <w:rsid w:val="00E17541"/>
    <w:rsid w:val="00E178EA"/>
    <w:rsid w:val="00E17FD4"/>
    <w:rsid w:val="00E205FD"/>
    <w:rsid w:val="00E209C8"/>
    <w:rsid w:val="00E2122A"/>
    <w:rsid w:val="00E21D78"/>
    <w:rsid w:val="00E21FA0"/>
    <w:rsid w:val="00E22D51"/>
    <w:rsid w:val="00E22E74"/>
    <w:rsid w:val="00E241F5"/>
    <w:rsid w:val="00E25540"/>
    <w:rsid w:val="00E26375"/>
    <w:rsid w:val="00E26AC1"/>
    <w:rsid w:val="00E275B2"/>
    <w:rsid w:val="00E27866"/>
    <w:rsid w:val="00E30B41"/>
    <w:rsid w:val="00E31772"/>
    <w:rsid w:val="00E3210B"/>
    <w:rsid w:val="00E32851"/>
    <w:rsid w:val="00E32D43"/>
    <w:rsid w:val="00E33170"/>
    <w:rsid w:val="00E33B92"/>
    <w:rsid w:val="00E349A7"/>
    <w:rsid w:val="00E35D07"/>
    <w:rsid w:val="00E36447"/>
    <w:rsid w:val="00E36F4F"/>
    <w:rsid w:val="00E37093"/>
    <w:rsid w:val="00E37213"/>
    <w:rsid w:val="00E37251"/>
    <w:rsid w:val="00E37B73"/>
    <w:rsid w:val="00E4085F"/>
    <w:rsid w:val="00E41128"/>
    <w:rsid w:val="00E421BC"/>
    <w:rsid w:val="00E42383"/>
    <w:rsid w:val="00E42761"/>
    <w:rsid w:val="00E42841"/>
    <w:rsid w:val="00E42BF7"/>
    <w:rsid w:val="00E42DA6"/>
    <w:rsid w:val="00E443D5"/>
    <w:rsid w:val="00E44AEF"/>
    <w:rsid w:val="00E469E4"/>
    <w:rsid w:val="00E47538"/>
    <w:rsid w:val="00E50BC0"/>
    <w:rsid w:val="00E50CFE"/>
    <w:rsid w:val="00E50E7C"/>
    <w:rsid w:val="00E51545"/>
    <w:rsid w:val="00E51D9E"/>
    <w:rsid w:val="00E51DDB"/>
    <w:rsid w:val="00E52078"/>
    <w:rsid w:val="00E52C56"/>
    <w:rsid w:val="00E5301A"/>
    <w:rsid w:val="00E533DD"/>
    <w:rsid w:val="00E537D1"/>
    <w:rsid w:val="00E53CBA"/>
    <w:rsid w:val="00E543CD"/>
    <w:rsid w:val="00E54B14"/>
    <w:rsid w:val="00E56301"/>
    <w:rsid w:val="00E567E6"/>
    <w:rsid w:val="00E5693F"/>
    <w:rsid w:val="00E56971"/>
    <w:rsid w:val="00E56FE3"/>
    <w:rsid w:val="00E57282"/>
    <w:rsid w:val="00E57E15"/>
    <w:rsid w:val="00E57ECD"/>
    <w:rsid w:val="00E60051"/>
    <w:rsid w:val="00E6026F"/>
    <w:rsid w:val="00E609A0"/>
    <w:rsid w:val="00E60A2C"/>
    <w:rsid w:val="00E60E85"/>
    <w:rsid w:val="00E61027"/>
    <w:rsid w:val="00E61484"/>
    <w:rsid w:val="00E61A0D"/>
    <w:rsid w:val="00E61F98"/>
    <w:rsid w:val="00E620D9"/>
    <w:rsid w:val="00E62777"/>
    <w:rsid w:val="00E627A3"/>
    <w:rsid w:val="00E635B5"/>
    <w:rsid w:val="00E6386A"/>
    <w:rsid w:val="00E64689"/>
    <w:rsid w:val="00E6561B"/>
    <w:rsid w:val="00E6578E"/>
    <w:rsid w:val="00E66020"/>
    <w:rsid w:val="00E67A0D"/>
    <w:rsid w:val="00E7017C"/>
    <w:rsid w:val="00E7035B"/>
    <w:rsid w:val="00E70407"/>
    <w:rsid w:val="00E7082F"/>
    <w:rsid w:val="00E70C81"/>
    <w:rsid w:val="00E711D7"/>
    <w:rsid w:val="00E727E8"/>
    <w:rsid w:val="00E73BB0"/>
    <w:rsid w:val="00E74191"/>
    <w:rsid w:val="00E75093"/>
    <w:rsid w:val="00E75720"/>
    <w:rsid w:val="00E7574D"/>
    <w:rsid w:val="00E760F8"/>
    <w:rsid w:val="00E7619C"/>
    <w:rsid w:val="00E76828"/>
    <w:rsid w:val="00E7684C"/>
    <w:rsid w:val="00E770AE"/>
    <w:rsid w:val="00E77AB8"/>
    <w:rsid w:val="00E77EAB"/>
    <w:rsid w:val="00E804C6"/>
    <w:rsid w:val="00E80821"/>
    <w:rsid w:val="00E81226"/>
    <w:rsid w:val="00E815E1"/>
    <w:rsid w:val="00E817D9"/>
    <w:rsid w:val="00E823E6"/>
    <w:rsid w:val="00E82670"/>
    <w:rsid w:val="00E826F1"/>
    <w:rsid w:val="00E82A3D"/>
    <w:rsid w:val="00E82DA8"/>
    <w:rsid w:val="00E838D0"/>
    <w:rsid w:val="00E841B1"/>
    <w:rsid w:val="00E8463A"/>
    <w:rsid w:val="00E84B33"/>
    <w:rsid w:val="00E85C00"/>
    <w:rsid w:val="00E8695C"/>
    <w:rsid w:val="00E86BD3"/>
    <w:rsid w:val="00E86C59"/>
    <w:rsid w:val="00E87114"/>
    <w:rsid w:val="00E8793F"/>
    <w:rsid w:val="00E90149"/>
    <w:rsid w:val="00E902B0"/>
    <w:rsid w:val="00E902E8"/>
    <w:rsid w:val="00E903FC"/>
    <w:rsid w:val="00E92085"/>
    <w:rsid w:val="00E920BE"/>
    <w:rsid w:val="00E923C5"/>
    <w:rsid w:val="00E9296B"/>
    <w:rsid w:val="00E92C0D"/>
    <w:rsid w:val="00E92CC5"/>
    <w:rsid w:val="00E92F7F"/>
    <w:rsid w:val="00E940E0"/>
    <w:rsid w:val="00E941E0"/>
    <w:rsid w:val="00E946DD"/>
    <w:rsid w:val="00E94955"/>
    <w:rsid w:val="00E94E8E"/>
    <w:rsid w:val="00E9517F"/>
    <w:rsid w:val="00E95303"/>
    <w:rsid w:val="00E95933"/>
    <w:rsid w:val="00E95DC4"/>
    <w:rsid w:val="00E95E67"/>
    <w:rsid w:val="00E960FC"/>
    <w:rsid w:val="00E962E9"/>
    <w:rsid w:val="00E96547"/>
    <w:rsid w:val="00E96E20"/>
    <w:rsid w:val="00E97A41"/>
    <w:rsid w:val="00E97C19"/>
    <w:rsid w:val="00EA041F"/>
    <w:rsid w:val="00EA086B"/>
    <w:rsid w:val="00EA0E60"/>
    <w:rsid w:val="00EA0F23"/>
    <w:rsid w:val="00EA132F"/>
    <w:rsid w:val="00EA1488"/>
    <w:rsid w:val="00EA1889"/>
    <w:rsid w:val="00EA23AC"/>
    <w:rsid w:val="00EA25FA"/>
    <w:rsid w:val="00EA3529"/>
    <w:rsid w:val="00EA359C"/>
    <w:rsid w:val="00EA398F"/>
    <w:rsid w:val="00EA41F9"/>
    <w:rsid w:val="00EA4AD2"/>
    <w:rsid w:val="00EA56B1"/>
    <w:rsid w:val="00EA6777"/>
    <w:rsid w:val="00EA777C"/>
    <w:rsid w:val="00EA7786"/>
    <w:rsid w:val="00EA7A65"/>
    <w:rsid w:val="00EA7C3D"/>
    <w:rsid w:val="00EB04F7"/>
    <w:rsid w:val="00EB0E54"/>
    <w:rsid w:val="00EB1553"/>
    <w:rsid w:val="00EB172C"/>
    <w:rsid w:val="00EB1867"/>
    <w:rsid w:val="00EB1909"/>
    <w:rsid w:val="00EB1EE8"/>
    <w:rsid w:val="00EB2929"/>
    <w:rsid w:val="00EB2BE3"/>
    <w:rsid w:val="00EB3814"/>
    <w:rsid w:val="00EB3C56"/>
    <w:rsid w:val="00EB3FD5"/>
    <w:rsid w:val="00EB475E"/>
    <w:rsid w:val="00EB4AAE"/>
    <w:rsid w:val="00EB4B0B"/>
    <w:rsid w:val="00EB4D22"/>
    <w:rsid w:val="00EB504A"/>
    <w:rsid w:val="00EB5299"/>
    <w:rsid w:val="00EB5454"/>
    <w:rsid w:val="00EB5F19"/>
    <w:rsid w:val="00EB6878"/>
    <w:rsid w:val="00EB6C26"/>
    <w:rsid w:val="00EB7D79"/>
    <w:rsid w:val="00EC00C7"/>
    <w:rsid w:val="00EC045B"/>
    <w:rsid w:val="00EC0867"/>
    <w:rsid w:val="00EC08FF"/>
    <w:rsid w:val="00EC106E"/>
    <w:rsid w:val="00EC139E"/>
    <w:rsid w:val="00EC1D4D"/>
    <w:rsid w:val="00EC1E0E"/>
    <w:rsid w:val="00EC216A"/>
    <w:rsid w:val="00EC236D"/>
    <w:rsid w:val="00EC28A6"/>
    <w:rsid w:val="00EC2CC7"/>
    <w:rsid w:val="00EC2FBD"/>
    <w:rsid w:val="00EC3E31"/>
    <w:rsid w:val="00EC4D26"/>
    <w:rsid w:val="00EC4D36"/>
    <w:rsid w:val="00EC5F17"/>
    <w:rsid w:val="00EC6838"/>
    <w:rsid w:val="00EC6B16"/>
    <w:rsid w:val="00EC6EA2"/>
    <w:rsid w:val="00EC70D4"/>
    <w:rsid w:val="00EC7D56"/>
    <w:rsid w:val="00EC7DA4"/>
    <w:rsid w:val="00EC7E6D"/>
    <w:rsid w:val="00ED0D67"/>
    <w:rsid w:val="00ED0E61"/>
    <w:rsid w:val="00ED28E9"/>
    <w:rsid w:val="00ED28F1"/>
    <w:rsid w:val="00ED2ADC"/>
    <w:rsid w:val="00ED3761"/>
    <w:rsid w:val="00ED3D64"/>
    <w:rsid w:val="00ED4088"/>
    <w:rsid w:val="00ED42E7"/>
    <w:rsid w:val="00ED51F6"/>
    <w:rsid w:val="00ED5561"/>
    <w:rsid w:val="00ED57DE"/>
    <w:rsid w:val="00ED5A20"/>
    <w:rsid w:val="00ED5EE7"/>
    <w:rsid w:val="00ED6103"/>
    <w:rsid w:val="00ED647E"/>
    <w:rsid w:val="00ED648D"/>
    <w:rsid w:val="00ED68E4"/>
    <w:rsid w:val="00ED6A35"/>
    <w:rsid w:val="00ED6EC0"/>
    <w:rsid w:val="00EE1022"/>
    <w:rsid w:val="00EE1447"/>
    <w:rsid w:val="00EE1BF1"/>
    <w:rsid w:val="00EE2252"/>
    <w:rsid w:val="00EE2649"/>
    <w:rsid w:val="00EE271E"/>
    <w:rsid w:val="00EE280E"/>
    <w:rsid w:val="00EE29ED"/>
    <w:rsid w:val="00EE2C9C"/>
    <w:rsid w:val="00EE2E6F"/>
    <w:rsid w:val="00EE3CD7"/>
    <w:rsid w:val="00EE405F"/>
    <w:rsid w:val="00EE40D6"/>
    <w:rsid w:val="00EE44C6"/>
    <w:rsid w:val="00EE4864"/>
    <w:rsid w:val="00EE4AC8"/>
    <w:rsid w:val="00EE5DCE"/>
    <w:rsid w:val="00EE5F9C"/>
    <w:rsid w:val="00EE645F"/>
    <w:rsid w:val="00EE6B16"/>
    <w:rsid w:val="00EE768C"/>
    <w:rsid w:val="00EE7744"/>
    <w:rsid w:val="00EE79E4"/>
    <w:rsid w:val="00EF00E5"/>
    <w:rsid w:val="00EF03E1"/>
    <w:rsid w:val="00EF0480"/>
    <w:rsid w:val="00EF054F"/>
    <w:rsid w:val="00EF0702"/>
    <w:rsid w:val="00EF0A7D"/>
    <w:rsid w:val="00EF0C33"/>
    <w:rsid w:val="00EF145E"/>
    <w:rsid w:val="00EF179A"/>
    <w:rsid w:val="00EF1B94"/>
    <w:rsid w:val="00EF229D"/>
    <w:rsid w:val="00EF29EC"/>
    <w:rsid w:val="00EF2AEB"/>
    <w:rsid w:val="00EF2BBB"/>
    <w:rsid w:val="00EF366D"/>
    <w:rsid w:val="00EF3A99"/>
    <w:rsid w:val="00EF3ACA"/>
    <w:rsid w:val="00EF3ACB"/>
    <w:rsid w:val="00EF3E3E"/>
    <w:rsid w:val="00EF4248"/>
    <w:rsid w:val="00EF435D"/>
    <w:rsid w:val="00EF47B0"/>
    <w:rsid w:val="00EF49CF"/>
    <w:rsid w:val="00EF576B"/>
    <w:rsid w:val="00EF57BA"/>
    <w:rsid w:val="00EF72A6"/>
    <w:rsid w:val="00EF766E"/>
    <w:rsid w:val="00EF79FF"/>
    <w:rsid w:val="00F0046D"/>
    <w:rsid w:val="00F007EA"/>
    <w:rsid w:val="00F0082D"/>
    <w:rsid w:val="00F015AB"/>
    <w:rsid w:val="00F029EE"/>
    <w:rsid w:val="00F0311F"/>
    <w:rsid w:val="00F03806"/>
    <w:rsid w:val="00F039B1"/>
    <w:rsid w:val="00F03C1C"/>
    <w:rsid w:val="00F045E0"/>
    <w:rsid w:val="00F05B52"/>
    <w:rsid w:val="00F06101"/>
    <w:rsid w:val="00F0611A"/>
    <w:rsid w:val="00F07177"/>
    <w:rsid w:val="00F07399"/>
    <w:rsid w:val="00F07759"/>
    <w:rsid w:val="00F07C4B"/>
    <w:rsid w:val="00F07C90"/>
    <w:rsid w:val="00F07D65"/>
    <w:rsid w:val="00F10DAD"/>
    <w:rsid w:val="00F10E68"/>
    <w:rsid w:val="00F11339"/>
    <w:rsid w:val="00F12298"/>
    <w:rsid w:val="00F1288E"/>
    <w:rsid w:val="00F128DB"/>
    <w:rsid w:val="00F12A66"/>
    <w:rsid w:val="00F13D36"/>
    <w:rsid w:val="00F13D5E"/>
    <w:rsid w:val="00F14100"/>
    <w:rsid w:val="00F143EA"/>
    <w:rsid w:val="00F14BCC"/>
    <w:rsid w:val="00F1505F"/>
    <w:rsid w:val="00F15AB9"/>
    <w:rsid w:val="00F15DCC"/>
    <w:rsid w:val="00F16570"/>
    <w:rsid w:val="00F16D3C"/>
    <w:rsid w:val="00F170B3"/>
    <w:rsid w:val="00F1716C"/>
    <w:rsid w:val="00F20034"/>
    <w:rsid w:val="00F20F8A"/>
    <w:rsid w:val="00F217E7"/>
    <w:rsid w:val="00F21C2E"/>
    <w:rsid w:val="00F22A37"/>
    <w:rsid w:val="00F23D15"/>
    <w:rsid w:val="00F24280"/>
    <w:rsid w:val="00F24554"/>
    <w:rsid w:val="00F2498B"/>
    <w:rsid w:val="00F249AD"/>
    <w:rsid w:val="00F24B22"/>
    <w:rsid w:val="00F24B39"/>
    <w:rsid w:val="00F24FAD"/>
    <w:rsid w:val="00F2628C"/>
    <w:rsid w:val="00F26824"/>
    <w:rsid w:val="00F26C3C"/>
    <w:rsid w:val="00F26ECC"/>
    <w:rsid w:val="00F27A31"/>
    <w:rsid w:val="00F303FC"/>
    <w:rsid w:val="00F304A4"/>
    <w:rsid w:val="00F307D5"/>
    <w:rsid w:val="00F30F2A"/>
    <w:rsid w:val="00F31169"/>
    <w:rsid w:val="00F31673"/>
    <w:rsid w:val="00F31927"/>
    <w:rsid w:val="00F31D73"/>
    <w:rsid w:val="00F32045"/>
    <w:rsid w:val="00F32190"/>
    <w:rsid w:val="00F3243E"/>
    <w:rsid w:val="00F32E0B"/>
    <w:rsid w:val="00F3394A"/>
    <w:rsid w:val="00F33DB8"/>
    <w:rsid w:val="00F3441D"/>
    <w:rsid w:val="00F345A9"/>
    <w:rsid w:val="00F346FD"/>
    <w:rsid w:val="00F34F1D"/>
    <w:rsid w:val="00F34FC8"/>
    <w:rsid w:val="00F35378"/>
    <w:rsid w:val="00F35443"/>
    <w:rsid w:val="00F361A6"/>
    <w:rsid w:val="00F364D1"/>
    <w:rsid w:val="00F36D95"/>
    <w:rsid w:val="00F3772F"/>
    <w:rsid w:val="00F37CE4"/>
    <w:rsid w:val="00F40087"/>
    <w:rsid w:val="00F4042B"/>
    <w:rsid w:val="00F409C0"/>
    <w:rsid w:val="00F41570"/>
    <w:rsid w:val="00F422A8"/>
    <w:rsid w:val="00F4240F"/>
    <w:rsid w:val="00F43D57"/>
    <w:rsid w:val="00F44F83"/>
    <w:rsid w:val="00F45967"/>
    <w:rsid w:val="00F4649C"/>
    <w:rsid w:val="00F469B5"/>
    <w:rsid w:val="00F46FE8"/>
    <w:rsid w:val="00F47664"/>
    <w:rsid w:val="00F478F4"/>
    <w:rsid w:val="00F47DF4"/>
    <w:rsid w:val="00F50809"/>
    <w:rsid w:val="00F5095A"/>
    <w:rsid w:val="00F50D18"/>
    <w:rsid w:val="00F50EE7"/>
    <w:rsid w:val="00F50F9C"/>
    <w:rsid w:val="00F5101B"/>
    <w:rsid w:val="00F51369"/>
    <w:rsid w:val="00F51810"/>
    <w:rsid w:val="00F51AFA"/>
    <w:rsid w:val="00F51D7F"/>
    <w:rsid w:val="00F52039"/>
    <w:rsid w:val="00F52046"/>
    <w:rsid w:val="00F52C84"/>
    <w:rsid w:val="00F5365A"/>
    <w:rsid w:val="00F53AF3"/>
    <w:rsid w:val="00F53B34"/>
    <w:rsid w:val="00F53E5F"/>
    <w:rsid w:val="00F541E5"/>
    <w:rsid w:val="00F545D5"/>
    <w:rsid w:val="00F547E4"/>
    <w:rsid w:val="00F55049"/>
    <w:rsid w:val="00F552E9"/>
    <w:rsid w:val="00F55521"/>
    <w:rsid w:val="00F55951"/>
    <w:rsid w:val="00F55AB3"/>
    <w:rsid w:val="00F55B70"/>
    <w:rsid w:val="00F55C9D"/>
    <w:rsid w:val="00F5671A"/>
    <w:rsid w:val="00F56D98"/>
    <w:rsid w:val="00F56EA9"/>
    <w:rsid w:val="00F574D1"/>
    <w:rsid w:val="00F57BED"/>
    <w:rsid w:val="00F57D27"/>
    <w:rsid w:val="00F60065"/>
    <w:rsid w:val="00F60198"/>
    <w:rsid w:val="00F60DA2"/>
    <w:rsid w:val="00F619A7"/>
    <w:rsid w:val="00F624A8"/>
    <w:rsid w:val="00F62ACD"/>
    <w:rsid w:val="00F6322C"/>
    <w:rsid w:val="00F63554"/>
    <w:rsid w:val="00F64079"/>
    <w:rsid w:val="00F64C29"/>
    <w:rsid w:val="00F6527F"/>
    <w:rsid w:val="00F655AF"/>
    <w:rsid w:val="00F655F3"/>
    <w:rsid w:val="00F65B70"/>
    <w:rsid w:val="00F669CD"/>
    <w:rsid w:val="00F676E9"/>
    <w:rsid w:val="00F67D2D"/>
    <w:rsid w:val="00F7000B"/>
    <w:rsid w:val="00F701E3"/>
    <w:rsid w:val="00F7074B"/>
    <w:rsid w:val="00F70D9C"/>
    <w:rsid w:val="00F7160C"/>
    <w:rsid w:val="00F72166"/>
    <w:rsid w:val="00F724AC"/>
    <w:rsid w:val="00F7352B"/>
    <w:rsid w:val="00F737DB"/>
    <w:rsid w:val="00F73FAB"/>
    <w:rsid w:val="00F74905"/>
    <w:rsid w:val="00F7577D"/>
    <w:rsid w:val="00F759D8"/>
    <w:rsid w:val="00F760C9"/>
    <w:rsid w:val="00F7613A"/>
    <w:rsid w:val="00F76183"/>
    <w:rsid w:val="00F76F6E"/>
    <w:rsid w:val="00F8003E"/>
    <w:rsid w:val="00F80A84"/>
    <w:rsid w:val="00F80DF3"/>
    <w:rsid w:val="00F80ECD"/>
    <w:rsid w:val="00F8190D"/>
    <w:rsid w:val="00F82305"/>
    <w:rsid w:val="00F82746"/>
    <w:rsid w:val="00F82AEC"/>
    <w:rsid w:val="00F82E5B"/>
    <w:rsid w:val="00F82FB1"/>
    <w:rsid w:val="00F836F9"/>
    <w:rsid w:val="00F83C74"/>
    <w:rsid w:val="00F841C1"/>
    <w:rsid w:val="00F845D7"/>
    <w:rsid w:val="00F848F8"/>
    <w:rsid w:val="00F84ECB"/>
    <w:rsid w:val="00F84ED0"/>
    <w:rsid w:val="00F87321"/>
    <w:rsid w:val="00F879D8"/>
    <w:rsid w:val="00F901D4"/>
    <w:rsid w:val="00F91A40"/>
    <w:rsid w:val="00F91B54"/>
    <w:rsid w:val="00F92279"/>
    <w:rsid w:val="00F9335E"/>
    <w:rsid w:val="00F93E4B"/>
    <w:rsid w:val="00F94084"/>
    <w:rsid w:val="00F9439E"/>
    <w:rsid w:val="00F94523"/>
    <w:rsid w:val="00F949FC"/>
    <w:rsid w:val="00F94A0B"/>
    <w:rsid w:val="00F94BE4"/>
    <w:rsid w:val="00F9506F"/>
    <w:rsid w:val="00F9559F"/>
    <w:rsid w:val="00F956B8"/>
    <w:rsid w:val="00F959CC"/>
    <w:rsid w:val="00F97B46"/>
    <w:rsid w:val="00FA015C"/>
    <w:rsid w:val="00FA2391"/>
    <w:rsid w:val="00FA2753"/>
    <w:rsid w:val="00FA2951"/>
    <w:rsid w:val="00FA3510"/>
    <w:rsid w:val="00FA3533"/>
    <w:rsid w:val="00FA6635"/>
    <w:rsid w:val="00FA6668"/>
    <w:rsid w:val="00FA6AA1"/>
    <w:rsid w:val="00FA6C9C"/>
    <w:rsid w:val="00FA6D6F"/>
    <w:rsid w:val="00FA71C5"/>
    <w:rsid w:val="00FA7B8F"/>
    <w:rsid w:val="00FA7DB4"/>
    <w:rsid w:val="00FA7F29"/>
    <w:rsid w:val="00FB0107"/>
    <w:rsid w:val="00FB021B"/>
    <w:rsid w:val="00FB0248"/>
    <w:rsid w:val="00FB0BA2"/>
    <w:rsid w:val="00FB1E2D"/>
    <w:rsid w:val="00FB1FCA"/>
    <w:rsid w:val="00FB330D"/>
    <w:rsid w:val="00FB361B"/>
    <w:rsid w:val="00FB36EB"/>
    <w:rsid w:val="00FB3A46"/>
    <w:rsid w:val="00FB3BCE"/>
    <w:rsid w:val="00FB4282"/>
    <w:rsid w:val="00FB4429"/>
    <w:rsid w:val="00FB4AF1"/>
    <w:rsid w:val="00FB4D21"/>
    <w:rsid w:val="00FB5119"/>
    <w:rsid w:val="00FB5415"/>
    <w:rsid w:val="00FB5BF4"/>
    <w:rsid w:val="00FB6068"/>
    <w:rsid w:val="00FB60F1"/>
    <w:rsid w:val="00FB61BA"/>
    <w:rsid w:val="00FB6234"/>
    <w:rsid w:val="00FB689A"/>
    <w:rsid w:val="00FB73E0"/>
    <w:rsid w:val="00FB762B"/>
    <w:rsid w:val="00FB7A34"/>
    <w:rsid w:val="00FC041B"/>
    <w:rsid w:val="00FC0ACD"/>
    <w:rsid w:val="00FC14C2"/>
    <w:rsid w:val="00FC251F"/>
    <w:rsid w:val="00FC28F2"/>
    <w:rsid w:val="00FC2D65"/>
    <w:rsid w:val="00FC2F5E"/>
    <w:rsid w:val="00FC319F"/>
    <w:rsid w:val="00FC34B0"/>
    <w:rsid w:val="00FC34D3"/>
    <w:rsid w:val="00FC3563"/>
    <w:rsid w:val="00FC3AA0"/>
    <w:rsid w:val="00FC3F9B"/>
    <w:rsid w:val="00FC49B2"/>
    <w:rsid w:val="00FC4C8D"/>
    <w:rsid w:val="00FC563F"/>
    <w:rsid w:val="00FC5780"/>
    <w:rsid w:val="00FC57F3"/>
    <w:rsid w:val="00FC6273"/>
    <w:rsid w:val="00FC642B"/>
    <w:rsid w:val="00FC69E9"/>
    <w:rsid w:val="00FC6ADA"/>
    <w:rsid w:val="00FC74C3"/>
    <w:rsid w:val="00FD06E8"/>
    <w:rsid w:val="00FD0F78"/>
    <w:rsid w:val="00FD1B77"/>
    <w:rsid w:val="00FD2524"/>
    <w:rsid w:val="00FD3497"/>
    <w:rsid w:val="00FD4150"/>
    <w:rsid w:val="00FD444D"/>
    <w:rsid w:val="00FD45A6"/>
    <w:rsid w:val="00FD45D6"/>
    <w:rsid w:val="00FD463F"/>
    <w:rsid w:val="00FD53CF"/>
    <w:rsid w:val="00FD67F9"/>
    <w:rsid w:val="00FD6D2F"/>
    <w:rsid w:val="00FD6D3D"/>
    <w:rsid w:val="00FD6DAE"/>
    <w:rsid w:val="00FD6ED4"/>
    <w:rsid w:val="00FD7678"/>
    <w:rsid w:val="00FD7DCC"/>
    <w:rsid w:val="00FE016B"/>
    <w:rsid w:val="00FE2463"/>
    <w:rsid w:val="00FE3B1F"/>
    <w:rsid w:val="00FE3B24"/>
    <w:rsid w:val="00FE3D80"/>
    <w:rsid w:val="00FE3F92"/>
    <w:rsid w:val="00FE42A8"/>
    <w:rsid w:val="00FE47F3"/>
    <w:rsid w:val="00FE4CA4"/>
    <w:rsid w:val="00FE503E"/>
    <w:rsid w:val="00FE519E"/>
    <w:rsid w:val="00FE55F5"/>
    <w:rsid w:val="00FE58AC"/>
    <w:rsid w:val="00FE6910"/>
    <w:rsid w:val="00FE73F1"/>
    <w:rsid w:val="00FF06AA"/>
    <w:rsid w:val="00FF0B5D"/>
    <w:rsid w:val="00FF10F5"/>
    <w:rsid w:val="00FF1801"/>
    <w:rsid w:val="00FF1BD4"/>
    <w:rsid w:val="00FF2630"/>
    <w:rsid w:val="00FF2671"/>
    <w:rsid w:val="00FF279B"/>
    <w:rsid w:val="00FF28B9"/>
    <w:rsid w:val="00FF3344"/>
    <w:rsid w:val="00FF3356"/>
    <w:rsid w:val="00FF340D"/>
    <w:rsid w:val="00FF47BF"/>
    <w:rsid w:val="00FF48DD"/>
    <w:rsid w:val="00FF4CD0"/>
    <w:rsid w:val="00FF51F3"/>
    <w:rsid w:val="00FF5980"/>
    <w:rsid w:val="00FF5CF7"/>
    <w:rsid w:val="00FF5D04"/>
    <w:rsid w:val="00FF6631"/>
    <w:rsid w:val="00FF6715"/>
    <w:rsid w:val="00FF7B33"/>
    <w:rsid w:val="0127D4F4"/>
    <w:rsid w:val="01D67997"/>
    <w:rsid w:val="036F425D"/>
    <w:rsid w:val="0387AC8E"/>
    <w:rsid w:val="062EC934"/>
    <w:rsid w:val="079428E2"/>
    <w:rsid w:val="07BEB381"/>
    <w:rsid w:val="09FF05B1"/>
    <w:rsid w:val="0EB5AB1A"/>
    <w:rsid w:val="1109B8CC"/>
    <w:rsid w:val="11A5F3E2"/>
    <w:rsid w:val="121F9309"/>
    <w:rsid w:val="168AA8D6"/>
    <w:rsid w:val="169563E5"/>
    <w:rsid w:val="187E64A5"/>
    <w:rsid w:val="190DEBFE"/>
    <w:rsid w:val="1A357F05"/>
    <w:rsid w:val="1BED657C"/>
    <w:rsid w:val="1CC5FECF"/>
    <w:rsid w:val="1ECB6260"/>
    <w:rsid w:val="20C0DB7D"/>
    <w:rsid w:val="219340BE"/>
    <w:rsid w:val="21ECD11E"/>
    <w:rsid w:val="22D6255A"/>
    <w:rsid w:val="23852E7E"/>
    <w:rsid w:val="23B20029"/>
    <w:rsid w:val="27FE2EFA"/>
    <w:rsid w:val="29D455AA"/>
    <w:rsid w:val="2B5D2712"/>
    <w:rsid w:val="2D769387"/>
    <w:rsid w:val="2EB1D4D9"/>
    <w:rsid w:val="2EC26AFD"/>
    <w:rsid w:val="301DE417"/>
    <w:rsid w:val="315568E4"/>
    <w:rsid w:val="31917DE1"/>
    <w:rsid w:val="32E81B6B"/>
    <w:rsid w:val="36AB043A"/>
    <w:rsid w:val="37A90427"/>
    <w:rsid w:val="37EA6312"/>
    <w:rsid w:val="385D8DE7"/>
    <w:rsid w:val="3B325138"/>
    <w:rsid w:val="3B6E7DA5"/>
    <w:rsid w:val="3BC14D2C"/>
    <w:rsid w:val="3C19E296"/>
    <w:rsid w:val="3CA90431"/>
    <w:rsid w:val="3DD4D13F"/>
    <w:rsid w:val="3F8161B9"/>
    <w:rsid w:val="40CED5C3"/>
    <w:rsid w:val="47FB6F68"/>
    <w:rsid w:val="497ED38A"/>
    <w:rsid w:val="4A9EFCB6"/>
    <w:rsid w:val="4B06693D"/>
    <w:rsid w:val="4E94E6D7"/>
    <w:rsid w:val="4EC6F99B"/>
    <w:rsid w:val="50C0B934"/>
    <w:rsid w:val="50E3B8CB"/>
    <w:rsid w:val="5419329C"/>
    <w:rsid w:val="5545AA5F"/>
    <w:rsid w:val="557C27A4"/>
    <w:rsid w:val="55DE350F"/>
    <w:rsid w:val="56FEEDA8"/>
    <w:rsid w:val="5913B539"/>
    <w:rsid w:val="5986A337"/>
    <w:rsid w:val="59BB4D2C"/>
    <w:rsid w:val="59DF54A8"/>
    <w:rsid w:val="5CF109EA"/>
    <w:rsid w:val="5D2891C9"/>
    <w:rsid w:val="5D407BE0"/>
    <w:rsid w:val="5EA5672C"/>
    <w:rsid w:val="5EE63536"/>
    <w:rsid w:val="5F59A2BA"/>
    <w:rsid w:val="5F7B9E9C"/>
    <w:rsid w:val="5F900B85"/>
    <w:rsid w:val="6027BCF9"/>
    <w:rsid w:val="61C4A177"/>
    <w:rsid w:val="66409163"/>
    <w:rsid w:val="6724854C"/>
    <w:rsid w:val="67AE2770"/>
    <w:rsid w:val="67DAAFFB"/>
    <w:rsid w:val="6B0E8B97"/>
    <w:rsid w:val="6CEFE626"/>
    <w:rsid w:val="6E69F6BB"/>
    <w:rsid w:val="6ED4CCCE"/>
    <w:rsid w:val="6F2EB97C"/>
    <w:rsid w:val="6FF0B3E8"/>
    <w:rsid w:val="7367CEE7"/>
    <w:rsid w:val="746EA087"/>
    <w:rsid w:val="75EF1227"/>
    <w:rsid w:val="76466245"/>
    <w:rsid w:val="7650789B"/>
    <w:rsid w:val="76EDB54B"/>
    <w:rsid w:val="76FF629B"/>
    <w:rsid w:val="77921168"/>
    <w:rsid w:val="782D6182"/>
    <w:rsid w:val="7878AD8D"/>
    <w:rsid w:val="7BC06271"/>
    <w:rsid w:val="7C4B7B85"/>
    <w:rsid w:val="7EB06B83"/>
    <w:rsid w:val="7F82D9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A51EE86"/>
  <w15:docId w15:val="{AAFD71B8-D754-46E6-9934-1D6D2777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D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438D7"/>
    <w:pPr>
      <w:spacing w:before="600" w:line="460" w:lineRule="exact"/>
      <w:outlineLvl w:val="0"/>
    </w:pPr>
    <w:rPr>
      <w:b/>
      <w:bCs w:val="0"/>
      <w:color w:val="2C384A" w:themeColor="accent1"/>
      <w:sz w:val="44"/>
    </w:rPr>
  </w:style>
  <w:style w:type="paragraph" w:styleId="Heading2">
    <w:name w:val="heading 2"/>
    <w:basedOn w:val="HeadingBase"/>
    <w:next w:val="Normal"/>
    <w:link w:val="Heading2Char"/>
    <w:qFormat/>
    <w:rsid w:val="000438D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0438D7"/>
    <w:pPr>
      <w:spacing w:before="320" w:after="0" w:line="276" w:lineRule="auto"/>
      <w:outlineLvl w:val="2"/>
    </w:pPr>
    <w:rPr>
      <w:b/>
      <w:bCs w:val="0"/>
      <w:color w:val="2C384A" w:themeColor="accent1"/>
      <w:sz w:val="28"/>
      <w:szCs w:val="26"/>
    </w:rPr>
  </w:style>
  <w:style w:type="paragraph" w:styleId="Heading4">
    <w:name w:val="heading 4"/>
    <w:basedOn w:val="HeadingBase"/>
    <w:next w:val="Normal"/>
    <w:link w:val="Heading4Char"/>
    <w:qFormat/>
    <w:rsid w:val="000438D7"/>
    <w:pPr>
      <w:spacing w:before="280" w:after="0" w:line="276" w:lineRule="auto"/>
      <w:outlineLvl w:val="3"/>
    </w:pPr>
    <w:rPr>
      <w:rFonts w:ascii="Calibri Light" w:hAnsi="Calibri Light"/>
      <w:bCs w:val="0"/>
      <w:color w:val="5D779D" w:themeColor="accent3"/>
      <w:sz w:val="24"/>
      <w:szCs w:val="26"/>
    </w:rPr>
  </w:style>
  <w:style w:type="paragraph" w:styleId="Heading5">
    <w:name w:val="heading 5"/>
    <w:basedOn w:val="HeadingBase"/>
    <w:next w:val="Normal"/>
    <w:link w:val="Heading5Char"/>
    <w:rsid w:val="000438D7"/>
    <w:pPr>
      <w:spacing w:before="240" w:after="0" w:line="276" w:lineRule="auto"/>
      <w:outlineLvl w:val="4"/>
    </w:pPr>
    <w:rPr>
      <w:rFonts w:asciiTheme="majorHAnsi" w:hAnsiTheme="majorHAnsi"/>
      <w:b/>
      <w:bCs w:val="0"/>
      <w:iCs/>
      <w:color w:val="2C384A" w:themeColor="accent1"/>
      <w:sz w:val="22"/>
    </w:rPr>
  </w:style>
  <w:style w:type="paragraph" w:styleId="Heading6">
    <w:name w:val="heading 6"/>
    <w:basedOn w:val="HeadingBase"/>
    <w:next w:val="Normal"/>
    <w:link w:val="Heading6Char"/>
    <w:rsid w:val="000438D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8D7"/>
    <w:rPr>
      <w:rFonts w:ascii="Calibri" w:eastAsia="Times New Roman" w:hAnsi="Calibri" w:cs="Arial"/>
      <w:b/>
      <w:color w:val="2C384A" w:themeColor="accent1"/>
      <w:kern w:val="32"/>
      <w:sz w:val="44"/>
      <w:szCs w:val="36"/>
      <w:lang w:eastAsia="en-AU"/>
    </w:rPr>
  </w:style>
  <w:style w:type="character" w:customStyle="1" w:styleId="Heading2Char">
    <w:name w:val="Heading 2 Char"/>
    <w:basedOn w:val="DefaultParagraphFont"/>
    <w:link w:val="Heading2"/>
    <w:rsid w:val="000438D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0438D7"/>
    <w:rPr>
      <w:rFonts w:ascii="Calibri" w:eastAsia="Times New Roman" w:hAnsi="Calibri" w:cs="Arial"/>
      <w:b/>
      <w:color w:val="2C384A" w:themeColor="accent1"/>
      <w:kern w:val="32"/>
      <w:sz w:val="28"/>
      <w:szCs w:val="26"/>
      <w:lang w:eastAsia="en-AU"/>
    </w:rPr>
  </w:style>
  <w:style w:type="character" w:customStyle="1" w:styleId="Heading4Char">
    <w:name w:val="Heading 4 Char"/>
    <w:basedOn w:val="DefaultParagraphFont"/>
    <w:link w:val="Heading4"/>
    <w:rsid w:val="000438D7"/>
    <w:rPr>
      <w:rFonts w:ascii="Calibri Light" w:eastAsia="Times New Roman" w:hAnsi="Calibri Light" w:cs="Arial"/>
      <w:color w:val="5D779D" w:themeColor="accent3"/>
      <w:kern w:val="32"/>
      <w:sz w:val="24"/>
      <w:szCs w:val="26"/>
      <w:lang w:eastAsia="en-AU"/>
    </w:rPr>
  </w:style>
  <w:style w:type="character" w:customStyle="1" w:styleId="Heading5Char">
    <w:name w:val="Heading 5 Char"/>
    <w:basedOn w:val="DefaultParagraphFont"/>
    <w:link w:val="Heading5"/>
    <w:rsid w:val="000438D7"/>
    <w:rPr>
      <w:rFonts w:asciiTheme="majorHAnsi" w:eastAsia="Times New Roman" w:hAnsiTheme="majorHAnsi" w:cs="Arial"/>
      <w:b/>
      <w:iCs/>
      <w:color w:val="2C384A" w:themeColor="accent1"/>
      <w:kern w:val="32"/>
      <w:szCs w:val="36"/>
      <w:lang w:eastAsia="en-AU"/>
    </w:rPr>
  </w:style>
  <w:style w:type="character" w:customStyle="1" w:styleId="Heading6Char">
    <w:name w:val="Heading 6 Char"/>
    <w:basedOn w:val="DefaultParagraphFont"/>
    <w:link w:val="Heading6"/>
    <w:rsid w:val="000438D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438D7"/>
    <w:pPr>
      <w:keepNext/>
      <w:spacing w:before="0" w:after="0"/>
      <w:jc w:val="center"/>
    </w:pPr>
    <w:rPr>
      <w:color w:val="004A7F"/>
      <w:sz w:val="20"/>
    </w:rPr>
  </w:style>
  <w:style w:type="paragraph" w:customStyle="1" w:styleId="AlphaParagraph">
    <w:name w:val="Alpha Paragraph"/>
    <w:basedOn w:val="Normal"/>
    <w:qFormat/>
    <w:rsid w:val="000438D7"/>
    <w:pPr>
      <w:numPr>
        <w:ilvl w:val="1"/>
        <w:numId w:val="10"/>
      </w:numPr>
      <w:spacing w:before="0"/>
    </w:pPr>
  </w:style>
  <w:style w:type="character" w:customStyle="1" w:styleId="DashChar">
    <w:name w:val="Dash Char"/>
    <w:basedOn w:val="DefaultParagraphFont"/>
    <w:link w:val="Dash"/>
    <w:uiPriority w:val="99"/>
    <w:locked/>
    <w:rsid w:val="000438D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0438D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0438D7"/>
    <w:rPr>
      <w:rFonts w:ascii="Calibri Light" w:eastAsia="Times New Roman" w:hAnsi="Calibri Light" w:cs="Times New Roman"/>
      <w:szCs w:val="20"/>
      <w:lang w:eastAsia="en-AU"/>
    </w:rPr>
  </w:style>
  <w:style w:type="paragraph" w:customStyle="1" w:styleId="BoxHeading">
    <w:name w:val="Box Heading"/>
    <w:basedOn w:val="Normal"/>
    <w:next w:val="Normal"/>
    <w:rsid w:val="000438D7"/>
    <w:pPr>
      <w:keepNext/>
      <w:spacing w:before="240"/>
    </w:pPr>
    <w:rPr>
      <w:b/>
      <w:color w:val="2C384A" w:themeColor="accent1"/>
      <w:sz w:val="26"/>
      <w:szCs w:val="26"/>
    </w:rPr>
  </w:style>
  <w:style w:type="paragraph" w:customStyle="1" w:styleId="BoxText">
    <w:name w:val="Box Text"/>
    <w:basedOn w:val="Normal"/>
    <w:link w:val="BoxTextChar"/>
    <w:rsid w:val="000438D7"/>
  </w:style>
  <w:style w:type="paragraph" w:customStyle="1" w:styleId="Bullet">
    <w:name w:val="Bullet"/>
    <w:basedOn w:val="Normal"/>
    <w:link w:val="BulletChar"/>
    <w:qFormat/>
    <w:rsid w:val="000438D7"/>
    <w:pPr>
      <w:numPr>
        <w:numId w:val="24"/>
      </w:numPr>
      <w:tabs>
        <w:tab w:val="left" w:pos="720"/>
      </w:tabs>
      <w:spacing w:before="0" w:line="276" w:lineRule="auto"/>
    </w:pPr>
  </w:style>
  <w:style w:type="paragraph" w:customStyle="1" w:styleId="ChartandTableFootnoteAlpha">
    <w:name w:val="Chart and Table Footnote Alpha"/>
    <w:rsid w:val="000438D7"/>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438D7"/>
    <w:pPr>
      <w:jc w:val="center"/>
    </w:pPr>
  </w:style>
  <w:style w:type="paragraph" w:customStyle="1" w:styleId="ChartorTableNote">
    <w:name w:val="Chart or Table Note"/>
    <w:next w:val="Normal"/>
    <w:rsid w:val="000438D7"/>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438D7"/>
    <w:pPr>
      <w:jc w:val="center"/>
    </w:pPr>
    <w:rPr>
      <w:b w:val="0"/>
      <w:bCs/>
    </w:rPr>
  </w:style>
  <w:style w:type="paragraph" w:customStyle="1" w:styleId="ReportDate">
    <w:name w:val="Report Date"/>
    <w:basedOn w:val="Normal"/>
    <w:link w:val="ReportDateChar"/>
    <w:rsid w:val="000438D7"/>
    <w:pPr>
      <w:keepNext/>
      <w:spacing w:before="0" w:after="360"/>
    </w:pPr>
    <w:rPr>
      <w:color w:val="EEEEEE" w:themeColor="background2"/>
      <w:sz w:val="32"/>
    </w:rPr>
  </w:style>
  <w:style w:type="paragraph" w:customStyle="1" w:styleId="Dash">
    <w:name w:val="Dash"/>
    <w:basedOn w:val="Normal"/>
    <w:link w:val="DashChar"/>
    <w:uiPriority w:val="99"/>
    <w:qFormat/>
    <w:rsid w:val="000438D7"/>
    <w:pPr>
      <w:numPr>
        <w:ilvl w:val="1"/>
        <w:numId w:val="24"/>
      </w:numPr>
      <w:spacing w:before="0"/>
    </w:pPr>
  </w:style>
  <w:style w:type="paragraph" w:customStyle="1" w:styleId="DoubleDot">
    <w:name w:val="Double Dot"/>
    <w:basedOn w:val="Normal"/>
    <w:link w:val="DoubleDotChar"/>
    <w:uiPriority w:val="99"/>
    <w:qFormat/>
    <w:rsid w:val="000438D7"/>
    <w:pPr>
      <w:numPr>
        <w:ilvl w:val="2"/>
        <w:numId w:val="24"/>
      </w:numPr>
      <w:spacing w:before="0"/>
    </w:pPr>
  </w:style>
  <w:style w:type="paragraph" w:customStyle="1" w:styleId="TableMainHeading">
    <w:name w:val="Table Main Heading"/>
    <w:basedOn w:val="Heading3"/>
    <w:next w:val="Normal"/>
    <w:rsid w:val="000438D7"/>
    <w:pPr>
      <w:spacing w:before="120"/>
    </w:pPr>
    <w:rPr>
      <w:b w:val="0"/>
      <w:sz w:val="26"/>
    </w:rPr>
  </w:style>
  <w:style w:type="paragraph" w:customStyle="1" w:styleId="FooterEven">
    <w:name w:val="Footer Even"/>
    <w:basedOn w:val="Footer"/>
    <w:rsid w:val="000438D7"/>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438D7"/>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0438D7"/>
    <w:rPr>
      <w:color w:val="3A6FAF"/>
      <w:u w:val="none"/>
    </w:rPr>
  </w:style>
  <w:style w:type="paragraph" w:customStyle="1" w:styleId="OutlineNumbered1">
    <w:name w:val="Outline Numbered 1"/>
    <w:basedOn w:val="Normal"/>
    <w:rsid w:val="000438D7"/>
    <w:pPr>
      <w:numPr>
        <w:numId w:val="12"/>
      </w:numPr>
      <w:spacing w:before="0"/>
    </w:pPr>
  </w:style>
  <w:style w:type="paragraph" w:customStyle="1" w:styleId="OutlineNumbered2">
    <w:name w:val="Outline Numbered 2"/>
    <w:basedOn w:val="Normal"/>
    <w:rsid w:val="000438D7"/>
    <w:pPr>
      <w:numPr>
        <w:ilvl w:val="1"/>
        <w:numId w:val="12"/>
      </w:numPr>
      <w:spacing w:before="0"/>
    </w:pPr>
  </w:style>
  <w:style w:type="paragraph" w:customStyle="1" w:styleId="OutlineNumbered3">
    <w:name w:val="Outline Numbered 3"/>
    <w:basedOn w:val="Normal"/>
    <w:rsid w:val="000438D7"/>
    <w:pPr>
      <w:numPr>
        <w:ilvl w:val="2"/>
        <w:numId w:val="12"/>
      </w:numPr>
      <w:spacing w:before="0"/>
    </w:pPr>
  </w:style>
  <w:style w:type="paragraph" w:customStyle="1" w:styleId="SingleParagraph">
    <w:name w:val="Single Paragraph"/>
    <w:basedOn w:val="Normal"/>
    <w:next w:val="Normal"/>
    <w:link w:val="SingleParagraphChar"/>
    <w:rsid w:val="000438D7"/>
    <w:pPr>
      <w:spacing w:before="0" w:after="0"/>
    </w:pPr>
  </w:style>
  <w:style w:type="paragraph" w:customStyle="1" w:styleId="TableSecondHeading">
    <w:name w:val="Table Second Heading"/>
    <w:basedOn w:val="Normal"/>
    <w:next w:val="Normal"/>
    <w:rsid w:val="000438D7"/>
    <w:pPr>
      <w:keepNext/>
      <w:spacing w:before="0" w:after="20"/>
    </w:pPr>
    <w:rPr>
      <w:b/>
      <w:color w:val="004A7F"/>
    </w:rPr>
  </w:style>
  <w:style w:type="paragraph" w:customStyle="1" w:styleId="TableColumnHeadingCentred">
    <w:name w:val="Table Column Heading Centred"/>
    <w:basedOn w:val="TableTextLeft"/>
    <w:rsid w:val="000438D7"/>
    <w:pPr>
      <w:jc w:val="center"/>
    </w:pPr>
    <w:rPr>
      <w:b/>
      <w:color w:val="2C384A" w:themeColor="accent1"/>
      <w:sz w:val="20"/>
    </w:rPr>
  </w:style>
  <w:style w:type="paragraph" w:customStyle="1" w:styleId="TableColumnHeadingLeft">
    <w:name w:val="Table Column Heading Left"/>
    <w:basedOn w:val="TableTextLeft"/>
    <w:rsid w:val="000438D7"/>
    <w:rPr>
      <w:b/>
      <w:color w:val="2C384A" w:themeColor="accent1"/>
      <w:sz w:val="20"/>
    </w:rPr>
  </w:style>
  <w:style w:type="paragraph" w:customStyle="1" w:styleId="TableColumnHeadingRight">
    <w:name w:val="Table Column Heading Right"/>
    <w:basedOn w:val="TableTextLeft"/>
    <w:rsid w:val="000438D7"/>
    <w:pPr>
      <w:jc w:val="right"/>
    </w:pPr>
    <w:rPr>
      <w:b/>
      <w:color w:val="2C384A" w:themeColor="accent1"/>
      <w:sz w:val="20"/>
    </w:rPr>
  </w:style>
  <w:style w:type="table" w:styleId="TableGrid">
    <w:name w:val="Table Grid"/>
    <w:basedOn w:val="TableNormal"/>
    <w:rsid w:val="000438D7"/>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0438D7"/>
    <w:pPr>
      <w:jc w:val="center"/>
    </w:pPr>
  </w:style>
  <w:style w:type="paragraph" w:customStyle="1" w:styleId="TableTextLeft">
    <w:name w:val="Table Text Left"/>
    <w:basedOn w:val="TableTextRight"/>
    <w:rsid w:val="000438D7"/>
    <w:pPr>
      <w:jc w:val="left"/>
    </w:pPr>
  </w:style>
  <w:style w:type="paragraph" w:customStyle="1" w:styleId="TableTextRight">
    <w:name w:val="Table Text Right"/>
    <w:basedOn w:val="Normal"/>
    <w:rsid w:val="000438D7"/>
    <w:pPr>
      <w:spacing w:before="40" w:after="40"/>
      <w:jc w:val="right"/>
    </w:pPr>
    <w:rPr>
      <w:color w:val="000000"/>
      <w:sz w:val="18"/>
    </w:rPr>
  </w:style>
  <w:style w:type="paragraph" w:styleId="TOC1">
    <w:name w:val="toc 1"/>
    <w:basedOn w:val="Normal"/>
    <w:next w:val="Normal"/>
    <w:uiPriority w:val="39"/>
    <w:rsid w:val="000438D7"/>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0438D7"/>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0438D7"/>
    <w:pPr>
      <w:tabs>
        <w:tab w:val="right" w:leader="dot" w:pos="9072"/>
      </w:tabs>
      <w:spacing w:before="20" w:after="0"/>
      <w:ind w:left="284" w:right="-2"/>
    </w:pPr>
    <w:rPr>
      <w:rFonts w:cs="Calibri"/>
      <w:noProof/>
    </w:rPr>
  </w:style>
  <w:style w:type="numbering" w:customStyle="1" w:styleId="OutlineList">
    <w:name w:val="OutlineList"/>
    <w:uiPriority w:val="99"/>
    <w:rsid w:val="000438D7"/>
    <w:pPr>
      <w:numPr>
        <w:numId w:val="4"/>
      </w:numPr>
    </w:pPr>
  </w:style>
  <w:style w:type="numbering" w:customStyle="1" w:styleId="BulletedList">
    <w:name w:val="Bulleted List"/>
    <w:uiPriority w:val="99"/>
    <w:rsid w:val="000438D7"/>
    <w:pPr>
      <w:numPr>
        <w:numId w:val="1"/>
      </w:numPr>
    </w:pPr>
  </w:style>
  <w:style w:type="numbering" w:customStyle="1" w:styleId="BoxBulletedList">
    <w:name w:val="Box Bulleted List"/>
    <w:uiPriority w:val="99"/>
    <w:rsid w:val="000438D7"/>
    <w:pPr>
      <w:numPr>
        <w:numId w:val="2"/>
      </w:numPr>
    </w:pPr>
  </w:style>
  <w:style w:type="numbering" w:customStyle="1" w:styleId="OneLevelList">
    <w:name w:val="OneLevelList"/>
    <w:uiPriority w:val="99"/>
    <w:rsid w:val="000438D7"/>
    <w:pPr>
      <w:numPr>
        <w:numId w:val="3"/>
      </w:numPr>
    </w:pPr>
  </w:style>
  <w:style w:type="numbering" w:customStyle="1" w:styleId="ChartandTableFootnoteAlphaList">
    <w:name w:val="ChartandTableFootnoteAlphaList"/>
    <w:uiPriority w:val="99"/>
    <w:rsid w:val="000438D7"/>
    <w:pPr>
      <w:numPr>
        <w:numId w:val="17"/>
      </w:numPr>
    </w:pPr>
  </w:style>
  <w:style w:type="paragraph" w:customStyle="1" w:styleId="Heading1Numbered">
    <w:name w:val="Heading 1 Numbered"/>
    <w:basedOn w:val="Heading1"/>
    <w:next w:val="Normal"/>
    <w:rsid w:val="000438D7"/>
    <w:pPr>
      <w:numPr>
        <w:numId w:val="8"/>
      </w:numPr>
    </w:pPr>
  </w:style>
  <w:style w:type="character" w:customStyle="1" w:styleId="SingleParagraphChar">
    <w:name w:val="Single Paragraph Char"/>
    <w:basedOn w:val="DefaultParagraphFont"/>
    <w:link w:val="SingleParagraph"/>
    <w:rsid w:val="000438D7"/>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0438D7"/>
    <w:pPr>
      <w:numPr>
        <w:ilvl w:val="1"/>
        <w:numId w:val="8"/>
      </w:numPr>
      <w:ind w:left="284" w:hanging="284"/>
    </w:pPr>
  </w:style>
  <w:style w:type="paragraph" w:customStyle="1" w:styleId="Heading3Numbered">
    <w:name w:val="Heading 3 Numbered"/>
    <w:basedOn w:val="Heading3"/>
    <w:rsid w:val="000438D7"/>
    <w:pPr>
      <w:numPr>
        <w:ilvl w:val="2"/>
        <w:numId w:val="8"/>
      </w:numPr>
      <w:ind w:left="284" w:hanging="284"/>
    </w:pPr>
  </w:style>
  <w:style w:type="paragraph" w:styleId="Title">
    <w:name w:val="Title"/>
    <w:basedOn w:val="Normal"/>
    <w:next w:val="Normal"/>
    <w:link w:val="TitleChar"/>
    <w:uiPriority w:val="10"/>
    <w:rsid w:val="000438D7"/>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438D7"/>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0438D7"/>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438D7"/>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0438D7"/>
    <w:rPr>
      <w:i/>
      <w:iCs/>
      <w:color w:val="808080" w:themeColor="text1" w:themeTint="7F"/>
    </w:rPr>
  </w:style>
  <w:style w:type="paragraph" w:styleId="Footer">
    <w:name w:val="footer"/>
    <w:basedOn w:val="Normal"/>
    <w:link w:val="FooterChar"/>
    <w:unhideWhenUsed/>
    <w:rsid w:val="000438D7"/>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438D7"/>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0438D7"/>
    <w:pPr>
      <w:keepNext/>
      <w:spacing w:before="0" w:after="0"/>
      <w:jc w:val="right"/>
    </w:pPr>
    <w:rPr>
      <w:color w:val="004A7F"/>
      <w:sz w:val="20"/>
    </w:rPr>
  </w:style>
  <w:style w:type="character" w:customStyle="1" w:styleId="HeaderChar">
    <w:name w:val="Header Char"/>
    <w:basedOn w:val="DefaultParagraphFont"/>
    <w:link w:val="Header"/>
    <w:uiPriority w:val="99"/>
    <w:rsid w:val="000438D7"/>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0438D7"/>
    <w:rPr>
      <w:color w:val="808080"/>
    </w:rPr>
  </w:style>
  <w:style w:type="paragraph" w:customStyle="1" w:styleId="AppendixHeading">
    <w:name w:val="Appendix Heading"/>
    <w:basedOn w:val="Heading1"/>
    <w:next w:val="Normal"/>
    <w:rsid w:val="000438D7"/>
  </w:style>
  <w:style w:type="paragraph" w:customStyle="1" w:styleId="HeadingBase">
    <w:name w:val="Heading Base"/>
    <w:rsid w:val="000438D7"/>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438D7"/>
    <w:rPr>
      <w:rFonts w:ascii="Calibri Light" w:eastAsia="Times New Roman" w:hAnsi="Calibri Light" w:cs="Times New Roman"/>
      <w:color w:val="EEEEEE" w:themeColor="background2"/>
      <w:sz w:val="32"/>
      <w:szCs w:val="20"/>
      <w:lang w:eastAsia="en-AU"/>
    </w:rPr>
  </w:style>
  <w:style w:type="paragraph" w:customStyle="1" w:styleId="NotesHeading">
    <w:name w:val="Notes Heading"/>
    <w:basedOn w:val="Normal"/>
    <w:rsid w:val="000438D7"/>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0438D7"/>
    <w:pPr>
      <w:ind w:left="720"/>
      <w:contextualSpacing/>
    </w:pPr>
  </w:style>
  <w:style w:type="paragraph" w:customStyle="1" w:styleId="TableTextIndented">
    <w:name w:val="Table Text Indented"/>
    <w:basedOn w:val="TableTextLeft"/>
    <w:rsid w:val="000438D7"/>
    <w:pPr>
      <w:ind w:left="284"/>
    </w:pPr>
  </w:style>
  <w:style w:type="paragraph" w:customStyle="1" w:styleId="TableHeadingContinued">
    <w:name w:val="Table Heading Continued"/>
    <w:basedOn w:val="TableMainHeading"/>
    <w:next w:val="TableGraphic"/>
    <w:rsid w:val="000438D7"/>
  </w:style>
  <w:style w:type="paragraph" w:customStyle="1" w:styleId="TableGraphic">
    <w:name w:val="Table Graphic"/>
    <w:basedOn w:val="HeadingBase"/>
    <w:next w:val="Normal"/>
    <w:rsid w:val="000438D7"/>
    <w:pPr>
      <w:spacing w:after="0"/>
    </w:pPr>
  </w:style>
  <w:style w:type="paragraph" w:customStyle="1" w:styleId="HeaderEven">
    <w:name w:val="Header Even"/>
    <w:basedOn w:val="Header"/>
    <w:qFormat/>
    <w:rsid w:val="000438D7"/>
    <w:pPr>
      <w:jc w:val="left"/>
    </w:pPr>
    <w:rPr>
      <w:color w:val="002C47"/>
    </w:rPr>
  </w:style>
  <w:style w:type="paragraph" w:customStyle="1" w:styleId="HeaderOdd">
    <w:name w:val="Header Odd"/>
    <w:basedOn w:val="Header"/>
    <w:qFormat/>
    <w:rsid w:val="000438D7"/>
    <w:rPr>
      <w:color w:val="002C47"/>
    </w:rPr>
  </w:style>
  <w:style w:type="paragraph" w:styleId="FootnoteText">
    <w:name w:val="footnote text"/>
    <w:basedOn w:val="Normal"/>
    <w:link w:val="FootnoteTextChar"/>
    <w:uiPriority w:val="99"/>
    <w:rsid w:val="00F57D27"/>
    <w:pPr>
      <w:spacing w:before="0" w:after="0"/>
      <w:ind w:left="397" w:hanging="397"/>
    </w:pPr>
    <w:rPr>
      <w:sz w:val="20"/>
    </w:rPr>
  </w:style>
  <w:style w:type="character" w:customStyle="1" w:styleId="FootnoteTextChar">
    <w:name w:val="Footnote Text Char"/>
    <w:basedOn w:val="DefaultParagraphFont"/>
    <w:link w:val="FootnoteText"/>
    <w:uiPriority w:val="99"/>
    <w:rsid w:val="00F57D27"/>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0438D7"/>
    <w:rPr>
      <w:sz w:val="18"/>
    </w:rPr>
  </w:style>
  <w:style w:type="paragraph" w:styleId="BalloonText">
    <w:name w:val="Balloon Text"/>
    <w:basedOn w:val="Normal"/>
    <w:link w:val="BalloonTextChar"/>
    <w:uiPriority w:val="99"/>
    <w:semiHidden/>
    <w:unhideWhenUsed/>
    <w:rsid w:val="000438D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D7"/>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0438D7"/>
    <w:rPr>
      <w:rFonts w:ascii="Calibri Light" w:eastAsia="Times New Roman" w:hAnsi="Calibri Light" w:cs="Times New Roman"/>
      <w:szCs w:val="20"/>
      <w:lang w:eastAsia="en-AU"/>
    </w:rPr>
  </w:style>
  <w:style w:type="paragraph" w:customStyle="1" w:styleId="Boxbullet">
    <w:name w:val="Box bullet"/>
    <w:basedOn w:val="Bullet"/>
    <w:rsid w:val="000438D7"/>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0438D7"/>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0438D7"/>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0438D7"/>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0438D7"/>
    <w:rPr>
      <w:sz w:val="16"/>
      <w:szCs w:val="16"/>
    </w:rPr>
  </w:style>
  <w:style w:type="paragraph" w:styleId="CommentText">
    <w:name w:val="annotation text"/>
    <w:basedOn w:val="Normal"/>
    <w:link w:val="CommentTextChar"/>
    <w:uiPriority w:val="99"/>
    <w:unhideWhenUsed/>
    <w:rsid w:val="000438D7"/>
    <w:rPr>
      <w:rFonts w:ascii="Calibri" w:hAnsi="Calibri"/>
      <w:sz w:val="20"/>
    </w:rPr>
  </w:style>
  <w:style w:type="character" w:customStyle="1" w:styleId="CommentTextChar">
    <w:name w:val="Comment Text Char"/>
    <w:basedOn w:val="DefaultParagraphFont"/>
    <w:link w:val="CommentText"/>
    <w:uiPriority w:val="99"/>
    <w:rsid w:val="000438D7"/>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0438D7"/>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0438D7"/>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0438D7"/>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0438D7"/>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0438D7"/>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0438D7"/>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0438D7"/>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0438D7"/>
    <w:rPr>
      <w:rFonts w:ascii="Calibri" w:eastAsia="Times New Roman" w:hAnsi="Calibri" w:cs="Calibri"/>
      <w:b/>
      <w:color w:val="FF0000"/>
      <w:sz w:val="24"/>
      <w:szCs w:val="20"/>
      <w:lang w:eastAsia="en-AU"/>
    </w:rPr>
  </w:style>
  <w:style w:type="character" w:customStyle="1" w:styleId="ui-provider">
    <w:name w:val="ui-provider"/>
    <w:basedOn w:val="DefaultParagraphFont"/>
    <w:rsid w:val="000438D7"/>
  </w:style>
  <w:style w:type="character" w:styleId="Strong">
    <w:name w:val="Strong"/>
    <w:basedOn w:val="DefaultParagraphFont"/>
    <w:uiPriority w:val="22"/>
    <w:qFormat/>
    <w:rsid w:val="00FB0248"/>
    <w:rPr>
      <w:b/>
      <w:bCs/>
    </w:rPr>
  </w:style>
  <w:style w:type="character" w:styleId="Mention">
    <w:name w:val="Mention"/>
    <w:basedOn w:val="DefaultParagraphFont"/>
    <w:uiPriority w:val="99"/>
    <w:unhideWhenUsed/>
    <w:rsid w:val="00FB0248"/>
    <w:rPr>
      <w:color w:val="2B579A"/>
      <w:shd w:val="clear" w:color="auto" w:fill="E1DFDD"/>
    </w:rPr>
  </w:style>
  <w:style w:type="paragraph" w:styleId="Revision">
    <w:name w:val="Revision"/>
    <w:hidden/>
    <w:uiPriority w:val="99"/>
    <w:semiHidden/>
    <w:rsid w:val="00426F3B"/>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306101"/>
    <w:rPr>
      <w:rFonts w:ascii="Calibri Light" w:hAnsi="Calibri Light"/>
      <w:b/>
      <w:bCs/>
    </w:rPr>
  </w:style>
  <w:style w:type="character" w:customStyle="1" w:styleId="CommentSubjectChar">
    <w:name w:val="Comment Subject Char"/>
    <w:basedOn w:val="CommentTextChar"/>
    <w:link w:val="CommentSubject"/>
    <w:uiPriority w:val="99"/>
    <w:semiHidden/>
    <w:rsid w:val="00306101"/>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306101"/>
    <w:rPr>
      <w:color w:val="605E5C"/>
      <w:shd w:val="clear" w:color="auto" w:fill="E1DFDD"/>
    </w:rPr>
  </w:style>
  <w:style w:type="character" w:styleId="Emphasis">
    <w:name w:val="Emphasis"/>
    <w:basedOn w:val="DefaultParagraphFont"/>
    <w:uiPriority w:val="20"/>
    <w:rsid w:val="008C59DB"/>
    <w:rPr>
      <w:i/>
      <w:iCs/>
    </w:rPr>
  </w:style>
  <w:style w:type="character" w:styleId="FollowedHyperlink">
    <w:name w:val="FollowedHyperlink"/>
    <w:basedOn w:val="DefaultParagraphFont"/>
    <w:uiPriority w:val="99"/>
    <w:semiHidden/>
    <w:unhideWhenUsed/>
    <w:rsid w:val="005F40BB"/>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6529057">
      <w:bodyDiv w:val="1"/>
      <w:marLeft w:val="0"/>
      <w:marRight w:val="0"/>
      <w:marTop w:val="0"/>
      <w:marBottom w:val="0"/>
      <w:divBdr>
        <w:top w:val="none" w:sz="0" w:space="0" w:color="auto"/>
        <w:left w:val="none" w:sz="0" w:space="0" w:color="auto"/>
        <w:bottom w:val="none" w:sz="0" w:space="0" w:color="auto"/>
        <w:right w:val="none" w:sz="0" w:space="0" w:color="auto"/>
      </w:divBdr>
    </w:div>
    <w:div w:id="1229657756">
      <w:bodyDiv w:val="1"/>
      <w:marLeft w:val="0"/>
      <w:marRight w:val="0"/>
      <w:marTop w:val="0"/>
      <w:marBottom w:val="0"/>
      <w:divBdr>
        <w:top w:val="none" w:sz="0" w:space="0" w:color="auto"/>
        <w:left w:val="none" w:sz="0" w:space="0" w:color="auto"/>
        <w:bottom w:val="none" w:sz="0" w:space="0" w:color="auto"/>
        <w:right w:val="none" w:sz="0" w:space="0" w:color="auto"/>
      </w:divBdr>
    </w:div>
    <w:div w:id="1286622085">
      <w:bodyDiv w:val="1"/>
      <w:marLeft w:val="0"/>
      <w:marRight w:val="0"/>
      <w:marTop w:val="0"/>
      <w:marBottom w:val="0"/>
      <w:divBdr>
        <w:top w:val="none" w:sz="0" w:space="0" w:color="auto"/>
        <w:left w:val="none" w:sz="0" w:space="0" w:color="auto"/>
        <w:bottom w:val="none" w:sz="0" w:space="0" w:color="auto"/>
        <w:right w:val="none" w:sz="0" w:space="0" w:color="auto"/>
      </w:divBdr>
    </w:div>
    <w:div w:id="1308391333">
      <w:bodyDiv w:val="1"/>
      <w:marLeft w:val="0"/>
      <w:marRight w:val="0"/>
      <w:marTop w:val="0"/>
      <w:marBottom w:val="0"/>
      <w:divBdr>
        <w:top w:val="none" w:sz="0" w:space="0" w:color="auto"/>
        <w:left w:val="none" w:sz="0" w:space="0" w:color="auto"/>
        <w:bottom w:val="none" w:sz="0" w:space="0" w:color="auto"/>
        <w:right w:val="none" w:sz="0" w:space="0" w:color="auto"/>
      </w:divBdr>
    </w:div>
    <w:div w:id="1341005405">
      <w:bodyDiv w:val="1"/>
      <w:marLeft w:val="0"/>
      <w:marRight w:val="0"/>
      <w:marTop w:val="0"/>
      <w:marBottom w:val="0"/>
      <w:divBdr>
        <w:top w:val="none" w:sz="0" w:space="0" w:color="auto"/>
        <w:left w:val="none" w:sz="0" w:space="0" w:color="auto"/>
        <w:bottom w:val="none" w:sz="0" w:space="0" w:color="auto"/>
        <w:right w:val="none" w:sz="0" w:space="0" w:color="auto"/>
      </w:divBdr>
    </w:div>
    <w:div w:id="1920402109">
      <w:bodyDiv w:val="1"/>
      <w:marLeft w:val="0"/>
      <w:marRight w:val="0"/>
      <w:marTop w:val="0"/>
      <w:marBottom w:val="0"/>
      <w:divBdr>
        <w:top w:val="none" w:sz="0" w:space="0" w:color="auto"/>
        <w:left w:val="none" w:sz="0" w:space="0" w:color="auto"/>
        <w:bottom w:val="none" w:sz="0" w:space="0" w:color="auto"/>
        <w:right w:val="none" w:sz="0" w:space="0" w:color="auto"/>
      </w:divBdr>
    </w:div>
    <w:div w:id="2069181699">
      <w:bodyDiv w:val="1"/>
      <w:marLeft w:val="0"/>
      <w:marRight w:val="0"/>
      <w:marTop w:val="0"/>
      <w:marBottom w:val="0"/>
      <w:divBdr>
        <w:top w:val="none" w:sz="0" w:space="0" w:color="auto"/>
        <w:left w:val="none" w:sz="0" w:space="0" w:color="auto"/>
        <w:bottom w:val="none" w:sz="0" w:space="0" w:color="auto"/>
        <w:right w:val="none" w:sz="0" w:space="0" w:color="auto"/>
      </w:divBdr>
    </w:div>
    <w:div w:id="21451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yperlink" Target="http://creativecommons.org/licenses/by/3.0/au/deed.en"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pmc.gov.au/honours-and-symbols/commonwealth-coat-arm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legalcode"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evaluation.treasury.gov.au/publications/ace-training-capability-strategy" TargetMode="External"/><Relationship Id="rId1" Type="http://schemas.openxmlformats.org/officeDocument/2006/relationships/hyperlink" Target="https://www.pmc.gov.au/resources/independent-review-australianpublic-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e26180-e248-4ecc-94a5-a5f213b4f79f">
      <Terms xmlns="http://schemas.microsoft.com/office/infopath/2007/PartnerControls"/>
    </lcf76f155ced4ddcb4097134ff3c332f>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de4f175d-a0ea-42db-8e9c-ca57922e8174</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Project xmlns="ff38c824-6e29-4496-8487-69f397e7ed29" xsi:nil="true"/>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TaxCatchAll xmlns="ff38c824-6e29-4496-8487-69f397e7ed29">
      <Value>21</Value>
      <Value>136</Value>
      <Value>1</Value>
      <Value>161</Value>
    </TaxCatchAll>
    <e86e82ff9e1e4f7b977a4f8bd8c1e85d xmlns="ff38c824-6e29-4496-8487-69f397e7ed29">
      <Terms xmlns="http://schemas.microsoft.com/office/infopath/2007/PartnerControls"/>
    </e86e82ff9e1e4f7b977a4f8bd8c1e85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ACE establishment</TermName>
          <TermId xmlns="http://schemas.microsoft.com/office/infopath/2007/PartnerControls">b497200d-7309-4a3e-b134-41bc6ac850c3</TermId>
        </TermInfo>
      </Terms>
    </gfba5f33532c49208d2320ce38cc3c2b>
    <_dlc_DocId xmlns="fe39d773-a83d-4623-ae74-f25711a76616">EHVMRRYKTSDQ-1025656216-4309</_dlc_DocId>
    <_dlc_DocIdUrl xmlns="fe39d773-a83d-4623-ae74-f25711a76616">
      <Url>https://austreasury.sharepoint.com/sites/eval-function/_layouts/15/DocIdRedir.aspx?ID=EHVMRRYKTSDQ-1025656216-4309</Url>
      <Description>EHVMRRYKTSDQ-1025656216-4309</Description>
    </_dlc_DocIdUrl>
    <TSY_ModifiedByDivision xmlns="ff38c824-6e29-4496-8487-69f397e7ed29">Macroeconomic Group - Macroeconomic Analysis and Policy Division</TSY_ModifiedByDivision>
    <TSY_CreatedByDivision xmlns="ff38c824-6e29-4496-8487-69f397e7ed29">Macroeconomic Group - Macroeconomic Analysis and Policy Division</TSY_CreatedByDivi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05CAD088D8DC4FA1E45F332CC6A8AB" ma:contentTypeVersion="20" ma:contentTypeDescription="Create a new document." ma:contentTypeScope="" ma:versionID="85e63dd56e4516532de093a7920619ca">
  <xsd:schema xmlns:xsd="http://www.w3.org/2001/XMLSchema" xmlns:xs="http://www.w3.org/2001/XMLSchema" xmlns:p="http://schemas.microsoft.com/office/2006/metadata/properties" xmlns:ns2="ff38c824-6e29-4496-8487-69f397e7ed29" xmlns:ns3="fe39d773-a83d-4623-ae74-f25711a76616" xmlns:ns4="1de26180-e248-4ecc-94a5-a5f213b4f79f" targetNamespace="http://schemas.microsoft.com/office/2006/metadata/properties" ma:root="true" ma:fieldsID="15883de897b3bddc7da31f86628e278a" ns2:_="" ns3:_="" ns4:_="">
    <xsd:import namespace="ff38c824-6e29-4496-8487-69f397e7ed29"/>
    <xsd:import namespace="fe39d773-a83d-4623-ae74-f25711a76616"/>
    <xsd:import namespace="1de26180-e248-4ecc-94a5-a5f213b4f79f"/>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SearchProperties" minOccurs="0"/>
                <xsd:element ref="ns4:MediaServiceObjectDetectorVersions" minOccurs="0"/>
                <xsd:element ref="ns2:e86e82ff9e1e4f7b977a4f8bd8c1e85d" minOccurs="0"/>
                <xsd:element ref="ns2:Project"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e86e82ff9e1e4f7b977a4f8bd8c1e85d" ma:index="28" nillable="true" ma:taxonomy="true" ma:internalName="e86e82ff9e1e4f7b977a4f8bd8c1e85d" ma:taxonomyFieldName="Engagement" ma:displayName="Engagement" ma:default="" ma:fieldId="{e86e82ff-9e1e-4f7b-977a-4f8bd8c1e85d}"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Project" ma:index="29" nillable="true" ma:displayName="Project" ma:internalName="Project">
      <xsd:complexType>
        <xsd:complexContent>
          <xsd:extension base="dms:MultiChoice">
            <xsd:sequence>
              <xsd:element name="Value" maxOccurs="unbounded" minOccurs="0" nillable="true">
                <xsd:simpleType>
                  <xsd:restriction base="dms:Choice">
                    <xsd:enumeration value="Digital Services Review"/>
                    <xsd:enumeration value="PBAS"/>
                    <xsd:enumeration value="Time online"/>
                    <xsd:enumeration value="CSVP"/>
                    <xsd:enumeration value="NDIS SLES blended payments"/>
                    <xsd:enumeration value="HIPPY"/>
                    <xsd:enumeration value="Paid Parental Leave"/>
                    <xsd:enumeration value="Frequent Hospital Users"/>
                    <xsd:enumeration value="Bowel Cancer Screening"/>
                    <xsd:enumeration value="Urgent Care Clinics"/>
                    <xsd:enumeration value="ATO payment reminders"/>
                    <xsd:enumeration value="AI Co-pilot"/>
                    <xsd:enumeration value="PIR - Offshore Banking Units"/>
                    <xsd:enumeration value="PIR - AEMO powers and functions"/>
                    <xsd:enumeration value="PIR - Franchising code of conduct"/>
                    <xsd:enumeration value="PIR - CPTPP"/>
                    <xsd:enumeration value="ABS Job Vacancy Survey"/>
                    <xsd:enumeration value="ATO Late Lodgers and GPP"/>
                    <xsd:enumeration value="IE training - RFQ0080-23"/>
                    <xsd:enumeration value="IE training - RFQ0069-23"/>
                    <xsd:enumeration value="Ethics HREC - RFQ0055-23"/>
                    <xsd:enumeration value="Apprenticeships (BAC and CAC)"/>
                    <xsd:enumeration value="Impact Evaluation Practitioners Network"/>
                    <xsd:enumeration value="Treasury Enterprise Evaluation Strategy"/>
                    <xsd:enumeration value="ACE Strategy"/>
                    <xsd:enumeration value="Evaluation Profession"/>
                    <xsd:enumeration value="State of Evaluation project"/>
                    <xsd:enumeration value="State of Evaluation report"/>
                    <xsd:enumeration value="Toolkit review"/>
                    <xsd:enumeration value="Indigenous evaluation content"/>
                    <xsd:enumeration value="Commonwealth Evaluation Maturity Model"/>
                    <xsd:enumeration value="Evaluation and evidence in NPPs"/>
                    <xsd:enumeration value="CRF Round 1"/>
                    <xsd:enumeration value="CRF Round 2"/>
                    <xsd:enumeration value="Expanded e-learning suite"/>
                    <xsd:enumeration value="Good practice guides"/>
                    <xsd:enumeration value="ACNC RCT"/>
                    <xsd:enumeration value="Superannuation Work Test"/>
                    <xsd:enumeration value="General Quasi-Experimental"/>
                    <xsd:enumeration value="Medicare Levy Surcharge"/>
                    <xsd:enumeration value="Paul Ramsey Foundation"/>
                    <xsd:enumeration value="DataLab project proposal"/>
                    <xsd:enumeration value="PAPs and Preregistrations"/>
                    <xsd:enumeration value="RCT Showcase Report"/>
                    <xsd:enumeration value="Stewardship"/>
                    <xsd:enumeration value="Home Affairs – expired visas"/>
                    <xsd:enumeration value="Generating RCT leads"/>
                    <xsd:enumeration value="Vaping"/>
                    <xsd:enumeration value="Cost recovery"/>
                    <xsd:enumeration value="NEIS"/>
                    <xsd:enumeration value="Healthy MaTE"/>
                    <xsd:enumeration value="Simplified Trade System"/>
                  </xsd:restriction>
                </xsd:simpleType>
              </xsd:element>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e26180-e248-4ecc-94a5-a5f213b4f79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2.xml><?xml version="1.0" encoding="utf-8"?>
<ds:datastoreItem xmlns:ds="http://schemas.openxmlformats.org/officeDocument/2006/customXml" ds:itemID="{E35457F1-40E9-4015-AB79-86A6428F07DF}">
  <ds:schemaRefs>
    <ds:schemaRef ds:uri="http://schemas.microsoft.com/sharepoint/v3/contenttype/forms"/>
  </ds:schemaRefs>
</ds:datastoreItem>
</file>

<file path=customXml/itemProps3.xml><?xml version="1.0" encoding="utf-8"?>
<ds:datastoreItem xmlns:ds="http://schemas.openxmlformats.org/officeDocument/2006/customXml" ds:itemID="{5AE7DCEF-566F-4F49-923F-9CF1DFD7C541}">
  <ds:schemaRefs>
    <ds:schemaRef ds:uri="http://schemas.microsoft.com/sharepoint/events"/>
  </ds:schemaRefs>
</ds:datastoreItem>
</file>

<file path=customXml/itemProps4.xml><?xml version="1.0" encoding="utf-8"?>
<ds:datastoreItem xmlns:ds="http://schemas.openxmlformats.org/officeDocument/2006/customXml" ds:itemID="{BDBBC9CD-0306-4D2B-B9B2-D0C0542BFFDF}">
  <ds:schemaRefs>
    <ds:schemaRef ds:uri="1de26180-e248-4ecc-94a5-a5f213b4f79f"/>
    <ds:schemaRef ds:uri="http://schemas.microsoft.com/office/infopath/2007/PartnerControls"/>
    <ds:schemaRef ds:uri="ff38c824-6e29-4496-8487-69f397e7ed29"/>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fe39d773-a83d-4623-ae74-f25711a76616"/>
    <ds:schemaRef ds:uri="http://www.w3.org/XML/1998/namespace"/>
    <ds:schemaRef ds:uri="http://purl.org/dc/terms/"/>
  </ds:schemaRefs>
</ds:datastoreItem>
</file>

<file path=customXml/itemProps5.xml><?xml version="1.0" encoding="utf-8"?>
<ds:datastoreItem xmlns:ds="http://schemas.openxmlformats.org/officeDocument/2006/customXml" ds:itemID="{474DEA18-4046-498D-A3EA-5CAF28B0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1de26180-e248-4ecc-94a5-a5f213b4f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10</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Strengthening Evaluation in the Australian Government</vt:lpstr>
    </vt:vector>
  </TitlesOfParts>
  <Company/>
  <LinksUpToDate>false</LinksUpToDate>
  <CharactersWithSpaces>22064</CharactersWithSpaces>
  <SharedDoc>false</SharedDoc>
  <HLinks>
    <vt:vector size="132" baseType="variant">
      <vt:variant>
        <vt:i4>1638452</vt:i4>
      </vt:variant>
      <vt:variant>
        <vt:i4>101</vt:i4>
      </vt:variant>
      <vt:variant>
        <vt:i4>0</vt:i4>
      </vt:variant>
      <vt:variant>
        <vt:i4>5</vt:i4>
      </vt:variant>
      <vt:variant>
        <vt:lpwstr/>
      </vt:variant>
      <vt:variant>
        <vt:lpwstr>_Toc211837408</vt:lpwstr>
      </vt:variant>
      <vt:variant>
        <vt:i4>1638452</vt:i4>
      </vt:variant>
      <vt:variant>
        <vt:i4>95</vt:i4>
      </vt:variant>
      <vt:variant>
        <vt:i4>0</vt:i4>
      </vt:variant>
      <vt:variant>
        <vt:i4>5</vt:i4>
      </vt:variant>
      <vt:variant>
        <vt:lpwstr/>
      </vt:variant>
      <vt:variant>
        <vt:lpwstr>_Toc211837407</vt:lpwstr>
      </vt:variant>
      <vt:variant>
        <vt:i4>1638452</vt:i4>
      </vt:variant>
      <vt:variant>
        <vt:i4>89</vt:i4>
      </vt:variant>
      <vt:variant>
        <vt:i4>0</vt:i4>
      </vt:variant>
      <vt:variant>
        <vt:i4>5</vt:i4>
      </vt:variant>
      <vt:variant>
        <vt:lpwstr/>
      </vt:variant>
      <vt:variant>
        <vt:lpwstr>_Toc211837406</vt:lpwstr>
      </vt:variant>
      <vt:variant>
        <vt:i4>1638452</vt:i4>
      </vt:variant>
      <vt:variant>
        <vt:i4>83</vt:i4>
      </vt:variant>
      <vt:variant>
        <vt:i4>0</vt:i4>
      </vt:variant>
      <vt:variant>
        <vt:i4>5</vt:i4>
      </vt:variant>
      <vt:variant>
        <vt:lpwstr/>
      </vt:variant>
      <vt:variant>
        <vt:lpwstr>_Toc211837405</vt:lpwstr>
      </vt:variant>
      <vt:variant>
        <vt:i4>1638452</vt:i4>
      </vt:variant>
      <vt:variant>
        <vt:i4>77</vt:i4>
      </vt:variant>
      <vt:variant>
        <vt:i4>0</vt:i4>
      </vt:variant>
      <vt:variant>
        <vt:i4>5</vt:i4>
      </vt:variant>
      <vt:variant>
        <vt:lpwstr/>
      </vt:variant>
      <vt:variant>
        <vt:lpwstr>_Toc211837404</vt:lpwstr>
      </vt:variant>
      <vt:variant>
        <vt:i4>1638452</vt:i4>
      </vt:variant>
      <vt:variant>
        <vt:i4>71</vt:i4>
      </vt:variant>
      <vt:variant>
        <vt:i4>0</vt:i4>
      </vt:variant>
      <vt:variant>
        <vt:i4>5</vt:i4>
      </vt:variant>
      <vt:variant>
        <vt:lpwstr/>
      </vt:variant>
      <vt:variant>
        <vt:lpwstr>_Toc211837403</vt:lpwstr>
      </vt:variant>
      <vt:variant>
        <vt:i4>1638452</vt:i4>
      </vt:variant>
      <vt:variant>
        <vt:i4>65</vt:i4>
      </vt:variant>
      <vt:variant>
        <vt:i4>0</vt:i4>
      </vt:variant>
      <vt:variant>
        <vt:i4>5</vt:i4>
      </vt:variant>
      <vt:variant>
        <vt:lpwstr/>
      </vt:variant>
      <vt:variant>
        <vt:lpwstr>_Toc211837402</vt:lpwstr>
      </vt:variant>
      <vt:variant>
        <vt:i4>1638452</vt:i4>
      </vt:variant>
      <vt:variant>
        <vt:i4>59</vt:i4>
      </vt:variant>
      <vt:variant>
        <vt:i4>0</vt:i4>
      </vt:variant>
      <vt:variant>
        <vt:i4>5</vt:i4>
      </vt:variant>
      <vt:variant>
        <vt:lpwstr/>
      </vt:variant>
      <vt:variant>
        <vt:lpwstr>_Toc211837401</vt:lpwstr>
      </vt:variant>
      <vt:variant>
        <vt:i4>1638452</vt:i4>
      </vt:variant>
      <vt:variant>
        <vt:i4>53</vt:i4>
      </vt:variant>
      <vt:variant>
        <vt:i4>0</vt:i4>
      </vt:variant>
      <vt:variant>
        <vt:i4>5</vt:i4>
      </vt:variant>
      <vt:variant>
        <vt:lpwstr/>
      </vt:variant>
      <vt:variant>
        <vt:lpwstr>_Toc211837400</vt:lpwstr>
      </vt:variant>
      <vt:variant>
        <vt:i4>1048627</vt:i4>
      </vt:variant>
      <vt:variant>
        <vt:i4>47</vt:i4>
      </vt:variant>
      <vt:variant>
        <vt:i4>0</vt:i4>
      </vt:variant>
      <vt:variant>
        <vt:i4>5</vt:i4>
      </vt:variant>
      <vt:variant>
        <vt:lpwstr/>
      </vt:variant>
      <vt:variant>
        <vt:lpwstr>_Toc211837399</vt:lpwstr>
      </vt:variant>
      <vt:variant>
        <vt:i4>1048627</vt:i4>
      </vt:variant>
      <vt:variant>
        <vt:i4>41</vt:i4>
      </vt:variant>
      <vt:variant>
        <vt:i4>0</vt:i4>
      </vt:variant>
      <vt:variant>
        <vt:i4>5</vt:i4>
      </vt:variant>
      <vt:variant>
        <vt:lpwstr/>
      </vt:variant>
      <vt:variant>
        <vt:lpwstr>_Toc211837398</vt:lpwstr>
      </vt:variant>
      <vt:variant>
        <vt:i4>1048627</vt:i4>
      </vt:variant>
      <vt:variant>
        <vt:i4>35</vt:i4>
      </vt:variant>
      <vt:variant>
        <vt:i4>0</vt:i4>
      </vt:variant>
      <vt:variant>
        <vt:i4>5</vt:i4>
      </vt:variant>
      <vt:variant>
        <vt:lpwstr/>
      </vt:variant>
      <vt:variant>
        <vt:lpwstr>_Toc211837397</vt:lpwstr>
      </vt:variant>
      <vt:variant>
        <vt:i4>1048627</vt:i4>
      </vt:variant>
      <vt:variant>
        <vt:i4>29</vt:i4>
      </vt:variant>
      <vt:variant>
        <vt:i4>0</vt:i4>
      </vt:variant>
      <vt:variant>
        <vt:i4>5</vt:i4>
      </vt:variant>
      <vt:variant>
        <vt:lpwstr/>
      </vt:variant>
      <vt:variant>
        <vt:lpwstr>_Toc211837396</vt:lpwstr>
      </vt:variant>
      <vt:variant>
        <vt:i4>1048627</vt:i4>
      </vt:variant>
      <vt:variant>
        <vt:i4>23</vt:i4>
      </vt:variant>
      <vt:variant>
        <vt:i4>0</vt:i4>
      </vt:variant>
      <vt:variant>
        <vt:i4>5</vt:i4>
      </vt:variant>
      <vt:variant>
        <vt:lpwstr/>
      </vt:variant>
      <vt:variant>
        <vt:lpwstr>_Toc211837395</vt:lpwstr>
      </vt:variant>
      <vt:variant>
        <vt:i4>1048627</vt:i4>
      </vt:variant>
      <vt:variant>
        <vt:i4>17</vt:i4>
      </vt:variant>
      <vt:variant>
        <vt:i4>0</vt:i4>
      </vt:variant>
      <vt:variant>
        <vt:i4>5</vt:i4>
      </vt:variant>
      <vt:variant>
        <vt:lpwstr/>
      </vt:variant>
      <vt:variant>
        <vt:lpwstr>_Toc211837394</vt:lpwstr>
      </vt:variant>
      <vt:variant>
        <vt:i4>5111827</vt:i4>
      </vt:variant>
      <vt:variant>
        <vt:i4>12</vt:i4>
      </vt:variant>
      <vt:variant>
        <vt:i4>0</vt:i4>
      </vt:variant>
      <vt:variant>
        <vt:i4>5</vt:i4>
      </vt:variant>
      <vt:variant>
        <vt:lpwstr>http://creativecommons.org/licenses/by/3.0/au/deed.en</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4390913</vt:i4>
      </vt:variant>
      <vt:variant>
        <vt:i4>3</vt:i4>
      </vt:variant>
      <vt:variant>
        <vt:i4>0</vt:i4>
      </vt:variant>
      <vt:variant>
        <vt:i4>5</vt:i4>
      </vt:variant>
      <vt:variant>
        <vt:lpwstr>https://evaluation.treasury.gov.au/publications/ace-training-capability-strategy</vt:lpwstr>
      </vt:variant>
      <vt:variant>
        <vt:lpwstr/>
      </vt:variant>
      <vt:variant>
        <vt:i4>5505118</vt:i4>
      </vt:variant>
      <vt:variant>
        <vt:i4>0</vt:i4>
      </vt:variant>
      <vt:variant>
        <vt:i4>0</vt:i4>
      </vt:variant>
      <vt:variant>
        <vt:i4>5</vt:i4>
      </vt:variant>
      <vt:variant>
        <vt:lpwstr>https://www.pmc.gov.au/resources/independent-review-australian-public-service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Evaluation in the Australian Government</dc:title>
  <dc:subject>Action Plan 2026–2030</dc:subject>
  <dc:creator>Australian Centre for Evaluation</dc:creator>
  <cp:keywords/>
  <cp:revision>95</cp:revision>
  <cp:lastPrinted>2025-12-18T05:30:00Z</cp:lastPrinted>
  <dcterms:created xsi:type="dcterms:W3CDTF">2025-10-14T22:20:00Z</dcterms:created>
  <dcterms:modified xsi:type="dcterms:W3CDTF">2026-01-06T05:42:00Z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
  </property>
  <property fmtid="{D5CDD505-2E9C-101B-9397-08002B2CF9AE}" pid="3" name="DLMSecurityClassification">
    <vt:lpwstr/>
  </property>
  <property fmtid="{D5CDD505-2E9C-101B-9397-08002B2CF9AE}" pid="4" name="TSYStatus">
    <vt:lpwstr/>
  </property>
  <property fmtid="{D5CDD505-2E9C-101B-9397-08002B2CF9AE}" pid="5" name="Status">
    <vt:lpwstr/>
  </property>
  <property fmtid="{D5CDD505-2E9C-101B-9397-08002B2CF9AE}" pid="6" name="eTheme">
    <vt:lpwstr>1;#Economy|7a4a2744-a3bd-4e68-a6bf-4196b2d69a24</vt:lpwstr>
  </property>
  <property fmtid="{D5CDD505-2E9C-101B-9397-08002B2CF9AE}" pid="7" name="eDocumentType">
    <vt:lpwstr>161;#Template|35e84e62-3a26-4caf-a0d0-f6c17aaffba5</vt:lpwstr>
  </property>
  <property fmtid="{D5CDD505-2E9C-101B-9397-08002B2CF9AE}" pid="8" name="eTopic">
    <vt:lpwstr>21;#ACE establishment|b497200d-7309-4a3e-b134-41bc6ac850c3</vt:lpwstr>
  </property>
  <property fmtid="{D5CDD505-2E9C-101B-9397-08002B2CF9AE}" pid="9" name="eActivity">
    <vt:lpwstr>136;#Stakeholder engagement|de4f175d-a0ea-42db-8e9c-ca57922e8174</vt:lpwstr>
  </property>
  <property fmtid="{D5CDD505-2E9C-101B-9397-08002B2CF9AE}" pid="10" name="Engagement">
    <vt:lpwstr/>
  </property>
  <property fmtid="{D5CDD505-2E9C-101B-9397-08002B2CF9AE}" pid="11" name="ClassificationContentMarkingHeaderShapeIds">
    <vt:lpwstr>23753b07,29e2e261,10f54b9f,d8609f8,58145c94,2d0d2649</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77372705,43a068f1,51f54be4,62f854b,21015de7,559184b9</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ediaServiceImageTags">
    <vt:lpwstr/>
  </property>
  <property fmtid="{D5CDD505-2E9C-101B-9397-08002B2CF9AE}" pid="18" name="ContentTypeId">
    <vt:lpwstr>0x010100A305CAD088D8DC4FA1E45F332CC6A8AB</vt:lpwstr>
  </property>
  <property fmtid="{D5CDD505-2E9C-101B-9397-08002B2CF9AE}" pid="19" name="docLang">
    <vt:lpwstr>en</vt:lpwstr>
  </property>
  <property fmtid="{D5CDD505-2E9C-101B-9397-08002B2CF9AE}" pid="20" name="MSIP_Label_c111c204-3025-4293-a668-517002c3f023_Enabled">
    <vt:lpwstr>true</vt:lpwstr>
  </property>
  <property fmtid="{D5CDD505-2E9C-101B-9397-08002B2CF9AE}" pid="21" name="MSIP_Label_c111c204-3025-4293-a668-517002c3f023_SetDate">
    <vt:lpwstr>2025-09-10T01:53:15Z</vt:lpwstr>
  </property>
  <property fmtid="{D5CDD505-2E9C-101B-9397-08002B2CF9AE}" pid="22" name="MSIP_Label_c111c204-3025-4293-a668-517002c3f023_Method">
    <vt:lpwstr>Privileged</vt:lpwstr>
  </property>
  <property fmtid="{D5CDD505-2E9C-101B-9397-08002B2CF9AE}" pid="23" name="MSIP_Label_c111c204-3025-4293-a668-517002c3f023_Name">
    <vt:lpwstr>OFFICIAL</vt:lpwstr>
  </property>
  <property fmtid="{D5CDD505-2E9C-101B-9397-08002B2CF9AE}" pid="24" name="MSIP_Label_c111c204-3025-4293-a668-517002c3f023_SiteId">
    <vt:lpwstr>8e823e99-cbcb-430f-a0f6-af1365c21e22</vt:lpwstr>
  </property>
  <property fmtid="{D5CDD505-2E9C-101B-9397-08002B2CF9AE}" pid="25" name="MSIP_Label_c111c204-3025-4293-a668-517002c3f023_ActionId">
    <vt:lpwstr>c4a8dfe3-1d43-4a4a-aa0b-b980f1234194</vt:lpwstr>
  </property>
  <property fmtid="{D5CDD505-2E9C-101B-9397-08002B2CF9AE}" pid="26" name="MSIP_Label_c111c204-3025-4293-a668-517002c3f023_ContentBits">
    <vt:lpwstr>3</vt:lpwstr>
  </property>
  <property fmtid="{D5CDD505-2E9C-101B-9397-08002B2CF9AE}" pid="27" name="TaxKeyword">
    <vt:lpwstr/>
  </property>
  <property fmtid="{D5CDD505-2E9C-101B-9397-08002B2CF9AE}" pid="28" name="InformationMarker">
    <vt:lpwstr/>
  </property>
  <property fmtid="{D5CDD505-2E9C-101B-9397-08002B2CF9AE}" pid="29" name="Stratus_WorkActivity">
    <vt:lpwstr/>
  </property>
  <property fmtid="{D5CDD505-2E9C-101B-9397-08002B2CF9AE}" pid="30" name="Stratus_DocumentType">
    <vt:lpwstr>35;#Report|48effc76-1fc0-4a04-a22f-09c13f277e05</vt:lpwstr>
  </property>
  <property fmtid="{D5CDD505-2E9C-101B-9397-08002B2CF9AE}" pid="31" name="Stratus_Year">
    <vt:lpwstr/>
  </property>
  <property fmtid="{D5CDD505-2E9C-101B-9397-08002B2CF9AE}" pid="32" name="Stratus_SecurityClassification">
    <vt:lpwstr>19;#OFFICIAL:Sensitive|92ecd0c5-78b3-45d0-8fcd-907c8033822d</vt:lpwstr>
  </property>
  <property fmtid="{D5CDD505-2E9C-101B-9397-08002B2CF9AE}" pid="33" name="Stratus_Section">
    <vt:lpwstr>8;#Evaluation Unit|cb758922-58fc-464f-b672-fedf29662ac0</vt:lpwstr>
  </property>
  <property fmtid="{D5CDD505-2E9C-101B-9397-08002B2CF9AE}" pid="34" name="MSIP_Label_c8e5a7ee-c283-40b0-98eb-fa437df4c031_Enabled">
    <vt:lpwstr>true</vt:lpwstr>
  </property>
  <property fmtid="{D5CDD505-2E9C-101B-9397-08002B2CF9AE}" pid="35" name="MSIP_Label_c8e5a7ee-c283-40b0-98eb-fa437df4c031_SetDate">
    <vt:lpwstr>2025-09-16T07:09:57Z</vt:lpwstr>
  </property>
  <property fmtid="{D5CDD505-2E9C-101B-9397-08002B2CF9AE}" pid="36" name="MSIP_Label_c8e5a7ee-c283-40b0-98eb-fa437df4c031_Method">
    <vt:lpwstr>Privileged</vt:lpwstr>
  </property>
  <property fmtid="{D5CDD505-2E9C-101B-9397-08002B2CF9AE}" pid="37" name="MSIP_Label_c8e5a7ee-c283-40b0-98eb-fa437df4c031_Name">
    <vt:lpwstr>OFFICIAL</vt:lpwstr>
  </property>
  <property fmtid="{D5CDD505-2E9C-101B-9397-08002B2CF9AE}" pid="38" name="MSIP_Label_c8e5a7ee-c283-40b0-98eb-fa437df4c031_SiteId">
    <vt:lpwstr>34cdb737-c4fa-4c21-9a34-88ac2d721f88</vt:lpwstr>
  </property>
  <property fmtid="{D5CDD505-2E9C-101B-9397-08002B2CF9AE}" pid="39" name="MSIP_Label_c8e5a7ee-c283-40b0-98eb-fa437df4c031_ActionId">
    <vt:lpwstr>33a4106b-91fc-4a0f-a3e4-5649cabf9f30</vt:lpwstr>
  </property>
  <property fmtid="{D5CDD505-2E9C-101B-9397-08002B2CF9AE}" pid="40" name="MSIP_Label_c8e5a7ee-c283-40b0-98eb-fa437df4c031_ContentBits">
    <vt:lpwstr>0</vt:lpwstr>
  </property>
  <property fmtid="{D5CDD505-2E9C-101B-9397-08002B2CF9AE}" pid="41" name="MSIP_Label_c8e5a7ee-c283-40b0-98eb-fa437df4c031_Tag">
    <vt:lpwstr>10, 0, 1, 1</vt:lpwstr>
  </property>
  <property fmtid="{D5CDD505-2E9C-101B-9397-08002B2CF9AE}" pid="42" name="_dlc_DocIdItemGuid">
    <vt:lpwstr>abb725cf-1d27-44c3-a248-eea5de1ecc77</vt:lpwstr>
  </property>
  <property fmtid="{D5CDD505-2E9C-101B-9397-08002B2CF9AE}" pid="43" name="MSIP_Label_4f932d64-9ab1-4d9b-81d2-a3a8b82dd47d_Enabled">
    <vt:lpwstr>true</vt:lpwstr>
  </property>
  <property fmtid="{D5CDD505-2E9C-101B-9397-08002B2CF9AE}" pid="44" name="MSIP_Label_4f932d64-9ab1-4d9b-81d2-a3a8b82dd47d_SetDate">
    <vt:lpwstr>2025-12-18T05:15:17Z</vt:lpwstr>
  </property>
  <property fmtid="{D5CDD505-2E9C-101B-9397-08002B2CF9AE}" pid="45" name="MSIP_Label_4f932d64-9ab1-4d9b-81d2-a3a8b82dd47d_Method">
    <vt:lpwstr>Privileged</vt:lpwstr>
  </property>
  <property fmtid="{D5CDD505-2E9C-101B-9397-08002B2CF9AE}" pid="46" name="MSIP_Label_4f932d64-9ab1-4d9b-81d2-a3a8b82dd47d_Name">
    <vt:lpwstr>OFFICIAL No Visual Marking</vt:lpwstr>
  </property>
  <property fmtid="{D5CDD505-2E9C-101B-9397-08002B2CF9AE}" pid="47" name="MSIP_Label_4f932d64-9ab1-4d9b-81d2-a3a8b82dd47d_SiteId">
    <vt:lpwstr>214f1646-2021-47cc-8397-e3d3a7ba7d9d</vt:lpwstr>
  </property>
  <property fmtid="{D5CDD505-2E9C-101B-9397-08002B2CF9AE}" pid="48" name="MSIP_Label_4f932d64-9ab1-4d9b-81d2-a3a8b82dd47d_ActionId">
    <vt:lpwstr>bab75772-4d09-4f6a-96ca-895757bb2c5c</vt:lpwstr>
  </property>
  <property fmtid="{D5CDD505-2E9C-101B-9397-08002B2CF9AE}" pid="49" name="MSIP_Label_4f932d64-9ab1-4d9b-81d2-a3a8b82dd47d_ContentBits">
    <vt:lpwstr>0</vt:lpwstr>
  </property>
  <property fmtid="{D5CDD505-2E9C-101B-9397-08002B2CF9AE}" pid="50" name="MSIP_Label_4f932d64-9ab1-4d9b-81d2-a3a8b82dd47d_Tag">
    <vt:lpwstr>10, 0, 1, 1</vt:lpwstr>
  </property>
</Properties>
</file>