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CDE1" w14:textId="7C9F6E51" w:rsidR="00986A46" w:rsidRPr="006E76BE" w:rsidRDefault="007679C7" w:rsidP="00812864">
      <w:pPr>
        <w:pStyle w:val="Factsheettitle"/>
      </w:pPr>
      <w:r>
        <w:t xml:space="preserve">Commonwealth Evaluation Maturity </w:t>
      </w:r>
      <w:r w:rsidR="00B4462E">
        <w:t xml:space="preserve">Model – </w:t>
      </w:r>
      <w:r w:rsidR="00FA0076">
        <w:t>Glossary</w:t>
      </w:r>
      <w:r w:rsidR="00CF0F28">
        <w:t xml:space="preserve"> and FAQs</w:t>
      </w:r>
    </w:p>
    <w:p w14:paraId="0FAADBC8" w14:textId="2CE1722D" w:rsidR="00507398" w:rsidRDefault="004146E6" w:rsidP="005E211A">
      <w:pPr>
        <w:pStyle w:val="Heading1"/>
      </w:pPr>
      <w:r>
        <w:t>Glossary</w:t>
      </w:r>
    </w:p>
    <w:p w14:paraId="379CC112" w14:textId="048E7387" w:rsidR="00D25352" w:rsidRDefault="00625F26" w:rsidP="004146E6">
      <w:r>
        <w:t xml:space="preserve">This glossary provides definitions </w:t>
      </w:r>
      <w:r w:rsidR="00F94392">
        <w:t>and descriptions of specific terms used in the</w:t>
      </w:r>
      <w:r w:rsidR="00D01BDF">
        <w:t xml:space="preserve"> </w:t>
      </w:r>
      <w:r w:rsidR="00F94392">
        <w:t>Commonwealth</w:t>
      </w:r>
      <w:r w:rsidR="00D01BDF">
        <w:t> </w:t>
      </w:r>
      <w:r w:rsidR="00F94392">
        <w:t xml:space="preserve">Evaluation Maturity Model assessment </w:t>
      </w:r>
      <w:r w:rsidR="00D25352">
        <w:t>tool</w:t>
      </w:r>
      <w:r w:rsidR="00F94392">
        <w:t xml:space="preserve">. </w:t>
      </w:r>
    </w:p>
    <w:p w14:paraId="50F6BEC2" w14:textId="5401FE92" w:rsidR="005C0401" w:rsidRDefault="004E3DEF" w:rsidP="004146E6">
      <w:r>
        <w:t>Some definitions provide links to specific resources, including resources and content</w:t>
      </w:r>
      <w:r w:rsidR="006E4742">
        <w:t xml:space="preserve"> </w:t>
      </w:r>
      <w:r>
        <w:t>within</w:t>
      </w:r>
      <w:r w:rsidR="006E4742">
        <w:t xml:space="preserve"> </w:t>
      </w:r>
      <w:r>
        <w:t>the</w:t>
      </w:r>
      <w:r w:rsidR="006E4742">
        <w:t xml:space="preserve"> </w:t>
      </w:r>
      <w:r>
        <w:t xml:space="preserve">Australian Centre for Evaluation’s toolkit. </w:t>
      </w:r>
    </w:p>
    <w:p w14:paraId="201B0635" w14:textId="77777777" w:rsidR="008B23C6" w:rsidRDefault="008B23C6" w:rsidP="008B23C6">
      <w:pPr>
        <w:pStyle w:val="NoSpacing"/>
      </w:pPr>
    </w:p>
    <w:tbl>
      <w:tblPr>
        <w:tblStyle w:val="GridTable2-Accent2"/>
        <w:tblW w:w="5000" w:type="pct"/>
        <w:tblLook w:val="04A0" w:firstRow="1" w:lastRow="0" w:firstColumn="1" w:lastColumn="0" w:noHBand="0" w:noVBand="1"/>
      </w:tblPr>
      <w:tblGrid>
        <w:gridCol w:w="1701"/>
        <w:gridCol w:w="6803"/>
      </w:tblGrid>
      <w:tr w:rsidR="004146E6" w14:paraId="232A3F9D" w14:textId="77777777" w:rsidTr="00D954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EEEEEE" w:themeFill="background2"/>
          </w:tcPr>
          <w:p w14:paraId="7033ACD2" w14:textId="6F465A8E" w:rsidR="004146E6" w:rsidRPr="007E5A27" w:rsidRDefault="0052338B" w:rsidP="000C5383">
            <w:pPr>
              <w:pStyle w:val="Tableheading"/>
              <w:jc w:val="left"/>
              <w:rPr>
                <w:b/>
                <w:bCs w:val="0"/>
              </w:rPr>
            </w:pPr>
            <w:r w:rsidRPr="007E5A27">
              <w:rPr>
                <w:b/>
                <w:bCs w:val="0"/>
              </w:rPr>
              <w:t>Term</w:t>
            </w:r>
          </w:p>
        </w:tc>
        <w:tc>
          <w:tcPr>
            <w:tcW w:w="6803" w:type="dxa"/>
            <w:shd w:val="clear" w:color="auto" w:fill="EEEEEE" w:themeFill="background2"/>
          </w:tcPr>
          <w:p w14:paraId="0979DD44" w14:textId="445AFA82" w:rsidR="004146E6" w:rsidRPr="007E5A27" w:rsidRDefault="0052338B" w:rsidP="000C5383">
            <w:pPr>
              <w:pStyle w:val="Tableheading"/>
              <w:jc w:val="left"/>
              <w:cnfStyle w:val="100000000000" w:firstRow="1" w:lastRow="0" w:firstColumn="0" w:lastColumn="0" w:oddVBand="0" w:evenVBand="0" w:oddHBand="0" w:evenHBand="0" w:firstRowFirstColumn="0" w:firstRowLastColumn="0" w:lastRowFirstColumn="0" w:lastRowLastColumn="0"/>
              <w:rPr>
                <w:b/>
                <w:bCs w:val="0"/>
              </w:rPr>
            </w:pPr>
            <w:r w:rsidRPr="007E5A27">
              <w:rPr>
                <w:b/>
                <w:bCs w:val="0"/>
              </w:rPr>
              <w:t xml:space="preserve">Definition </w:t>
            </w:r>
          </w:p>
        </w:tc>
      </w:tr>
      <w:tr w:rsidR="00854F94" w14:paraId="77300D78" w14:textId="77777777" w:rsidTr="00D95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C6443B5" w14:textId="2AE2B418" w:rsidR="00854F94" w:rsidRDefault="00854F94" w:rsidP="00D9541D">
            <w:pPr>
              <w:pStyle w:val="Tabletext0"/>
            </w:pPr>
            <w:r>
              <w:t>Authorising environment</w:t>
            </w:r>
          </w:p>
        </w:tc>
        <w:tc>
          <w:tcPr>
            <w:tcW w:w="6803" w:type="dxa"/>
          </w:tcPr>
          <w:p w14:paraId="0D86607B" w14:textId="51A3289C" w:rsidR="00854F94" w:rsidRPr="00323CDF" w:rsidRDefault="00D309C2" w:rsidP="00D9541D">
            <w:pPr>
              <w:pStyle w:val="Tabletext0"/>
              <w:cnfStyle w:val="000000100000" w:firstRow="0" w:lastRow="0" w:firstColumn="0" w:lastColumn="0" w:oddVBand="0" w:evenVBand="0" w:oddHBand="1" w:evenHBand="0" w:firstRowFirstColumn="0" w:firstRowLastColumn="0" w:lastRowFirstColumn="0" w:lastRowLastColumn="0"/>
            </w:pPr>
            <w:r>
              <w:t>T</w:t>
            </w:r>
            <w:r w:rsidR="006A6D71" w:rsidRPr="006A6D71">
              <w:t xml:space="preserve">he set of formal and informal factors that grant authority to </w:t>
            </w:r>
            <w:r>
              <w:t>public sector organisations</w:t>
            </w:r>
            <w:r w:rsidR="006A6D71" w:rsidRPr="006A6D71">
              <w:t xml:space="preserve"> to carry out its functions</w:t>
            </w:r>
            <w:r w:rsidR="00641A74">
              <w:t xml:space="preserve">. </w:t>
            </w:r>
            <w:r w:rsidR="00641A74" w:rsidRPr="00641A74">
              <w:t>It includes formal powers like legislatio</w:t>
            </w:r>
            <w:r w:rsidR="00D86C41">
              <w:t>n, budget approvals and a range of delegations</w:t>
            </w:r>
            <w:r w:rsidR="00641A74" w:rsidRPr="00641A74">
              <w:t>, alongside informal elements such as</w:t>
            </w:r>
            <w:r w:rsidR="00641A74">
              <w:t xml:space="preserve"> key</w:t>
            </w:r>
            <w:r w:rsidR="00641A74" w:rsidRPr="00641A74">
              <w:t xml:space="preserve"> stakeholder support.</w:t>
            </w:r>
          </w:p>
        </w:tc>
      </w:tr>
      <w:tr w:rsidR="00BC7231" w14:paraId="1A944163" w14:textId="77777777" w:rsidTr="00D9541D">
        <w:tc>
          <w:tcPr>
            <w:cnfStyle w:val="001000000000" w:firstRow="0" w:lastRow="0" w:firstColumn="1" w:lastColumn="0" w:oddVBand="0" w:evenVBand="0" w:oddHBand="0" w:evenHBand="0" w:firstRowFirstColumn="0" w:firstRowLastColumn="0" w:lastRowFirstColumn="0" w:lastRowLastColumn="0"/>
            <w:tcW w:w="1701" w:type="dxa"/>
          </w:tcPr>
          <w:p w14:paraId="3EA87460" w14:textId="27ABBA11" w:rsidR="00BC7231" w:rsidRDefault="00BC7231" w:rsidP="00D9541D">
            <w:pPr>
              <w:pStyle w:val="Tabletext0"/>
            </w:pPr>
            <w:r>
              <w:t>Commonwealth performance planning</w:t>
            </w:r>
          </w:p>
        </w:tc>
        <w:tc>
          <w:tcPr>
            <w:tcW w:w="6803" w:type="dxa"/>
          </w:tcPr>
          <w:p w14:paraId="5F855ED7" w14:textId="020DF10D" w:rsidR="00BC7231" w:rsidRPr="00DC5B05" w:rsidRDefault="00BC7231" w:rsidP="00D9541D">
            <w:pPr>
              <w:pStyle w:val="Tabletext0"/>
              <w:cnfStyle w:val="000000000000" w:firstRow="0" w:lastRow="0" w:firstColumn="0" w:lastColumn="0" w:oddVBand="0" w:evenVBand="0" w:oddHBand="0" w:evenHBand="0" w:firstRowFirstColumn="0" w:firstRowLastColumn="0" w:lastRowFirstColumn="0" w:lastRowLastColumn="0"/>
            </w:pPr>
            <w:r w:rsidRPr="00323CDF">
              <w:t xml:space="preserve">Commonwealth entities and companies must prepare </w:t>
            </w:r>
            <w:hyperlink r:id="rId7" w:history="1">
              <w:r w:rsidRPr="00E54278">
                <w:rPr>
                  <w:rStyle w:val="Hyperlink"/>
                </w:rPr>
                <w:t>corporate plans</w:t>
              </w:r>
            </w:hyperlink>
            <w:r w:rsidRPr="00323CDF">
              <w:t xml:space="preserve"> each financial year.</w:t>
            </w:r>
            <w:r>
              <w:t xml:space="preserve"> Evaluation can be included in the corporate plan under the capability section.</w:t>
            </w:r>
          </w:p>
        </w:tc>
      </w:tr>
      <w:tr w:rsidR="00032529" w14:paraId="11B4690A" w14:textId="77777777" w:rsidTr="00D95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3186459" w14:textId="26CC2521" w:rsidR="00032529" w:rsidRDefault="00032529" w:rsidP="00D9541D">
            <w:pPr>
              <w:pStyle w:val="Tabletext0"/>
            </w:pPr>
            <w:r>
              <w:t>Cultural safety</w:t>
            </w:r>
          </w:p>
        </w:tc>
        <w:tc>
          <w:tcPr>
            <w:tcW w:w="6803" w:type="dxa"/>
          </w:tcPr>
          <w:p w14:paraId="49CE7D94" w14:textId="091F0D11" w:rsidR="005C0401" w:rsidRPr="005C0401" w:rsidRDefault="00560778" w:rsidP="00D9541D">
            <w:pPr>
              <w:pStyle w:val="Tabletext0"/>
              <w:cnfStyle w:val="000000100000" w:firstRow="0" w:lastRow="0" w:firstColumn="0" w:lastColumn="0" w:oddVBand="0" w:evenVBand="0" w:oddHBand="1" w:evenHBand="0" w:firstRowFirstColumn="0" w:firstRowLastColumn="0" w:lastRowFirstColumn="0" w:lastRowLastColumn="0"/>
            </w:pPr>
            <w:hyperlink r:id="rId8" w:history="1">
              <w:r w:rsidRPr="00560778">
                <w:rPr>
                  <w:rStyle w:val="Hyperlink"/>
                </w:rPr>
                <w:t>Cultural safety</w:t>
              </w:r>
            </w:hyperlink>
            <w:r w:rsidRPr="00560778">
              <w:t xml:space="preserve"> is when </w:t>
            </w:r>
            <w:r w:rsidR="006A0926">
              <w:t>Aboriginal and Torres Strait Islander peoples’</w:t>
            </w:r>
            <w:r w:rsidRPr="00560778">
              <w:t xml:space="preserve"> cultural identity is respected and they feel valued, safe and trusted. First Nations people </w:t>
            </w:r>
            <w:r w:rsidR="007469D6">
              <w:t>determine</w:t>
            </w:r>
            <w:r w:rsidRPr="00560778">
              <w:t xml:space="preserve"> what cultural safety looks like for them.</w:t>
            </w:r>
            <w:r w:rsidR="00C73908" w:rsidRPr="005C0401">
              <w:rPr>
                <w:rStyle w:val="FootnoteReference"/>
              </w:rPr>
              <w:t xml:space="preserve"> </w:t>
            </w:r>
          </w:p>
        </w:tc>
      </w:tr>
      <w:tr w:rsidR="00BC7231" w14:paraId="3ACCDCE0" w14:textId="77777777" w:rsidTr="00D9541D">
        <w:tc>
          <w:tcPr>
            <w:cnfStyle w:val="001000000000" w:firstRow="0" w:lastRow="0" w:firstColumn="1" w:lastColumn="0" w:oddVBand="0" w:evenVBand="0" w:oddHBand="0" w:evenHBand="0" w:firstRowFirstColumn="0" w:firstRowLastColumn="0" w:lastRowFirstColumn="0" w:lastRowLastColumn="0"/>
            <w:tcW w:w="1701" w:type="dxa"/>
          </w:tcPr>
          <w:p w14:paraId="449D404A" w14:textId="3D22341A" w:rsidR="00BC7231" w:rsidRDefault="00BC7231" w:rsidP="00D9541D">
            <w:pPr>
              <w:pStyle w:val="Tabletext0"/>
            </w:pPr>
            <w:r>
              <w:t>Data systems</w:t>
            </w:r>
          </w:p>
        </w:tc>
        <w:tc>
          <w:tcPr>
            <w:tcW w:w="6803" w:type="dxa"/>
          </w:tcPr>
          <w:p w14:paraId="5FB8421B" w14:textId="6435A66E" w:rsidR="00BC7231" w:rsidRPr="00DC5B05" w:rsidRDefault="00BC7231" w:rsidP="00D9541D">
            <w:pPr>
              <w:pStyle w:val="Tabletext0"/>
              <w:cnfStyle w:val="000000000000" w:firstRow="0" w:lastRow="0" w:firstColumn="0" w:lastColumn="0" w:oddVBand="0" w:evenVBand="0" w:oddHBand="0" w:evenHBand="0" w:firstRowFirstColumn="0" w:firstRowLastColumn="0" w:lastRowFirstColumn="0" w:lastRowLastColumn="0"/>
            </w:pPr>
            <w:r>
              <w:t xml:space="preserve">In this context, data systems refer to either administrative data or central data repositories set up to monitor specific policies, programs or services. The Australian Centre for Evaluation has recently published a guide to </w:t>
            </w:r>
            <w:hyperlink r:id="rId9" w:history="1">
              <w:r w:rsidRPr="009C5797">
                <w:rPr>
                  <w:rStyle w:val="Hyperlink"/>
                </w:rPr>
                <w:t>Government administrative data sources for evaluation in Australia</w:t>
              </w:r>
            </w:hyperlink>
            <w:r>
              <w:t>.</w:t>
            </w:r>
          </w:p>
        </w:tc>
      </w:tr>
      <w:tr w:rsidR="00032529" w14:paraId="7D1063C7" w14:textId="77777777" w:rsidTr="00D95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2138EA4" w14:textId="2D96399C" w:rsidR="00032529" w:rsidRDefault="00032529" w:rsidP="00D9541D">
            <w:pPr>
              <w:pStyle w:val="Tabletext0"/>
            </w:pPr>
            <w:r>
              <w:t>Evaluation framework</w:t>
            </w:r>
          </w:p>
        </w:tc>
        <w:tc>
          <w:tcPr>
            <w:tcW w:w="6803" w:type="dxa"/>
          </w:tcPr>
          <w:p w14:paraId="772CE16C" w14:textId="7CD61EAA" w:rsidR="00032529" w:rsidRPr="00AB604A" w:rsidRDefault="00032529" w:rsidP="00D9541D">
            <w:pPr>
              <w:pStyle w:val="Tabletext0"/>
              <w:cnfStyle w:val="000000100000" w:firstRow="0" w:lastRow="0" w:firstColumn="0" w:lastColumn="0" w:oddVBand="0" w:evenVBand="0" w:oddHBand="1" w:evenHBand="0" w:firstRowFirstColumn="0" w:firstRowLastColumn="0" w:lastRowFirstColumn="0" w:lastRowLastColumn="0"/>
            </w:pPr>
            <w:r w:rsidRPr="00AB604A">
              <w:t>An evaluation framework (sometimes called a Monitoring, Evaluation and Learning</w:t>
            </w:r>
            <w:r w:rsidR="009C2C25">
              <w:t> </w:t>
            </w:r>
            <w:r w:rsidR="00FF5C1B">
              <w:t>f</w:t>
            </w:r>
            <w:r w:rsidRPr="00AB604A">
              <w:t>ramework) supports the implementation of an evaluation.</w:t>
            </w:r>
          </w:p>
          <w:p w14:paraId="73541E04" w14:textId="0FD0DE94" w:rsidR="00032529" w:rsidRPr="00DC5B05" w:rsidRDefault="00032529" w:rsidP="00D9541D">
            <w:pPr>
              <w:pStyle w:val="Tabletext0"/>
              <w:cnfStyle w:val="000000100000" w:firstRow="0" w:lastRow="0" w:firstColumn="0" w:lastColumn="0" w:oddVBand="0" w:evenVBand="0" w:oddHBand="1" w:evenHBand="0" w:firstRowFirstColumn="0" w:firstRowLastColumn="0" w:lastRowFirstColumn="0" w:lastRowLastColumn="0"/>
            </w:pPr>
            <w:r w:rsidRPr="00AB604A">
              <w:t>The scope may include an evaluation of a specific program; connected programs across an agency; a connected group of programs delivered across one or more jurisdictions; or a suite of connected programs delivered within a particular cultural or social context.</w:t>
            </w:r>
          </w:p>
        </w:tc>
      </w:tr>
      <w:tr w:rsidR="00032529" w14:paraId="5897D341" w14:textId="77777777" w:rsidTr="00D9541D">
        <w:tc>
          <w:tcPr>
            <w:cnfStyle w:val="001000000000" w:firstRow="0" w:lastRow="0" w:firstColumn="1" w:lastColumn="0" w:oddVBand="0" w:evenVBand="0" w:oddHBand="0" w:evenHBand="0" w:firstRowFirstColumn="0" w:firstRowLastColumn="0" w:lastRowFirstColumn="0" w:lastRowLastColumn="0"/>
            <w:tcW w:w="1701" w:type="dxa"/>
          </w:tcPr>
          <w:p w14:paraId="71F89003" w14:textId="699783F0" w:rsidR="00032529" w:rsidRDefault="00032529" w:rsidP="00702E60">
            <w:pPr>
              <w:pStyle w:val="Tabletext0"/>
              <w:keepNext/>
            </w:pPr>
            <w:r w:rsidRPr="00702E60">
              <w:lastRenderedPageBreak/>
              <w:t>Evaluation</w:t>
            </w:r>
            <w:r>
              <w:t xml:space="preserve"> strategy</w:t>
            </w:r>
          </w:p>
        </w:tc>
        <w:tc>
          <w:tcPr>
            <w:tcW w:w="6803" w:type="dxa"/>
          </w:tcPr>
          <w:p w14:paraId="74AD8E63" w14:textId="77777777" w:rsidR="00032529" w:rsidRPr="00400216" w:rsidRDefault="00032529" w:rsidP="00B52C53">
            <w:pPr>
              <w:pStyle w:val="Tabletext0"/>
              <w:keepNext/>
              <w:cnfStyle w:val="000000000000" w:firstRow="0" w:lastRow="0" w:firstColumn="0" w:lastColumn="0" w:oddVBand="0" w:evenVBand="0" w:oddHBand="0" w:evenHBand="0" w:firstRowFirstColumn="0" w:firstRowLastColumn="0" w:lastRowFirstColumn="0" w:lastRowLastColumn="0"/>
            </w:pPr>
            <w:r w:rsidRPr="00400216">
              <w:t>An evaluation strategy provides a structure to strengthen policy and program evaluation practice and culture and increase the use of evaluation evidence for decision making, planning and reporting.  </w:t>
            </w:r>
          </w:p>
          <w:p w14:paraId="67B9A911" w14:textId="1F2900D1" w:rsidR="00032529" w:rsidRPr="00AB604A" w:rsidRDefault="00032529" w:rsidP="00B52C53">
            <w:pPr>
              <w:pStyle w:val="Tabletext0"/>
              <w:keepNext/>
              <w:cnfStyle w:val="000000000000" w:firstRow="0" w:lastRow="0" w:firstColumn="0" w:lastColumn="0" w:oddVBand="0" w:evenVBand="0" w:oddHBand="0" w:evenHBand="0" w:firstRowFirstColumn="0" w:firstRowLastColumn="0" w:lastRowFirstColumn="0" w:lastRowLastColumn="0"/>
            </w:pPr>
            <w:r w:rsidRPr="00400216">
              <w:t>It typically provides a principles</w:t>
            </w:r>
            <w:r w:rsidR="005476FA">
              <w:noBreakHyphen/>
            </w:r>
            <w:r w:rsidRPr="00400216">
              <w:t>based approach for the conduct of evaluations across an agency and can be used to help plan how decisions are made about which government programs and activities will be evaluated across the policy cycle in line with best practice approaches. </w:t>
            </w:r>
          </w:p>
        </w:tc>
      </w:tr>
      <w:tr w:rsidR="009B1361" w14:paraId="48D976C4" w14:textId="77777777" w:rsidTr="00D95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3A617A1" w14:textId="18C1BC6D" w:rsidR="009B1361" w:rsidRDefault="009B1361" w:rsidP="00595BC0">
            <w:pPr>
              <w:pStyle w:val="Tabletext0"/>
            </w:pPr>
            <w:r>
              <w:t>Ethical evaluation design</w:t>
            </w:r>
          </w:p>
        </w:tc>
        <w:tc>
          <w:tcPr>
            <w:tcW w:w="6803" w:type="dxa"/>
          </w:tcPr>
          <w:p w14:paraId="05E54D77" w14:textId="6D71F716" w:rsidR="009B1361" w:rsidRPr="00171F22" w:rsidRDefault="009B1361" w:rsidP="00D9541D">
            <w:pPr>
              <w:pStyle w:val="Tabletext0"/>
              <w:cnfStyle w:val="000000100000" w:firstRow="0" w:lastRow="0" w:firstColumn="0" w:lastColumn="0" w:oddVBand="0" w:evenVBand="0" w:oddHBand="1" w:evenHBand="0" w:firstRowFirstColumn="0" w:firstRowLastColumn="0" w:lastRowFirstColumn="0" w:lastRowLastColumn="0"/>
            </w:pPr>
            <w:r>
              <w:t xml:space="preserve">This involves applying ethical research principles to all evaluation designs, which are tailored to the cohort the evaluation is engaging. For example, if the evaluation is being undertaken in Aboriginal and Torres Strait Islander communities, ensure that the evaluation design applies the </w:t>
            </w:r>
            <w:hyperlink r:id="rId10" w:history="1">
              <w:r w:rsidRPr="003E5C91">
                <w:rPr>
                  <w:rStyle w:val="Hyperlink"/>
                </w:rPr>
                <w:t>AIATSIS Code of Ethics for Aboriginal and Torres Strait Islander Research</w:t>
              </w:r>
            </w:hyperlink>
            <w:r>
              <w:t>.</w:t>
            </w:r>
          </w:p>
        </w:tc>
      </w:tr>
      <w:tr w:rsidR="009B1361" w14:paraId="4121915C" w14:textId="77777777" w:rsidTr="00D9541D">
        <w:tc>
          <w:tcPr>
            <w:cnfStyle w:val="001000000000" w:firstRow="0" w:lastRow="0" w:firstColumn="1" w:lastColumn="0" w:oddVBand="0" w:evenVBand="0" w:oddHBand="0" w:evenHBand="0" w:firstRowFirstColumn="0" w:firstRowLastColumn="0" w:lastRowFirstColumn="0" w:lastRowLastColumn="0"/>
            <w:tcW w:w="1701" w:type="dxa"/>
          </w:tcPr>
          <w:p w14:paraId="18842117" w14:textId="01B92912" w:rsidR="009B1361" w:rsidRDefault="009B1361" w:rsidP="00595BC0">
            <w:pPr>
              <w:pStyle w:val="Tabletext0"/>
            </w:pPr>
            <w:r>
              <w:t>Evidence</w:t>
            </w:r>
          </w:p>
        </w:tc>
        <w:tc>
          <w:tcPr>
            <w:tcW w:w="6803" w:type="dxa"/>
          </w:tcPr>
          <w:p w14:paraId="1FF62621" w14:textId="0720B251" w:rsidR="009B1361" w:rsidRPr="00DC5B05" w:rsidRDefault="009B1361" w:rsidP="00D9541D">
            <w:pPr>
              <w:pStyle w:val="Tabletext0"/>
              <w:cnfStyle w:val="000000000000" w:firstRow="0" w:lastRow="0" w:firstColumn="0" w:lastColumn="0" w:oddVBand="0" w:evenVBand="0" w:oddHBand="0" w:evenHBand="0" w:firstRowFirstColumn="0" w:firstRowLastColumn="0" w:lastRowFirstColumn="0" w:lastRowLastColumn="0"/>
            </w:pPr>
            <w:r w:rsidRPr="00171F22">
              <w:t>Evidence is factual information used to support a claim or belief. It is information and research selected from the best available sources to support a decision. Evidence is used to inform decision making to achieve the most effective outcomes.</w:t>
            </w:r>
            <w:r>
              <w:rPr>
                <w:rStyle w:val="FootnoteReference"/>
              </w:rPr>
              <w:footnoteReference w:id="2"/>
            </w:r>
          </w:p>
        </w:tc>
      </w:tr>
      <w:tr w:rsidR="009B1361" w14:paraId="210F75D5" w14:textId="77777777" w:rsidTr="00D95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FD25A4D" w14:textId="04BA8D6B" w:rsidR="009B1361" w:rsidRDefault="009B1361" w:rsidP="00595BC0">
            <w:pPr>
              <w:pStyle w:val="Tabletext0"/>
            </w:pPr>
            <w:r>
              <w:t>Evidence bank</w:t>
            </w:r>
          </w:p>
        </w:tc>
        <w:tc>
          <w:tcPr>
            <w:tcW w:w="6803" w:type="dxa"/>
          </w:tcPr>
          <w:p w14:paraId="03DF1AB0" w14:textId="03CFF307" w:rsidR="009B1361" w:rsidRPr="00DC5B05" w:rsidRDefault="009B1361" w:rsidP="00D9541D">
            <w:pPr>
              <w:pStyle w:val="Tabletext0"/>
              <w:cnfStyle w:val="000000100000" w:firstRow="0" w:lastRow="0" w:firstColumn="0" w:lastColumn="0" w:oddVBand="0" w:evenVBand="0" w:oddHBand="1" w:evenHBand="0" w:firstRowFirstColumn="0" w:firstRowLastColumn="0" w:lastRowFirstColumn="0" w:lastRowLastColumn="0"/>
            </w:pPr>
            <w:r>
              <w:t>An evaluation evidence bank is a</w:t>
            </w:r>
            <w:r w:rsidRPr="00CA44B9">
              <w:t xml:space="preserve"> repository provid</w:t>
            </w:r>
            <w:r>
              <w:t>ing</w:t>
            </w:r>
            <w:r w:rsidRPr="00CA44B9">
              <w:t xml:space="preserve"> a single access point to evaluation reports, either undertaken by external consultants or conducted in-house.</w:t>
            </w:r>
          </w:p>
        </w:tc>
      </w:tr>
      <w:tr w:rsidR="009B1361" w14:paraId="5C127C7E" w14:textId="77777777" w:rsidTr="00D9541D">
        <w:tc>
          <w:tcPr>
            <w:cnfStyle w:val="001000000000" w:firstRow="0" w:lastRow="0" w:firstColumn="1" w:lastColumn="0" w:oddVBand="0" w:evenVBand="0" w:oddHBand="0" w:evenHBand="0" w:firstRowFirstColumn="0" w:firstRowLastColumn="0" w:lastRowFirstColumn="0" w:lastRowLastColumn="0"/>
            <w:tcW w:w="1701" w:type="dxa"/>
          </w:tcPr>
          <w:p w14:paraId="69282014" w14:textId="04377B3C" w:rsidR="009B1361" w:rsidRDefault="009B1361" w:rsidP="00595BC0">
            <w:pPr>
              <w:pStyle w:val="Tabletext0"/>
            </w:pPr>
            <w:r>
              <w:t>Evidence translation</w:t>
            </w:r>
          </w:p>
        </w:tc>
        <w:tc>
          <w:tcPr>
            <w:tcW w:w="6803" w:type="dxa"/>
          </w:tcPr>
          <w:p w14:paraId="436385D8" w14:textId="6A1776C7" w:rsidR="009B1361" w:rsidRPr="00DC5B05" w:rsidRDefault="009B1361" w:rsidP="00D9541D">
            <w:pPr>
              <w:pStyle w:val="Tabletext0"/>
              <w:cnfStyle w:val="000000000000" w:firstRow="0" w:lastRow="0" w:firstColumn="0" w:lastColumn="0" w:oddVBand="0" w:evenVBand="0" w:oddHBand="0" w:evenHBand="0" w:firstRowFirstColumn="0" w:firstRowLastColumn="0" w:lastRowFirstColumn="0" w:lastRowLastColumn="0"/>
            </w:pPr>
            <w:r w:rsidRPr="00F97A10">
              <w:t>Evidence translators are individuals and organi</w:t>
            </w:r>
            <w:r w:rsidR="00372CD9">
              <w:t>s</w:t>
            </w:r>
            <w:r w:rsidRPr="00F97A10">
              <w:t>ations who identify, filter, interpret, adapt, contextuali</w:t>
            </w:r>
            <w:r w:rsidR="002E5657">
              <w:t>s</w:t>
            </w:r>
            <w:r w:rsidRPr="00F97A10">
              <w:t>e and communicate evidence so that it informs policy</w:t>
            </w:r>
            <w:r>
              <w:t>.</w:t>
            </w:r>
            <w:r>
              <w:rPr>
                <w:rStyle w:val="FootnoteReference"/>
              </w:rPr>
              <w:footnoteReference w:id="3"/>
            </w:r>
          </w:p>
        </w:tc>
      </w:tr>
      <w:tr w:rsidR="009B1361" w14:paraId="49F30F78" w14:textId="77777777" w:rsidTr="00D95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8CB59F" w:themeColor="accent2" w:themeTint="99"/>
            </w:tcBorders>
          </w:tcPr>
          <w:p w14:paraId="4C3EE37C" w14:textId="634089E8" w:rsidR="009B1361" w:rsidRDefault="009B1361" w:rsidP="00595BC0">
            <w:pPr>
              <w:pStyle w:val="Tabletext0"/>
            </w:pPr>
            <w:r>
              <w:t>Formal evaluation</w:t>
            </w:r>
          </w:p>
        </w:tc>
        <w:tc>
          <w:tcPr>
            <w:tcW w:w="6803" w:type="dxa"/>
            <w:tcBorders>
              <w:bottom w:val="single" w:sz="2" w:space="0" w:color="8CB59F" w:themeColor="accent2" w:themeTint="99"/>
            </w:tcBorders>
          </w:tcPr>
          <w:p w14:paraId="23A9F39A" w14:textId="3DF76D03" w:rsidR="009B1361" w:rsidRPr="00DC5B05" w:rsidRDefault="009B1361" w:rsidP="00D9541D">
            <w:pPr>
              <w:pStyle w:val="Tabletext0"/>
              <w:cnfStyle w:val="000000100000" w:firstRow="0" w:lastRow="0" w:firstColumn="0" w:lastColumn="0" w:oddVBand="0" w:evenVBand="0" w:oddHBand="1" w:evenHBand="0" w:firstRowFirstColumn="0" w:firstRowLastColumn="0" w:lastRowFirstColumn="0" w:lastRowLastColumn="0"/>
            </w:pPr>
            <w:r w:rsidRPr="009A214D">
              <w:t>A systematic method for collecting, analysing, and using data to examine the effectiveness and efficiency of programs and, as importantly, to contribute to continuous program improvement. </w:t>
            </w:r>
          </w:p>
        </w:tc>
      </w:tr>
      <w:tr w:rsidR="009B1361" w14:paraId="4C61468C" w14:textId="77777777" w:rsidTr="00D9541D">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8CB59F" w:themeColor="accent2" w:themeTint="99"/>
            </w:tcBorders>
          </w:tcPr>
          <w:p w14:paraId="0CA55519" w14:textId="5E371E84" w:rsidR="009B1361" w:rsidRDefault="009B1361" w:rsidP="00595BC0">
            <w:pPr>
              <w:pStyle w:val="Tabletext0"/>
            </w:pPr>
            <w:r>
              <w:t>Governance mechanisms</w:t>
            </w:r>
          </w:p>
        </w:tc>
        <w:tc>
          <w:tcPr>
            <w:tcW w:w="6803" w:type="dxa"/>
            <w:tcBorders>
              <w:bottom w:val="single" w:sz="4" w:space="0" w:color="8CB59F" w:themeColor="accent2" w:themeTint="99"/>
            </w:tcBorders>
          </w:tcPr>
          <w:p w14:paraId="3DBE6624" w14:textId="039A9EB9" w:rsidR="009B1361" w:rsidRPr="00DC5B05" w:rsidRDefault="009B1361" w:rsidP="00D9541D">
            <w:pPr>
              <w:pStyle w:val="Tabletext0"/>
              <w:cnfStyle w:val="000000000000" w:firstRow="0" w:lastRow="0" w:firstColumn="0" w:lastColumn="0" w:oddVBand="0" w:evenVBand="0" w:oddHBand="0" w:evenHBand="0" w:firstRowFirstColumn="0" w:firstRowLastColumn="0" w:lastRowFirstColumn="0" w:lastRowLastColumn="0"/>
            </w:pPr>
            <w:r>
              <w:t xml:space="preserve">A governance mechanism is a group or taskforce that has a strong authorising environment to ensure accountability and oversight over a project, process or organisation. </w:t>
            </w:r>
          </w:p>
        </w:tc>
      </w:tr>
      <w:tr w:rsidR="006A36CD" w:rsidRPr="00347C8C" w14:paraId="255116DD" w14:textId="77777777" w:rsidTr="00D95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tcBorders>
          </w:tcPr>
          <w:p w14:paraId="7F31C98E" w14:textId="6B31D6F3" w:rsidR="006A36CD" w:rsidRDefault="006A36CD" w:rsidP="00595BC0">
            <w:pPr>
              <w:pStyle w:val="Tabletext0"/>
            </w:pPr>
            <w:r>
              <w:t>Impact evaluation</w:t>
            </w:r>
          </w:p>
        </w:tc>
        <w:tc>
          <w:tcPr>
            <w:tcW w:w="6803" w:type="dxa"/>
            <w:tcBorders>
              <w:top w:val="nil"/>
            </w:tcBorders>
          </w:tcPr>
          <w:p w14:paraId="598654BD" w14:textId="4F44DAF8" w:rsidR="00AD63BE" w:rsidRPr="00347C8C" w:rsidRDefault="00B456C9" w:rsidP="00D9541D">
            <w:pPr>
              <w:pStyle w:val="Tabletext0"/>
              <w:cnfStyle w:val="000000100000" w:firstRow="0" w:lastRow="0" w:firstColumn="0" w:lastColumn="0" w:oddVBand="0" w:evenVBand="0" w:oddHBand="1" w:evenHBand="0" w:firstRowFirstColumn="0" w:firstRowLastColumn="0" w:lastRowFirstColumn="0" w:lastRowLastColumn="0"/>
            </w:pPr>
            <w:r w:rsidRPr="00347C8C">
              <w:t>Impact evaluation is used to understand if government programs and policies work and how well they work.</w:t>
            </w:r>
            <w:r w:rsidR="00084911" w:rsidRPr="00347C8C">
              <w:t xml:space="preserve"> The Australian Centre for Evaluation generally uses the term to mean the average effect of a program or policy on the outcome or outcomes it was designed to influence.</w:t>
            </w:r>
            <w:r w:rsidR="00957740" w:rsidRPr="00347C8C">
              <w:rPr>
                <w:rStyle w:val="FootnoteReference"/>
                <w:bCs/>
              </w:rPr>
              <w:footnoteReference w:id="4"/>
            </w:r>
            <w:r w:rsidR="000E177C" w:rsidRPr="00347C8C">
              <w:t xml:space="preserve"> </w:t>
            </w:r>
          </w:p>
          <w:p w14:paraId="340E57F5" w14:textId="0CCAC222" w:rsidR="006A36CD" w:rsidRPr="00347C8C" w:rsidRDefault="000E177C" w:rsidP="00D9541D">
            <w:pPr>
              <w:pStyle w:val="Tabletext0"/>
              <w:cnfStyle w:val="000000100000" w:firstRow="0" w:lastRow="0" w:firstColumn="0" w:lastColumn="0" w:oddVBand="0" w:evenVBand="0" w:oddHBand="1" w:evenHBand="0" w:firstRowFirstColumn="0" w:firstRowLastColumn="0" w:lastRowFirstColumn="0" w:lastRowLastColumn="0"/>
            </w:pPr>
            <w:r w:rsidRPr="00347C8C">
              <w:lastRenderedPageBreak/>
              <w:t>An impact evaluation must establish the cause of the observed changes. Identifying the cause is known as 'causal attribution' or 'causal inference'.</w:t>
            </w:r>
          </w:p>
        </w:tc>
      </w:tr>
      <w:tr w:rsidR="009B1361" w14:paraId="662A59CF" w14:textId="77777777" w:rsidTr="00D9541D">
        <w:tc>
          <w:tcPr>
            <w:cnfStyle w:val="001000000000" w:firstRow="0" w:lastRow="0" w:firstColumn="1" w:lastColumn="0" w:oddVBand="0" w:evenVBand="0" w:oddHBand="0" w:evenHBand="0" w:firstRowFirstColumn="0" w:firstRowLastColumn="0" w:lastRowFirstColumn="0" w:lastRowLastColumn="0"/>
            <w:tcW w:w="1701" w:type="dxa"/>
          </w:tcPr>
          <w:p w14:paraId="19ADD7E6" w14:textId="5FCD495D" w:rsidR="009B1361" w:rsidRDefault="009B1361" w:rsidP="005B5D4E">
            <w:pPr>
              <w:pStyle w:val="Tabletext0"/>
              <w:keepNext/>
              <w:keepLines/>
            </w:pPr>
            <w:r>
              <w:lastRenderedPageBreak/>
              <w:t>Methods</w:t>
            </w:r>
          </w:p>
        </w:tc>
        <w:tc>
          <w:tcPr>
            <w:tcW w:w="6803" w:type="dxa"/>
          </w:tcPr>
          <w:p w14:paraId="3D404881" w14:textId="6A3102E6" w:rsidR="009B1361" w:rsidRPr="00DC5B05" w:rsidRDefault="009B1361" w:rsidP="005B5D4E">
            <w:pPr>
              <w:pStyle w:val="Tabletext0"/>
              <w:keepNext/>
              <w:keepLines/>
              <w:cnfStyle w:val="000000000000" w:firstRow="0" w:lastRow="0" w:firstColumn="0" w:lastColumn="0" w:oddVBand="0" w:evenVBand="0" w:oddHBand="0" w:evenHBand="0" w:firstRowFirstColumn="0" w:firstRowLastColumn="0" w:lastRowFirstColumn="0" w:lastRowLastColumn="0"/>
            </w:pPr>
            <w:r w:rsidRPr="00376B3C">
              <w:t>Evaluation uses robust analytical methods to provide evidence and input to decision</w:t>
            </w:r>
            <w:r w:rsidRPr="00376B3C">
              <w:noBreakHyphen/>
              <w:t>makers about performance and good practices across the policy cycle.</w:t>
            </w:r>
            <w:r>
              <w:t xml:space="preserve"> </w:t>
            </w:r>
            <w:r w:rsidRPr="00B11108">
              <w:t xml:space="preserve">It is important to select methods and tools that are fit for purpose, robust, ethical and culturally appropriate. </w:t>
            </w:r>
            <w:r w:rsidR="004D0E35">
              <w:t>D</w:t>
            </w:r>
            <w:r w:rsidRPr="00B11108">
              <w:t xml:space="preserve">ata collection strategies and analytic methods </w:t>
            </w:r>
            <w:r w:rsidR="004D0E35">
              <w:t>need to be</w:t>
            </w:r>
            <w:r w:rsidR="004D0E35" w:rsidRPr="00B11108">
              <w:t xml:space="preserve"> </w:t>
            </w:r>
            <w:r w:rsidRPr="00B11108">
              <w:t>both practical and possible (within available resources).</w:t>
            </w:r>
            <w:r>
              <w:rPr>
                <w:rStyle w:val="FootnoteReference"/>
              </w:rPr>
              <w:footnoteReference w:id="5"/>
            </w:r>
          </w:p>
        </w:tc>
      </w:tr>
      <w:tr w:rsidR="002E7789" w14:paraId="5F117E00" w14:textId="77777777" w:rsidTr="00D95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3BAAB4E" w14:textId="025135E8" w:rsidR="002E7789" w:rsidRDefault="002E7789" w:rsidP="00595BC0">
            <w:pPr>
              <w:pStyle w:val="Tabletext0"/>
            </w:pPr>
            <w:r>
              <w:t>New Policy Proposal</w:t>
            </w:r>
          </w:p>
        </w:tc>
        <w:tc>
          <w:tcPr>
            <w:tcW w:w="6803" w:type="dxa"/>
          </w:tcPr>
          <w:p w14:paraId="5B4AC918" w14:textId="2CC7ADA0" w:rsidR="002E7789" w:rsidRPr="00DC5B05" w:rsidRDefault="002E7789" w:rsidP="00D9541D">
            <w:pPr>
              <w:pStyle w:val="Tabletext0"/>
              <w:cnfStyle w:val="000000100000" w:firstRow="0" w:lastRow="0" w:firstColumn="0" w:lastColumn="0" w:oddVBand="0" w:evenVBand="0" w:oddHBand="1" w:evenHBand="0" w:firstRowFirstColumn="0" w:firstRowLastColumn="0" w:lastRowFirstColumn="0" w:lastRowLastColumn="0"/>
            </w:pPr>
            <w:r w:rsidRPr="00485EBC">
              <w:t>A New Policy Proposal (NPP) constitutes a decision by Government that involves a new initiative or discretionary change to existing policy.</w:t>
            </w:r>
            <w:r>
              <w:rPr>
                <w:rStyle w:val="FootnoteReference"/>
              </w:rPr>
              <w:footnoteReference w:id="6"/>
            </w:r>
          </w:p>
        </w:tc>
      </w:tr>
      <w:tr w:rsidR="002E7789" w14:paraId="1EFA9E85" w14:textId="77777777" w:rsidTr="00D9541D">
        <w:tc>
          <w:tcPr>
            <w:cnfStyle w:val="001000000000" w:firstRow="0" w:lastRow="0" w:firstColumn="1" w:lastColumn="0" w:oddVBand="0" w:evenVBand="0" w:oddHBand="0" w:evenHBand="0" w:firstRowFirstColumn="0" w:firstRowLastColumn="0" w:lastRowFirstColumn="0" w:lastRowLastColumn="0"/>
            <w:tcW w:w="1701" w:type="dxa"/>
          </w:tcPr>
          <w:p w14:paraId="68CBEDB7" w14:textId="21079E04" w:rsidR="002E7789" w:rsidRDefault="002E7789" w:rsidP="00595BC0">
            <w:pPr>
              <w:pStyle w:val="Tabletext0"/>
            </w:pPr>
            <w:r>
              <w:t xml:space="preserve">Performance monitoring </w:t>
            </w:r>
          </w:p>
        </w:tc>
        <w:tc>
          <w:tcPr>
            <w:tcW w:w="6803" w:type="dxa"/>
          </w:tcPr>
          <w:p w14:paraId="726B71D3" w14:textId="4F13B20E" w:rsidR="002E7789" w:rsidRPr="00AB604A" w:rsidRDefault="002E7789" w:rsidP="00D9541D">
            <w:pPr>
              <w:pStyle w:val="Tabletext0"/>
              <w:cnfStyle w:val="000000000000" w:firstRow="0" w:lastRow="0" w:firstColumn="0" w:lastColumn="0" w:oddVBand="0" w:evenVBand="0" w:oddHBand="0" w:evenHBand="0" w:firstRowFirstColumn="0" w:firstRowLastColumn="0" w:lastRowFirstColumn="0" w:lastRowLastColumn="0"/>
            </w:pPr>
            <w:r>
              <w:t>P</w:t>
            </w:r>
            <w:r w:rsidRPr="00951671">
              <w:t>erformance monitoring involves performing and analysing routine measurements to detect changes.</w:t>
            </w:r>
            <w:r>
              <w:t xml:space="preserve"> </w:t>
            </w:r>
            <w:r w:rsidRPr="00F57939">
              <w:t>The</w:t>
            </w:r>
            <w:r w:rsidR="00B84CE1">
              <w:t xml:space="preserve"> </w:t>
            </w:r>
            <w:hyperlink r:id="rId11" w:tooltip="External link - Federal Register of Legislation - Public Governance, Performance and Accountability Rule 2014" w:history="1">
              <w:r w:rsidRPr="00F57939">
                <w:rPr>
                  <w:rStyle w:val="Hyperlink"/>
                  <w:i/>
                  <w:iCs/>
                </w:rPr>
                <w:t>Public Governance, Performance and Accountability Rule 2014</w:t>
              </w:r>
            </w:hyperlink>
            <w:r w:rsidRPr="00F57939">
              <w:t> establishes legislative requirements to measure and assess performance, and establishes the characteristics of good performance measures.</w:t>
            </w:r>
            <w:r>
              <w:rPr>
                <w:rStyle w:val="FootnoteReference"/>
              </w:rPr>
              <w:footnoteReference w:id="7"/>
            </w:r>
          </w:p>
        </w:tc>
      </w:tr>
      <w:tr w:rsidR="002E7789" w14:paraId="0A18BFF6" w14:textId="77777777" w:rsidTr="00D95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F758E9C" w14:textId="71DE27A3" w:rsidR="002E7789" w:rsidRPr="008921EA" w:rsidRDefault="002E7789" w:rsidP="00595BC0">
            <w:pPr>
              <w:pStyle w:val="Tabletext0"/>
            </w:pPr>
            <w:r w:rsidRPr="008921EA">
              <w:t xml:space="preserve">Program logic </w:t>
            </w:r>
          </w:p>
        </w:tc>
        <w:tc>
          <w:tcPr>
            <w:tcW w:w="6803" w:type="dxa"/>
          </w:tcPr>
          <w:p w14:paraId="3BECE4F8" w14:textId="18EF886F" w:rsidR="00E66625" w:rsidRPr="008921EA" w:rsidRDefault="002E7789" w:rsidP="00D9541D">
            <w:pPr>
              <w:pStyle w:val="Tabletext0"/>
              <w:cnfStyle w:val="000000100000" w:firstRow="0" w:lastRow="0" w:firstColumn="0" w:lastColumn="0" w:oddVBand="0" w:evenVBand="0" w:oddHBand="1" w:evenHBand="0" w:firstRowFirstColumn="0" w:firstRowLastColumn="0" w:lastRowFirstColumn="0" w:lastRowLastColumn="0"/>
            </w:pPr>
            <w:r w:rsidRPr="008921EA">
              <w:t xml:space="preserve">A program logic is </w:t>
            </w:r>
            <w:r w:rsidR="008921EA" w:rsidRPr="008921EA">
              <w:t>a structured representation that links a program’s activities to its intended outcomes. It is usually a plan on a page that helps to document the main elements of a program, showing</w:t>
            </w:r>
            <w:r w:rsidRPr="008921EA">
              <w:t xml:space="preserve"> inputs (e.g. money, staff, resources) needed to deliver planned activities and how they lead to short, medium and long-term outcomes. </w:t>
            </w:r>
          </w:p>
        </w:tc>
      </w:tr>
      <w:tr w:rsidR="00E16BE7" w14:paraId="4D8C1811" w14:textId="77777777" w:rsidTr="00D9541D">
        <w:tc>
          <w:tcPr>
            <w:cnfStyle w:val="001000000000" w:firstRow="0" w:lastRow="0" w:firstColumn="1" w:lastColumn="0" w:oddVBand="0" w:evenVBand="0" w:oddHBand="0" w:evenHBand="0" w:firstRowFirstColumn="0" w:firstRowLastColumn="0" w:lastRowFirstColumn="0" w:lastRowLastColumn="0"/>
            <w:tcW w:w="1701" w:type="dxa"/>
          </w:tcPr>
          <w:p w14:paraId="74B8069A" w14:textId="2266FE3A" w:rsidR="00E16BE7" w:rsidRDefault="00E16BE7" w:rsidP="00595BC0">
            <w:pPr>
              <w:pStyle w:val="Tabletext0"/>
            </w:pPr>
            <w:r>
              <w:t>Senior leaders</w:t>
            </w:r>
          </w:p>
        </w:tc>
        <w:tc>
          <w:tcPr>
            <w:tcW w:w="6803" w:type="dxa"/>
          </w:tcPr>
          <w:p w14:paraId="52E2455E" w14:textId="6433B27D" w:rsidR="00E16BE7" w:rsidRPr="00AB604A" w:rsidRDefault="00E16BE7" w:rsidP="00D9541D">
            <w:pPr>
              <w:pStyle w:val="Tabletext0"/>
              <w:cnfStyle w:val="000000000000" w:firstRow="0" w:lastRow="0" w:firstColumn="0" w:lastColumn="0" w:oddVBand="0" w:evenVBand="0" w:oddHBand="0" w:evenHBand="0" w:firstRowFirstColumn="0" w:firstRowLastColumn="0" w:lastRowFirstColumn="0" w:lastRowLastColumn="0"/>
            </w:pPr>
            <w:r>
              <w:t>Senior leaders refer to senior executive staff within your agency.</w:t>
            </w:r>
          </w:p>
        </w:tc>
      </w:tr>
      <w:tr w:rsidR="00E16BE7" w14:paraId="024F5B4E" w14:textId="77777777" w:rsidTr="00D95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D87E81D" w14:textId="75155B6F" w:rsidR="00E16BE7" w:rsidRDefault="00E16BE7" w:rsidP="00595BC0">
            <w:pPr>
              <w:pStyle w:val="Tabletext0"/>
            </w:pPr>
            <w:r>
              <w:t>Staff</w:t>
            </w:r>
          </w:p>
        </w:tc>
        <w:tc>
          <w:tcPr>
            <w:tcW w:w="6803" w:type="dxa"/>
          </w:tcPr>
          <w:p w14:paraId="61E0A60E" w14:textId="4F61B56C" w:rsidR="00E16BE7" w:rsidRPr="009A214D" w:rsidRDefault="00E16BE7" w:rsidP="00D9541D">
            <w:pPr>
              <w:pStyle w:val="Tabletext0"/>
              <w:cnfStyle w:val="000000100000" w:firstRow="0" w:lastRow="0" w:firstColumn="0" w:lastColumn="0" w:oddVBand="0" w:evenVBand="0" w:oddHBand="1" w:evenHBand="0" w:firstRowFirstColumn="0" w:firstRowLastColumn="0" w:lastRowFirstColumn="0" w:lastRowLastColumn="0"/>
            </w:pPr>
            <w:r w:rsidRPr="00DC5B05">
              <w:t>Staff refers to the staff in your team, branch or division which you are basing this</w:t>
            </w:r>
            <w:r>
              <w:t xml:space="preserve"> maturity</w:t>
            </w:r>
            <w:r w:rsidRPr="00DC5B05">
              <w:t xml:space="preserve"> assessment on</w:t>
            </w:r>
            <w:r>
              <w:t>.</w:t>
            </w:r>
          </w:p>
        </w:tc>
      </w:tr>
      <w:tr w:rsidR="00E16BE7" w14:paraId="744935B4" w14:textId="77777777" w:rsidTr="00D9541D">
        <w:tc>
          <w:tcPr>
            <w:cnfStyle w:val="001000000000" w:firstRow="0" w:lastRow="0" w:firstColumn="1" w:lastColumn="0" w:oddVBand="0" w:evenVBand="0" w:oddHBand="0" w:evenHBand="0" w:firstRowFirstColumn="0" w:firstRowLastColumn="0" w:lastRowFirstColumn="0" w:lastRowLastColumn="0"/>
            <w:tcW w:w="1701" w:type="dxa"/>
          </w:tcPr>
          <w:p w14:paraId="58495DA7" w14:textId="715BE8C1" w:rsidR="00E16BE7" w:rsidRDefault="00E16BE7" w:rsidP="00595BC0">
            <w:pPr>
              <w:pStyle w:val="Tabletext0"/>
            </w:pPr>
            <w:r>
              <w:t>Technical evaluation skills</w:t>
            </w:r>
          </w:p>
        </w:tc>
        <w:tc>
          <w:tcPr>
            <w:tcW w:w="6803" w:type="dxa"/>
          </w:tcPr>
          <w:p w14:paraId="119AA218" w14:textId="67EE1EE6" w:rsidR="00E16BE7" w:rsidRPr="00AB604A" w:rsidRDefault="00D85A73" w:rsidP="00D9541D">
            <w:pPr>
              <w:pStyle w:val="Tabletext0"/>
              <w:cnfStyle w:val="000000000000" w:firstRow="0" w:lastRow="0" w:firstColumn="0" w:lastColumn="0" w:oddVBand="0" w:evenVBand="0" w:oddHBand="0" w:evenHBand="0" w:firstRowFirstColumn="0" w:firstRowLastColumn="0" w:lastRowFirstColumn="0" w:lastRowLastColumn="0"/>
            </w:pPr>
            <w:r>
              <w:t>This refers to skills such as</w:t>
            </w:r>
            <w:r w:rsidR="008B0AE2">
              <w:t xml:space="preserve"> the development of program logic, evaluation frameworks/plans, survey design, </w:t>
            </w:r>
            <w:r w:rsidR="00662A19">
              <w:t xml:space="preserve">use of </w:t>
            </w:r>
            <w:r w:rsidR="008B0AE2">
              <w:t xml:space="preserve">qualitative </w:t>
            </w:r>
            <w:r w:rsidR="00662A19">
              <w:t xml:space="preserve">and quantitative </w:t>
            </w:r>
            <w:r w:rsidR="008B0AE2">
              <w:t xml:space="preserve">methods, </w:t>
            </w:r>
            <w:r w:rsidR="003F3B41">
              <w:t>data analysis and reporting writing</w:t>
            </w:r>
            <w:r w:rsidR="00662A19">
              <w:t xml:space="preserve"> (</w:t>
            </w:r>
            <w:r w:rsidR="00C76FC4">
              <w:t>for example,</w:t>
            </w:r>
            <w:r w:rsidR="00662A19">
              <w:t xml:space="preserve"> someone with skills in designing specific methodologies</w:t>
            </w:r>
            <w:r w:rsidR="00112384">
              <w:t xml:space="preserve"> such as mixed methods or experimental design).</w:t>
            </w:r>
          </w:p>
        </w:tc>
      </w:tr>
      <w:tr w:rsidR="00E16BE7" w14:paraId="098B1F62" w14:textId="77777777" w:rsidTr="00D95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6D72F92" w14:textId="57ACEEC6" w:rsidR="00E16BE7" w:rsidRPr="00D2635A" w:rsidRDefault="00E16BE7" w:rsidP="00AD691F">
            <w:pPr>
              <w:pStyle w:val="Tabletext0"/>
              <w:keepNext/>
              <w:keepLines/>
            </w:pPr>
            <w:r w:rsidRPr="00D2635A">
              <w:lastRenderedPageBreak/>
              <w:t>Theory of change</w:t>
            </w:r>
          </w:p>
        </w:tc>
        <w:tc>
          <w:tcPr>
            <w:tcW w:w="6803" w:type="dxa"/>
          </w:tcPr>
          <w:p w14:paraId="2848BD19" w14:textId="5E0369E7" w:rsidR="00840274" w:rsidRPr="00D2635A" w:rsidRDefault="00840274" w:rsidP="00D9541D">
            <w:pPr>
              <w:pStyle w:val="Tabletext0"/>
              <w:cnfStyle w:val="000000100000" w:firstRow="0" w:lastRow="0" w:firstColumn="0" w:lastColumn="0" w:oddVBand="0" w:evenVBand="0" w:oddHBand="1" w:evenHBand="0" w:firstRowFirstColumn="0" w:firstRowLastColumn="0" w:lastRowFirstColumn="0" w:lastRowLastColumn="0"/>
            </w:pPr>
            <w:r w:rsidRPr="00D2635A">
              <w:t xml:space="preserve">A theory of change explains how an intervention is expected to lead to a desired outcome. </w:t>
            </w:r>
            <w:r w:rsidR="00B55C9C" w:rsidRPr="00D2635A">
              <w:t xml:space="preserve">It </w:t>
            </w:r>
            <w:r w:rsidR="00B72BCF" w:rsidRPr="00D2635A">
              <w:t>is a logical explanation of how and why a desired change is expected to happen</w:t>
            </w:r>
            <w:r w:rsidRPr="00D2635A">
              <w:t xml:space="preserve">. It helps to </w:t>
            </w:r>
            <w:r w:rsidR="00E66625" w:rsidRPr="00D2635A">
              <w:t>identify key assumptions and clarify causal relationships. Theories of change can help you to think about how you will track and report on progress and make changes.</w:t>
            </w:r>
          </w:p>
        </w:tc>
      </w:tr>
      <w:tr w:rsidR="00E16BE7" w14:paraId="467D77BC" w14:textId="77777777" w:rsidTr="00D9541D">
        <w:tc>
          <w:tcPr>
            <w:cnfStyle w:val="001000000000" w:firstRow="0" w:lastRow="0" w:firstColumn="1" w:lastColumn="0" w:oddVBand="0" w:evenVBand="0" w:oddHBand="0" w:evenHBand="0" w:firstRowFirstColumn="0" w:firstRowLastColumn="0" w:lastRowFirstColumn="0" w:lastRowLastColumn="0"/>
            <w:tcW w:w="1701" w:type="dxa"/>
          </w:tcPr>
          <w:p w14:paraId="393FA807" w14:textId="2FF28FA1" w:rsidR="00E16BE7" w:rsidRDefault="00E16BE7" w:rsidP="00595BC0">
            <w:pPr>
              <w:pStyle w:val="Tabletext0"/>
            </w:pPr>
            <w:r>
              <w:t>Risk management</w:t>
            </w:r>
          </w:p>
        </w:tc>
        <w:tc>
          <w:tcPr>
            <w:tcW w:w="6803" w:type="dxa"/>
          </w:tcPr>
          <w:p w14:paraId="5A1DDB93" w14:textId="077CDF9F" w:rsidR="00E16BE7" w:rsidRDefault="00E16BE7" w:rsidP="00D9541D">
            <w:pPr>
              <w:pStyle w:val="Tabletext0"/>
              <w:cnfStyle w:val="000000000000" w:firstRow="0" w:lastRow="0" w:firstColumn="0" w:lastColumn="0" w:oddVBand="0" w:evenVBand="0" w:oddHBand="0" w:evenHBand="0" w:firstRowFirstColumn="0" w:firstRowLastColumn="0" w:lastRowFirstColumn="0" w:lastRowLastColumn="0"/>
            </w:pPr>
            <w:r w:rsidRPr="007C5BE9">
              <w:t xml:space="preserve">The </w:t>
            </w:r>
            <w:r w:rsidRPr="00DF39F7">
              <w:rPr>
                <w:i/>
                <w:iCs/>
              </w:rPr>
              <w:t>Public Governance, Performance and Accountability Act 2013</w:t>
            </w:r>
            <w:r w:rsidRPr="007C5BE9">
              <w:t xml:space="preserve"> (PGPA Act) requires agencies establish and maintain appropriate systems and internal controls for the </w:t>
            </w:r>
            <w:hyperlink r:id="rId12" w:history="1">
              <w:r w:rsidRPr="00351FE2">
                <w:rPr>
                  <w:rStyle w:val="Hyperlink"/>
                </w:rPr>
                <w:t>oversight and management of risk</w:t>
              </w:r>
            </w:hyperlink>
            <w:r w:rsidRPr="007C5BE9">
              <w:t>. The Commonwealth Risk Management Policy supports the PGPA Act and requires that each agency develop a policy and approach to managing risk.</w:t>
            </w:r>
            <w:r>
              <w:t xml:space="preserve"> Evaluation can be included as a mechanism to manage risk.</w:t>
            </w:r>
          </w:p>
        </w:tc>
      </w:tr>
    </w:tbl>
    <w:p w14:paraId="3F474CD6" w14:textId="77777777" w:rsidR="00595BC0" w:rsidRPr="00595BC0" w:rsidRDefault="00595BC0" w:rsidP="00595BC0">
      <w:r>
        <w:br w:type="page"/>
      </w:r>
    </w:p>
    <w:p w14:paraId="57B5538F" w14:textId="116A8A46" w:rsidR="00442C87" w:rsidRDefault="00442C87" w:rsidP="005E211A">
      <w:pPr>
        <w:pStyle w:val="Heading1"/>
      </w:pPr>
      <w:r>
        <w:lastRenderedPageBreak/>
        <w:t>Frequently Asked Questions</w:t>
      </w:r>
    </w:p>
    <w:p w14:paraId="2DE40E95" w14:textId="313B53E1" w:rsidR="00442C87" w:rsidRPr="005E4CCE" w:rsidRDefault="00442C87" w:rsidP="005E211A">
      <w:pPr>
        <w:pStyle w:val="Heading2"/>
      </w:pPr>
      <w:r w:rsidRPr="005E4CCE">
        <w:t>How long will it take to complete the assessment?</w:t>
      </w:r>
    </w:p>
    <w:p w14:paraId="211041DF" w14:textId="77777777" w:rsidR="00442C87" w:rsidRDefault="00442C87" w:rsidP="00442C87">
      <w:r>
        <w:t xml:space="preserve">Planning the coordination, undertaking the assessment tool and developing an action plan could take anywhere between one to four months depending on how many teams are involved. If the evaluation unit or coordination team are conducting the assessment without team coordination, this may reduce the time commitment. </w:t>
      </w:r>
    </w:p>
    <w:p w14:paraId="07BBD664" w14:textId="290C2691" w:rsidR="00442C87" w:rsidRDefault="00442C87" w:rsidP="00442C87">
      <w:r>
        <w:t xml:space="preserve">If the </w:t>
      </w:r>
      <w:r w:rsidR="008F686E">
        <w:t xml:space="preserve">Commonwealth Evaluation Maturity </w:t>
      </w:r>
      <w:r>
        <w:t xml:space="preserve">Model </w:t>
      </w:r>
      <w:r w:rsidR="008F686E">
        <w:t xml:space="preserve">(Maturity Model) </w:t>
      </w:r>
      <w:r>
        <w:t xml:space="preserve">is being undertaking across multiple teams and divisions within an agency it could take at least four months to brief senior leaders and teams, undertake the assessment, analyse results and develop an action plan. Further advice on how to use the </w:t>
      </w:r>
      <w:r w:rsidR="008F686E">
        <w:t xml:space="preserve">Maturity </w:t>
      </w:r>
      <w:r>
        <w:t>Model is outlined in the User Guide.</w:t>
      </w:r>
    </w:p>
    <w:p w14:paraId="4C1C6DA7" w14:textId="77777777" w:rsidR="00442C87" w:rsidRPr="00B84CE1" w:rsidRDefault="00442C87" w:rsidP="005E211A">
      <w:pPr>
        <w:pStyle w:val="Heading2"/>
      </w:pPr>
      <w:r w:rsidRPr="00B84CE1">
        <w:t>Who will see the results from the assessment?</w:t>
      </w:r>
    </w:p>
    <w:p w14:paraId="79A789C3" w14:textId="77777777" w:rsidR="00442C87" w:rsidRDefault="00442C87" w:rsidP="00442C87">
      <w:r>
        <w:t xml:space="preserve">It is up to the team, division or agency to determine how they would like to use the results, and who they share them with. Options could include sharing the results with senior leaders, with program, policy or service areas across the agency, other agencies or evaluation units and the Australian Centre for Evaluation (ACE). </w:t>
      </w:r>
    </w:p>
    <w:p w14:paraId="2CCD43DD" w14:textId="4A3CD479" w:rsidR="00347C8C" w:rsidRDefault="00442C87" w:rsidP="00442C87">
      <w:r>
        <w:t xml:space="preserve">The online assessment tool provides an option to share results with the ACE via email, which we can use to gain a better understanding of what type of support we can provide to agencies across the APS. </w:t>
      </w:r>
    </w:p>
    <w:p w14:paraId="2AB5B04B" w14:textId="77777777" w:rsidR="00442C87" w:rsidRDefault="00442C87" w:rsidP="005E211A">
      <w:pPr>
        <w:pStyle w:val="Heading2"/>
      </w:pPr>
      <w:r w:rsidRPr="005E4CCE">
        <w:t>How can agencies interpret the results?</w:t>
      </w:r>
    </w:p>
    <w:p w14:paraId="17390703" w14:textId="3F7D49AA" w:rsidR="00442C87" w:rsidRDefault="00442C87" w:rsidP="00442C87">
      <w:r>
        <w:t xml:space="preserve">The results will provide a baseline assessment of your maturity, or an indication of how you have progressed since your last maturity assessment. To interpret and analyse results, agencies can use a range of approaches outlined in the User Guide under </w:t>
      </w:r>
      <w:r w:rsidR="00894748">
        <w:t>‘Stage 3: Analysis assessment results and develop an action plan’.</w:t>
      </w:r>
    </w:p>
    <w:p w14:paraId="01CEC8CC" w14:textId="5C9A5739" w:rsidR="00442C87" w:rsidRPr="00A01C67" w:rsidRDefault="00442C87" w:rsidP="00442C87">
      <w:pPr>
        <w:rPr>
          <w:i/>
          <w:iCs/>
        </w:rPr>
      </w:pPr>
      <w:r>
        <w:t>To see different approaches of how agencies have translated their results into action plans, please see</w:t>
      </w:r>
      <w:r w:rsidR="00B257AB">
        <w:t xml:space="preserve"> examples in</w:t>
      </w:r>
      <w:r>
        <w:t xml:space="preserve"> the User </w:t>
      </w:r>
      <w:r w:rsidR="003C4B2E">
        <w:t>G</w:t>
      </w:r>
      <w:r>
        <w:t xml:space="preserve">uide and the Action </w:t>
      </w:r>
      <w:r w:rsidR="00814331">
        <w:t>B</w:t>
      </w:r>
      <w:r>
        <w:t xml:space="preserve">ank. </w:t>
      </w:r>
    </w:p>
    <w:p w14:paraId="74F9F141" w14:textId="77777777" w:rsidR="00442C87" w:rsidRDefault="00442C87" w:rsidP="005E211A">
      <w:pPr>
        <w:pStyle w:val="Heading2"/>
      </w:pPr>
      <w:r w:rsidRPr="00A430EF">
        <w:t xml:space="preserve">Will there be any support to </w:t>
      </w:r>
      <w:r>
        <w:t>undertake the process</w:t>
      </w:r>
      <w:r w:rsidRPr="00A430EF">
        <w:t>?</w:t>
      </w:r>
    </w:p>
    <w:p w14:paraId="33A93ED5" w14:textId="4AE3566E" w:rsidR="00442C87" w:rsidRDefault="00442C87" w:rsidP="00442C87">
      <w:r>
        <w:t xml:space="preserve">The </w:t>
      </w:r>
      <w:r w:rsidR="008F686E">
        <w:t xml:space="preserve">Maturity </w:t>
      </w:r>
      <w:r>
        <w:t xml:space="preserve">Model is designed to empower each agency to develop their own approach to assess evaluation maturity in their context and develop an action plan. </w:t>
      </w:r>
      <w:r w:rsidR="000A7D6D">
        <w:t xml:space="preserve">The </w:t>
      </w:r>
      <w:r>
        <w:t xml:space="preserve">ACE recommends reaching out to your evaluation unit (if you have one) or evaluation experts within your agency to support your team to undertake the </w:t>
      </w:r>
      <w:r w:rsidR="008F686E">
        <w:t xml:space="preserve">Maturity </w:t>
      </w:r>
      <w:r>
        <w:t>Model</w:t>
      </w:r>
      <w:r w:rsidR="008F686E">
        <w:t xml:space="preserve"> assessment</w:t>
      </w:r>
      <w:r w:rsidR="007C1D37">
        <w:t xml:space="preserve"> or action plan</w:t>
      </w:r>
      <w:r>
        <w:t>.</w:t>
      </w:r>
    </w:p>
    <w:p w14:paraId="158DBF6F" w14:textId="77777777" w:rsidR="00C40190" w:rsidRDefault="00275016" w:rsidP="00442C87">
      <w:r>
        <w:t xml:space="preserve">The </w:t>
      </w:r>
      <w:r w:rsidR="00442C87">
        <w:t>ACE has prepared several supporting resources to help guide users with the process</w:t>
      </w:r>
      <w:r>
        <w:t xml:space="preserve">: </w:t>
      </w:r>
      <w:r w:rsidR="00442C87">
        <w:t xml:space="preserve">a user guide, </w:t>
      </w:r>
      <w:r>
        <w:t xml:space="preserve">an </w:t>
      </w:r>
      <w:r w:rsidR="00442C87">
        <w:t xml:space="preserve">action bank, and a senior leaders brief. </w:t>
      </w:r>
    </w:p>
    <w:p w14:paraId="5F782655" w14:textId="3A468C7B" w:rsidR="00650F67" w:rsidRPr="00044D73" w:rsidRDefault="0075184D" w:rsidP="0055053A">
      <w:pPr>
        <w:rPr>
          <w:sz w:val="20"/>
        </w:rPr>
      </w:pPr>
      <w:r>
        <w:t>Subject to competing priorities, t</w:t>
      </w:r>
      <w:r w:rsidR="00275016">
        <w:t xml:space="preserve">he </w:t>
      </w:r>
      <w:r w:rsidR="00442C87">
        <w:t xml:space="preserve">ACE </w:t>
      </w:r>
      <w:r>
        <w:t xml:space="preserve">may also be able to </w:t>
      </w:r>
      <w:r w:rsidR="00442C87">
        <w:t xml:space="preserve">offer support sessions for users who are undertaking the process for the first time or who would like support developing action plans or evaluation strategies. For </w:t>
      </w:r>
      <w:r w:rsidR="00C40190">
        <w:t xml:space="preserve">this or other </w:t>
      </w:r>
      <w:r w:rsidR="00442C87">
        <w:t>queries, please contact</w:t>
      </w:r>
      <w:r w:rsidR="00B0008B">
        <w:t xml:space="preserve"> the ACE at</w:t>
      </w:r>
      <w:r w:rsidR="00442C87">
        <w:t xml:space="preserve"> </w:t>
      </w:r>
      <w:hyperlink r:id="rId13" w:history="1">
        <w:r w:rsidR="00442C87" w:rsidRPr="007C78CE">
          <w:rPr>
            <w:rStyle w:val="Hyperlink"/>
          </w:rPr>
          <w:t>Evaluation@TREASURY.GOV.AU</w:t>
        </w:r>
      </w:hyperlink>
    </w:p>
    <w:sectPr w:rsidR="00650F67" w:rsidRPr="00044D73" w:rsidSect="005E211A">
      <w:headerReference w:type="default" r:id="rId14"/>
      <w:footerReference w:type="default" r:id="rId15"/>
      <w:headerReference w:type="first" r:id="rId16"/>
      <w:footerReference w:type="first" r:id="rId17"/>
      <w:pgSz w:w="11906" w:h="16838" w:code="9"/>
      <w:pgMar w:top="1701" w:right="1701" w:bottom="1701" w:left="1701" w:header="567" w:footer="425"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9B4D9" w14:textId="77777777" w:rsidR="002C038B" w:rsidRDefault="002C038B" w:rsidP="00886BC4">
      <w:r>
        <w:separator/>
      </w:r>
    </w:p>
    <w:p w14:paraId="692BC092" w14:textId="77777777" w:rsidR="002C038B" w:rsidRDefault="002C038B"/>
  </w:endnote>
  <w:endnote w:type="continuationSeparator" w:id="0">
    <w:p w14:paraId="4289CCFB" w14:textId="77777777" w:rsidR="002C038B" w:rsidRDefault="002C038B" w:rsidP="00886BC4">
      <w:r>
        <w:continuationSeparator/>
      </w:r>
    </w:p>
    <w:p w14:paraId="3B89A348" w14:textId="77777777" w:rsidR="002C038B" w:rsidRDefault="002C038B"/>
  </w:endnote>
  <w:endnote w:type="continuationNotice" w:id="1">
    <w:p w14:paraId="6F8E2CDB" w14:textId="77777777" w:rsidR="002C038B" w:rsidRDefault="002C0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6E8A" w14:textId="67B56089" w:rsidR="00A14D6A" w:rsidRDefault="00A14D6A" w:rsidP="00A14D6A">
    <w:pPr>
      <w:pStyle w:val="Footer"/>
      <w:tabs>
        <w:tab w:val="clear" w:pos="4320"/>
        <w:tab w:val="clear" w:pos="8640"/>
        <w:tab w:val="center" w:pos="7938"/>
      </w:tabs>
      <w:ind w:left="1021"/>
      <w:jc w:val="right"/>
    </w:pPr>
    <w:r w:rsidRPr="00FC5119">
      <w:rPr>
        <w:noProof/>
        <w:color w:val="FFFFFF" w:themeColor="background1"/>
      </w:rPr>
      <w:drawing>
        <wp:anchor distT="0" distB="0" distL="114300" distR="114300" simplePos="0" relativeHeight="251663360" behindDoc="1" locked="0" layoutInCell="1" allowOverlap="1" wp14:anchorId="48CC82B1" wp14:editId="68BE8E4D">
          <wp:simplePos x="0" y="0"/>
          <wp:positionH relativeFrom="page">
            <wp:posOffset>3175</wp:posOffset>
          </wp:positionH>
          <wp:positionV relativeFrom="page">
            <wp:posOffset>9846310</wp:posOffset>
          </wp:positionV>
          <wp:extent cx="7554036" cy="876300"/>
          <wp:effectExtent l="0" t="0" r="0" b="0"/>
          <wp:wrapNone/>
          <wp:docPr id="140474174" name="Picture 1404741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74174" name="Picture 1404741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4036" cy="876300"/>
                  </a:xfrm>
                  <a:prstGeom prst="rect">
                    <a:avLst/>
                  </a:prstGeom>
                </pic:spPr>
              </pic:pic>
            </a:graphicData>
          </a:graphic>
          <wp14:sizeRelH relativeFrom="margin">
            <wp14:pctWidth>0</wp14:pctWidth>
          </wp14:sizeRelH>
          <wp14:sizeRelV relativeFrom="margin">
            <wp14:pctHeight>0</wp14:pctHeight>
          </wp14:sizeRelV>
        </wp:anchor>
      </w:drawing>
    </w:r>
    <w:r w:rsidRPr="00FC5119">
      <w:rPr>
        <w:noProof/>
        <w:color w:val="FFFFFF" w:themeColor="background1"/>
      </w:rPr>
      <w:drawing>
        <wp:anchor distT="0" distB="0" distL="114300" distR="114300" simplePos="0" relativeHeight="251664384" behindDoc="1" locked="0" layoutInCell="1" allowOverlap="1" wp14:anchorId="7165FD2E" wp14:editId="70AECC69">
          <wp:simplePos x="0" y="0"/>
          <wp:positionH relativeFrom="page">
            <wp:posOffset>9732</wp:posOffset>
          </wp:positionH>
          <wp:positionV relativeFrom="page">
            <wp:posOffset>9863847</wp:posOffset>
          </wp:positionV>
          <wp:extent cx="7524240" cy="824398"/>
          <wp:effectExtent l="0" t="0" r="0" b="0"/>
          <wp:wrapNone/>
          <wp:docPr id="218606511" name="Picture 2186065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06511" name="Picture 2186065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24240" cy="824398"/>
                  </a:xfrm>
                  <a:prstGeom prst="rect">
                    <a:avLst/>
                  </a:prstGeom>
                </pic:spPr>
              </pic:pic>
            </a:graphicData>
          </a:graphic>
          <wp14:sizeRelH relativeFrom="margin">
            <wp14:pctWidth>0</wp14:pctWidth>
          </wp14:sizeRelH>
          <wp14:sizeRelV relativeFrom="margin">
            <wp14:pctHeight>0</wp14:pctHeight>
          </wp14:sizeRelV>
        </wp:anchor>
      </w:drawing>
    </w:r>
    <w:r w:rsidRPr="00FC5119">
      <w:rPr>
        <w:color w:val="FFFFFF" w:themeColor="background1"/>
      </w:rPr>
      <w:t>evaluation.treasury.gov.au</w:t>
    </w:r>
    <w:r w:rsidRPr="00FC5119">
      <w:rPr>
        <w:color w:val="FFFFFF" w:themeColor="background1"/>
      </w:rPr>
      <w:tab/>
      <w:t xml:space="preserve">Last updated: </w:t>
    </w:r>
    <w:r w:rsidRPr="00FC5119">
      <w:rPr>
        <w:color w:val="FFFFFF" w:themeColor="background1"/>
      </w:rPr>
      <w:fldChar w:fldCharType="begin"/>
    </w:r>
    <w:r w:rsidRPr="00FC5119">
      <w:rPr>
        <w:color w:val="FFFFFF" w:themeColor="background1"/>
      </w:rPr>
      <w:instrText xml:space="preserve"> SAVEDATE  \@ "d MMMM yyyy"  \* MERGEFORMAT </w:instrText>
    </w:r>
    <w:r w:rsidRPr="00FC5119">
      <w:rPr>
        <w:color w:val="FFFFFF" w:themeColor="background1"/>
      </w:rPr>
      <w:fldChar w:fldCharType="separate"/>
    </w:r>
    <w:r w:rsidR="00C85782">
      <w:rPr>
        <w:noProof/>
        <w:color w:val="FFFFFF" w:themeColor="background1"/>
      </w:rPr>
      <w:t>20 November 2025</w:t>
    </w:r>
    <w:r w:rsidRPr="00FC5119">
      <w:rPr>
        <w:color w:val="FFFFFF" w:themeColor="background1"/>
      </w:rPr>
      <w:fldChar w:fldCharType="end"/>
    </w:r>
    <w:r w:rsidRPr="00FC5119">
      <w:rPr>
        <w:color w:val="FFFFFF" w:themeColor="background1"/>
      </w:rPr>
      <w:t xml:space="preserve"> | </w:t>
    </w:r>
    <w:r w:rsidRPr="00A32C73">
      <w:rPr>
        <w:rStyle w:val="Strong"/>
      </w:rPr>
      <w:fldChar w:fldCharType="begin"/>
    </w:r>
    <w:r w:rsidRPr="00A32C73">
      <w:rPr>
        <w:rStyle w:val="Strong"/>
      </w:rPr>
      <w:instrText xml:space="preserve"> PAGE   \* MERGEFORMAT </w:instrText>
    </w:r>
    <w:r w:rsidRPr="00A32C73">
      <w:rPr>
        <w:rStyle w:val="Strong"/>
      </w:rPr>
      <w:fldChar w:fldCharType="separate"/>
    </w:r>
    <w:r>
      <w:rPr>
        <w:rStyle w:val="Strong"/>
      </w:rPr>
      <w:t>2</w:t>
    </w:r>
    <w:r w:rsidRPr="00A32C73">
      <w:rPr>
        <w:rStyle w:val="Stron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1E54" w14:textId="54CC2AB5" w:rsidR="00A14D6A" w:rsidRDefault="00A14D6A" w:rsidP="00A14D6A">
    <w:pPr>
      <w:pStyle w:val="Footer"/>
      <w:tabs>
        <w:tab w:val="clear" w:pos="4320"/>
        <w:tab w:val="clear" w:pos="8640"/>
        <w:tab w:val="center" w:pos="7938"/>
      </w:tabs>
      <w:jc w:val="right"/>
    </w:pPr>
    <w:r>
      <w:rPr>
        <w:noProof/>
        <w:color w:val="FFFFFF" w:themeColor="background1"/>
      </w:rPr>
      <w:drawing>
        <wp:anchor distT="0" distB="0" distL="114300" distR="114300" simplePos="0" relativeHeight="251661312" behindDoc="1" locked="0" layoutInCell="1" allowOverlap="1" wp14:anchorId="7958CEA2" wp14:editId="4F4CDFD1">
          <wp:simplePos x="0" y="0"/>
          <wp:positionH relativeFrom="page">
            <wp:posOffset>3175</wp:posOffset>
          </wp:positionH>
          <wp:positionV relativeFrom="page">
            <wp:posOffset>9794240</wp:posOffset>
          </wp:positionV>
          <wp:extent cx="7560000" cy="893649"/>
          <wp:effectExtent l="0" t="0" r="0" b="0"/>
          <wp:wrapNone/>
          <wp:docPr id="1656568530" name="Picture 16565685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68530" name="Picture 16565685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93649"/>
                  </a:xfrm>
                  <a:prstGeom prst="rect">
                    <a:avLst/>
                  </a:prstGeom>
                </pic:spPr>
              </pic:pic>
            </a:graphicData>
          </a:graphic>
          <wp14:sizeRelH relativeFrom="margin">
            <wp14:pctWidth>0</wp14:pctWidth>
          </wp14:sizeRelH>
          <wp14:sizeRelV relativeFrom="margin">
            <wp14:pctHeight>0</wp14:pctHeight>
          </wp14:sizeRelV>
        </wp:anchor>
      </w:drawing>
    </w:r>
    <w:r w:rsidRPr="003E7BC1">
      <w:rPr>
        <w:rStyle w:val="ui-provider"/>
        <w:color w:val="FFFFFF" w:themeColor="background1"/>
      </w:rPr>
      <w:t>evaluation.treasury.gov.au</w:t>
    </w:r>
    <w:r>
      <w:tab/>
    </w:r>
    <w:r w:rsidRPr="003E7BC1">
      <w:rPr>
        <w:color w:val="FFFFFF" w:themeColor="background1"/>
      </w:rPr>
      <w:t xml:space="preserve">Last updated: </w:t>
    </w:r>
    <w:r w:rsidRPr="003E7BC1">
      <w:rPr>
        <w:color w:val="FFFFFF" w:themeColor="background1"/>
      </w:rPr>
      <w:fldChar w:fldCharType="begin"/>
    </w:r>
    <w:r w:rsidRPr="003E7BC1">
      <w:rPr>
        <w:color w:val="FFFFFF" w:themeColor="background1"/>
      </w:rPr>
      <w:instrText xml:space="preserve"> SAVEDATE  \@ "d MMMM yyyy"  \* MERGEFORMAT </w:instrText>
    </w:r>
    <w:r w:rsidRPr="003E7BC1">
      <w:rPr>
        <w:color w:val="FFFFFF" w:themeColor="background1"/>
      </w:rPr>
      <w:fldChar w:fldCharType="separate"/>
    </w:r>
    <w:r w:rsidR="00C85782">
      <w:rPr>
        <w:noProof/>
        <w:color w:val="FFFFFF" w:themeColor="background1"/>
      </w:rPr>
      <w:t>20 November 2025</w:t>
    </w:r>
    <w:r w:rsidRPr="003E7BC1">
      <w:rPr>
        <w:color w:val="FFFFFF" w:themeColor="background1"/>
      </w:rPr>
      <w:fldChar w:fldCharType="end"/>
    </w:r>
    <w:r w:rsidRPr="003E7BC1">
      <w:rPr>
        <w:color w:val="FFFFFF" w:themeColor="background1"/>
      </w:rPr>
      <w:t xml:space="preserve"> | </w:t>
    </w:r>
    <w:r w:rsidRPr="00A32C73">
      <w:rPr>
        <w:rStyle w:val="Strong"/>
      </w:rPr>
      <w:fldChar w:fldCharType="begin"/>
    </w:r>
    <w:r w:rsidRPr="00A32C73">
      <w:rPr>
        <w:rStyle w:val="Strong"/>
      </w:rPr>
      <w:instrText xml:space="preserve"> PAGE   \* MERGEFORMAT </w:instrText>
    </w:r>
    <w:r w:rsidRPr="00A32C73">
      <w:rPr>
        <w:rStyle w:val="Strong"/>
      </w:rPr>
      <w:fldChar w:fldCharType="separate"/>
    </w:r>
    <w:r>
      <w:rPr>
        <w:rStyle w:val="Strong"/>
      </w:rPr>
      <w:t>1</w:t>
    </w:r>
    <w:r w:rsidRPr="00A32C73">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A85D" w14:textId="77777777" w:rsidR="002C038B" w:rsidRDefault="002C038B" w:rsidP="00886BC4">
      <w:r>
        <w:separator/>
      </w:r>
    </w:p>
  </w:footnote>
  <w:footnote w:type="continuationSeparator" w:id="0">
    <w:p w14:paraId="7FB87922" w14:textId="77777777" w:rsidR="002C038B" w:rsidRDefault="002C038B" w:rsidP="00886BC4">
      <w:r>
        <w:continuationSeparator/>
      </w:r>
    </w:p>
    <w:p w14:paraId="630C17AB" w14:textId="77777777" w:rsidR="002C038B" w:rsidRDefault="002C038B"/>
  </w:footnote>
  <w:footnote w:type="continuationNotice" w:id="1">
    <w:p w14:paraId="0A669E5A" w14:textId="77777777" w:rsidR="002C038B" w:rsidRDefault="002C038B"/>
  </w:footnote>
  <w:footnote w:id="2">
    <w:p w14:paraId="0C658793" w14:textId="69FB7430" w:rsidR="009B1361" w:rsidRPr="00A76192" w:rsidRDefault="00BF29F7" w:rsidP="009A2645">
      <w:pPr>
        <w:pStyle w:val="FootnoteText"/>
      </w:pPr>
      <w:r w:rsidRPr="00BF29F7">
        <w:rPr>
          <w:rStyle w:val="FootnoteReference"/>
          <w:vertAlign w:val="baseline"/>
        </w:rPr>
        <w:footnoteRef/>
      </w:r>
      <w:r w:rsidR="009B1361" w:rsidRPr="00A76192">
        <w:t xml:space="preserve"> </w:t>
      </w:r>
      <w:r>
        <w:tab/>
      </w:r>
      <w:r w:rsidR="009B1361" w:rsidRPr="00332264">
        <w:rPr>
          <w:rStyle w:val="NoSpacingChar"/>
          <w:rFonts w:ascii="Calibri Light" w:hAnsi="Calibri Light" w:cs="Times New Roman"/>
          <w:sz w:val="20"/>
          <w:szCs w:val="20"/>
          <w:lang w:val="en-AU"/>
        </w:rPr>
        <w:t>NSW</w:t>
      </w:r>
      <w:r w:rsidR="009B1361" w:rsidRPr="00A76192">
        <w:rPr>
          <w:rStyle w:val="NoSpacingChar"/>
          <w:sz w:val="20"/>
          <w:szCs w:val="20"/>
        </w:rPr>
        <w:t xml:space="preserve"> </w:t>
      </w:r>
      <w:r w:rsidR="009B1361" w:rsidRPr="009A2645">
        <w:rPr>
          <w:rStyle w:val="NoSpacingChar"/>
          <w:rFonts w:ascii="Calibri Light" w:hAnsi="Calibri Light" w:cs="Times New Roman"/>
          <w:sz w:val="20"/>
          <w:szCs w:val="20"/>
          <w:lang w:val="en-AU"/>
        </w:rPr>
        <w:t>Government</w:t>
      </w:r>
      <w:r w:rsidR="009B1361" w:rsidRPr="00A76192">
        <w:rPr>
          <w:rStyle w:val="NoSpacingChar"/>
          <w:sz w:val="20"/>
          <w:szCs w:val="20"/>
        </w:rPr>
        <w:t xml:space="preserve">, The </w:t>
      </w:r>
      <w:r w:rsidR="009B1361" w:rsidRPr="00BF29F7">
        <w:rPr>
          <w:rStyle w:val="NoSpacingChar"/>
          <w:rFonts w:ascii="Calibri Light" w:hAnsi="Calibri Light" w:cs="Times New Roman"/>
          <w:sz w:val="20"/>
          <w:szCs w:val="20"/>
          <w:lang w:val="en-AU"/>
        </w:rPr>
        <w:t>Evidence</w:t>
      </w:r>
      <w:r w:rsidR="009B1361" w:rsidRPr="00A76192">
        <w:rPr>
          <w:rStyle w:val="NoSpacingChar"/>
          <w:sz w:val="20"/>
          <w:szCs w:val="20"/>
        </w:rPr>
        <w:t xml:space="preserve"> Portal: What is evidence?, 2022, </w:t>
      </w:r>
      <w:hyperlink r:id="rId1" w:history="1">
        <w:r w:rsidR="00A76192" w:rsidRPr="00A76192">
          <w:rPr>
            <w:rStyle w:val="Hyperlink"/>
          </w:rPr>
          <w:t>https://dcj.nsw.gov.au/content/dcj/evidenceportal/evidence-portal-home/using-evidence/what-is-evidence.html</w:t>
        </w:r>
      </w:hyperlink>
    </w:p>
  </w:footnote>
  <w:footnote w:id="3">
    <w:p w14:paraId="35D3A123" w14:textId="714A583E" w:rsidR="009B1361" w:rsidRDefault="00BF29F7" w:rsidP="009A2645">
      <w:pPr>
        <w:pStyle w:val="FootnoteText"/>
      </w:pPr>
      <w:r w:rsidRPr="00BF29F7">
        <w:rPr>
          <w:rStyle w:val="FootnoteReference"/>
          <w:vertAlign w:val="baseline"/>
        </w:rPr>
        <w:footnoteRef/>
      </w:r>
      <w:r w:rsidR="009B1361" w:rsidRPr="00A76192">
        <w:t xml:space="preserve"> </w:t>
      </w:r>
      <w:r>
        <w:tab/>
      </w:r>
      <w:r w:rsidR="009B1361" w:rsidRPr="00A76192">
        <w:t xml:space="preserve">Results for Development, ‘A Brief on Evidence Translation and Translators’, 2018, </w:t>
      </w:r>
      <w:hyperlink r:id="rId2" w:history="1">
        <w:r w:rsidR="009B1361" w:rsidRPr="00A76192">
          <w:rPr>
            <w:rStyle w:val="Hyperlink"/>
          </w:rPr>
          <w:t>https://www.r4d.org/wp-content/uploads/R4D_EIP-TranslatorBrief_F_WEB.pdf</w:t>
        </w:r>
      </w:hyperlink>
      <w:r w:rsidR="009B1361" w:rsidRPr="00A76192">
        <w:t xml:space="preserve"> </w:t>
      </w:r>
    </w:p>
  </w:footnote>
  <w:footnote w:id="4">
    <w:p w14:paraId="1F914A3E" w14:textId="71A5631E" w:rsidR="00957740" w:rsidRDefault="00BF29F7" w:rsidP="009A2645">
      <w:pPr>
        <w:pStyle w:val="FootnoteText"/>
      </w:pPr>
      <w:r w:rsidRPr="00BF29F7">
        <w:rPr>
          <w:rStyle w:val="FootnoteReference"/>
          <w:vertAlign w:val="baseline"/>
        </w:rPr>
        <w:footnoteRef/>
      </w:r>
      <w:r w:rsidR="00957740">
        <w:t xml:space="preserve"> </w:t>
      </w:r>
      <w:r w:rsidR="00332264">
        <w:tab/>
      </w:r>
      <w:r w:rsidR="00957740" w:rsidRPr="00332264">
        <w:t>Australian</w:t>
      </w:r>
      <w:r w:rsidR="00957740">
        <w:t xml:space="preserve"> Centre for Evaluation, ‘Toolkit: Impact evaluation,’ </w:t>
      </w:r>
      <w:r w:rsidR="00347C8C">
        <w:t xml:space="preserve">2023, </w:t>
      </w:r>
      <w:hyperlink r:id="rId3" w:history="1">
        <w:r w:rsidR="00347C8C" w:rsidRPr="00446DE1">
          <w:rPr>
            <w:rStyle w:val="Hyperlink"/>
          </w:rPr>
          <w:t>https://evaluation.treasury.gov.au/toolkit/impact-evaluation</w:t>
        </w:r>
      </w:hyperlink>
    </w:p>
  </w:footnote>
  <w:footnote w:id="5">
    <w:p w14:paraId="595E90F9" w14:textId="4E6CC75A" w:rsidR="009B1361" w:rsidRDefault="00BF29F7" w:rsidP="009A2645">
      <w:pPr>
        <w:pStyle w:val="FootnoteText"/>
      </w:pPr>
      <w:r w:rsidRPr="00BF29F7">
        <w:rPr>
          <w:rStyle w:val="FootnoteReference"/>
          <w:vertAlign w:val="baseline"/>
        </w:rPr>
        <w:footnoteRef/>
      </w:r>
      <w:r w:rsidR="009B1361">
        <w:t xml:space="preserve"> </w:t>
      </w:r>
      <w:r w:rsidR="00332264">
        <w:tab/>
      </w:r>
      <w:r w:rsidR="009B1361" w:rsidRPr="00332264">
        <w:t>Australian</w:t>
      </w:r>
      <w:r w:rsidR="009B1361">
        <w:t xml:space="preserve"> Centre for Evaluation, ‘Toolkit: Define evidence and data sources,’ 2023, </w:t>
      </w:r>
      <w:hyperlink r:id="rId4" w:history="1">
        <w:r w:rsidR="00CF7EC5" w:rsidRPr="00BC5AD2">
          <w:rPr>
            <w:rStyle w:val="Hyperlink"/>
          </w:rPr>
          <w:t>https://evaluation.treasury.gov.au/toolkit/define-evidence-and-data-sources</w:t>
        </w:r>
      </w:hyperlink>
      <w:r w:rsidR="009B1361">
        <w:t xml:space="preserve"> </w:t>
      </w:r>
    </w:p>
  </w:footnote>
  <w:footnote w:id="6">
    <w:p w14:paraId="035CA94C" w14:textId="35109172" w:rsidR="002E7789" w:rsidRDefault="00BF29F7" w:rsidP="009A2645">
      <w:pPr>
        <w:pStyle w:val="FootnoteText"/>
      </w:pPr>
      <w:r w:rsidRPr="00BF29F7">
        <w:rPr>
          <w:rStyle w:val="FootnoteReference"/>
          <w:vertAlign w:val="baseline"/>
        </w:rPr>
        <w:footnoteRef/>
      </w:r>
      <w:r w:rsidR="002E7789">
        <w:t xml:space="preserve"> </w:t>
      </w:r>
      <w:r w:rsidR="00332264">
        <w:tab/>
      </w:r>
      <w:r w:rsidR="002E7789">
        <w:t>Australian Centre for Evaluation, ‘Toolkit: Evaluation planning for new policy proposals,’ 2023,</w:t>
      </w:r>
      <w:r w:rsidR="00CF7EC5">
        <w:t xml:space="preserve"> </w:t>
      </w:r>
      <w:hyperlink r:id="rId5" w:history="1">
        <w:r w:rsidR="00CF7EC5" w:rsidRPr="00BC5AD2">
          <w:rPr>
            <w:rStyle w:val="Hyperlink"/>
          </w:rPr>
          <w:t>https://evaluation.treasury.gov.au/toolkit/new-policy-proposals</w:t>
        </w:r>
      </w:hyperlink>
      <w:r w:rsidR="002E7789">
        <w:t xml:space="preserve"> </w:t>
      </w:r>
    </w:p>
  </w:footnote>
  <w:footnote w:id="7">
    <w:p w14:paraId="3D8A2177" w14:textId="068BE459" w:rsidR="002E7789" w:rsidRDefault="00BF29F7" w:rsidP="009A2645">
      <w:pPr>
        <w:pStyle w:val="FootnoteText"/>
      </w:pPr>
      <w:r w:rsidRPr="00BF29F7">
        <w:rPr>
          <w:rStyle w:val="FootnoteReference"/>
          <w:vertAlign w:val="baseline"/>
        </w:rPr>
        <w:footnoteRef/>
      </w:r>
      <w:r w:rsidR="002E7789">
        <w:t xml:space="preserve"> </w:t>
      </w:r>
      <w:r w:rsidR="00332264">
        <w:tab/>
      </w:r>
      <w:r w:rsidR="002E7789">
        <w:t xml:space="preserve">Australian Centre for Evaluation, ‘Toolkit: Evaluation in context’, 2023, </w:t>
      </w:r>
      <w:hyperlink r:id="rId6" w:history="1">
        <w:r w:rsidR="002E7789" w:rsidRPr="007C78CE">
          <w:rPr>
            <w:rStyle w:val="Hyperlink"/>
          </w:rPr>
          <w:t>https://evaluation.treasury.gov.au/toolkit/evaluation-context</w:t>
        </w:r>
      </w:hyperlink>
      <w:r w:rsidR="002E778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0540" w14:textId="70101DEA" w:rsidR="00A14D6A" w:rsidRDefault="00DD6B74">
    <w:pPr>
      <w:pStyle w:val="Header"/>
    </w:pPr>
    <w:fldSimple w:instr=" STYLEREF  &quot;Fact sheet title&quot;  \* MERGEFORMAT ">
      <w:r w:rsidR="00C85782">
        <w:rPr>
          <w:noProof/>
        </w:rPr>
        <w:t>Commonwealth Evaluation Maturity Model – Glossary and FAQs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733F" w14:textId="41E17888" w:rsidR="00C45A8E" w:rsidRDefault="00A14D6A">
    <w:pPr>
      <w:pStyle w:val="Header"/>
    </w:pPr>
    <w:r>
      <w:rPr>
        <w:noProof/>
      </w:rPr>
      <w:drawing>
        <wp:anchor distT="0" distB="0" distL="114300" distR="114300" simplePos="0" relativeHeight="251659264" behindDoc="1" locked="0" layoutInCell="1" allowOverlap="0" wp14:anchorId="01D9E336" wp14:editId="16B48811">
          <wp:simplePos x="0" y="0"/>
          <wp:positionH relativeFrom="margin">
            <wp:posOffset>-1093470</wp:posOffset>
          </wp:positionH>
          <wp:positionV relativeFrom="margin">
            <wp:posOffset>-1075690</wp:posOffset>
          </wp:positionV>
          <wp:extent cx="7587341" cy="2811600"/>
          <wp:effectExtent l="0" t="0" r="0" b="8255"/>
          <wp:wrapNone/>
          <wp:docPr id="549674347" name="Picture 5496743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7341" cy="281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pStyle w:val="Table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1C6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52CF1"/>
    <w:multiLevelType w:val="multilevel"/>
    <w:tmpl w:val="B7B2C9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09A8345D"/>
    <w:multiLevelType w:val="hybridMultilevel"/>
    <w:tmpl w:val="E69A4CC4"/>
    <w:lvl w:ilvl="0" w:tplc="1EE806B6">
      <w:start w:val="1"/>
      <w:numFmt w:val="upp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D257302"/>
    <w:multiLevelType w:val="hybridMultilevel"/>
    <w:tmpl w:val="DF521188"/>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9422C20"/>
    <w:multiLevelType w:val="multilevel"/>
    <w:tmpl w:val="07EAEB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866E08"/>
    <w:multiLevelType w:val="hybridMultilevel"/>
    <w:tmpl w:val="5FCC6EF8"/>
    <w:lvl w:ilvl="0" w:tplc="431CEC50">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B455152"/>
    <w:multiLevelType w:val="multilevel"/>
    <w:tmpl w:val="EB6AFE7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7F5324"/>
    <w:multiLevelType w:val="hybridMultilevel"/>
    <w:tmpl w:val="E23A4C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4B61DE2"/>
    <w:multiLevelType w:val="hybridMultilevel"/>
    <w:tmpl w:val="160C0B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51F5856"/>
    <w:multiLevelType w:val="hybridMultilevel"/>
    <w:tmpl w:val="814A7E20"/>
    <w:lvl w:ilvl="0" w:tplc="2CCCD896">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22" w15:restartNumberingAfterBreak="0">
    <w:nsid w:val="283522A4"/>
    <w:multiLevelType w:val="hybridMultilevel"/>
    <w:tmpl w:val="3612A3F0"/>
    <w:lvl w:ilvl="0" w:tplc="99221884">
      <w:start w:val="1"/>
      <w:numFmt w:val="bullet"/>
      <w:lvlText w:val="•"/>
      <w:lvlJc w:val="left"/>
      <w:pPr>
        <w:tabs>
          <w:tab w:val="num" w:pos="720"/>
        </w:tabs>
        <w:ind w:left="720" w:hanging="360"/>
      </w:pPr>
      <w:rPr>
        <w:rFonts w:ascii="Times New Roman" w:hAnsi="Times New Roman" w:hint="default"/>
      </w:rPr>
    </w:lvl>
    <w:lvl w:ilvl="1" w:tplc="C278EEB0">
      <w:start w:val="1"/>
      <w:numFmt w:val="bullet"/>
      <w:lvlText w:val="•"/>
      <w:lvlJc w:val="left"/>
      <w:pPr>
        <w:tabs>
          <w:tab w:val="num" w:pos="1440"/>
        </w:tabs>
        <w:ind w:left="1440" w:hanging="360"/>
      </w:pPr>
      <w:rPr>
        <w:rFonts w:ascii="Times New Roman" w:hAnsi="Times New Roman" w:hint="default"/>
      </w:rPr>
    </w:lvl>
    <w:lvl w:ilvl="2" w:tplc="88A4638C" w:tentative="1">
      <w:start w:val="1"/>
      <w:numFmt w:val="bullet"/>
      <w:lvlText w:val="•"/>
      <w:lvlJc w:val="left"/>
      <w:pPr>
        <w:tabs>
          <w:tab w:val="num" w:pos="2160"/>
        </w:tabs>
        <w:ind w:left="2160" w:hanging="360"/>
      </w:pPr>
      <w:rPr>
        <w:rFonts w:ascii="Times New Roman" w:hAnsi="Times New Roman" w:hint="default"/>
      </w:rPr>
    </w:lvl>
    <w:lvl w:ilvl="3" w:tplc="4BC41016" w:tentative="1">
      <w:start w:val="1"/>
      <w:numFmt w:val="bullet"/>
      <w:lvlText w:val="•"/>
      <w:lvlJc w:val="left"/>
      <w:pPr>
        <w:tabs>
          <w:tab w:val="num" w:pos="2880"/>
        </w:tabs>
        <w:ind w:left="2880" w:hanging="360"/>
      </w:pPr>
      <w:rPr>
        <w:rFonts w:ascii="Times New Roman" w:hAnsi="Times New Roman" w:hint="default"/>
      </w:rPr>
    </w:lvl>
    <w:lvl w:ilvl="4" w:tplc="8474D256" w:tentative="1">
      <w:start w:val="1"/>
      <w:numFmt w:val="bullet"/>
      <w:lvlText w:val="•"/>
      <w:lvlJc w:val="left"/>
      <w:pPr>
        <w:tabs>
          <w:tab w:val="num" w:pos="3600"/>
        </w:tabs>
        <w:ind w:left="3600" w:hanging="360"/>
      </w:pPr>
      <w:rPr>
        <w:rFonts w:ascii="Times New Roman" w:hAnsi="Times New Roman" w:hint="default"/>
      </w:rPr>
    </w:lvl>
    <w:lvl w:ilvl="5" w:tplc="E18C6C10" w:tentative="1">
      <w:start w:val="1"/>
      <w:numFmt w:val="bullet"/>
      <w:lvlText w:val="•"/>
      <w:lvlJc w:val="left"/>
      <w:pPr>
        <w:tabs>
          <w:tab w:val="num" w:pos="4320"/>
        </w:tabs>
        <w:ind w:left="4320" w:hanging="360"/>
      </w:pPr>
      <w:rPr>
        <w:rFonts w:ascii="Times New Roman" w:hAnsi="Times New Roman" w:hint="default"/>
      </w:rPr>
    </w:lvl>
    <w:lvl w:ilvl="6" w:tplc="31E20B4E" w:tentative="1">
      <w:start w:val="1"/>
      <w:numFmt w:val="bullet"/>
      <w:lvlText w:val="•"/>
      <w:lvlJc w:val="left"/>
      <w:pPr>
        <w:tabs>
          <w:tab w:val="num" w:pos="5040"/>
        </w:tabs>
        <w:ind w:left="5040" w:hanging="360"/>
      </w:pPr>
      <w:rPr>
        <w:rFonts w:ascii="Times New Roman" w:hAnsi="Times New Roman" w:hint="default"/>
      </w:rPr>
    </w:lvl>
    <w:lvl w:ilvl="7" w:tplc="26ECB836" w:tentative="1">
      <w:start w:val="1"/>
      <w:numFmt w:val="bullet"/>
      <w:lvlText w:val="•"/>
      <w:lvlJc w:val="left"/>
      <w:pPr>
        <w:tabs>
          <w:tab w:val="num" w:pos="5760"/>
        </w:tabs>
        <w:ind w:left="5760" w:hanging="360"/>
      </w:pPr>
      <w:rPr>
        <w:rFonts w:ascii="Times New Roman" w:hAnsi="Times New Roman" w:hint="default"/>
      </w:rPr>
    </w:lvl>
    <w:lvl w:ilvl="8" w:tplc="69008AA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3569323A"/>
    <w:multiLevelType w:val="hybridMultilevel"/>
    <w:tmpl w:val="B9D004AE"/>
    <w:lvl w:ilvl="0" w:tplc="4E04615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62096B"/>
    <w:multiLevelType w:val="hybridMultilevel"/>
    <w:tmpl w:val="744E6F6E"/>
    <w:lvl w:ilvl="0" w:tplc="6E369DE2">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D437ED9"/>
    <w:multiLevelType w:val="hybridMultilevel"/>
    <w:tmpl w:val="56C67766"/>
    <w:lvl w:ilvl="0" w:tplc="F4B0BF8E">
      <w:start w:val="1"/>
      <w:numFmt w:val="bullet"/>
      <w:lvlText w:val="•"/>
      <w:lvlJc w:val="left"/>
      <w:pPr>
        <w:tabs>
          <w:tab w:val="num" w:pos="501"/>
        </w:tabs>
        <w:ind w:left="501" w:hanging="360"/>
      </w:pPr>
      <w:rPr>
        <w:rFonts w:ascii="Arial" w:hAnsi="Arial" w:hint="default"/>
      </w:rPr>
    </w:lvl>
    <w:lvl w:ilvl="1" w:tplc="4684BD8E" w:tentative="1">
      <w:start w:val="1"/>
      <w:numFmt w:val="bullet"/>
      <w:lvlText w:val="•"/>
      <w:lvlJc w:val="left"/>
      <w:pPr>
        <w:tabs>
          <w:tab w:val="num" w:pos="1221"/>
        </w:tabs>
        <w:ind w:left="1221" w:hanging="360"/>
      </w:pPr>
      <w:rPr>
        <w:rFonts w:ascii="Arial" w:hAnsi="Arial" w:hint="default"/>
      </w:rPr>
    </w:lvl>
    <w:lvl w:ilvl="2" w:tplc="A5C29D02" w:tentative="1">
      <w:start w:val="1"/>
      <w:numFmt w:val="bullet"/>
      <w:lvlText w:val="•"/>
      <w:lvlJc w:val="left"/>
      <w:pPr>
        <w:tabs>
          <w:tab w:val="num" w:pos="1941"/>
        </w:tabs>
        <w:ind w:left="1941" w:hanging="360"/>
      </w:pPr>
      <w:rPr>
        <w:rFonts w:ascii="Arial" w:hAnsi="Arial" w:hint="default"/>
      </w:rPr>
    </w:lvl>
    <w:lvl w:ilvl="3" w:tplc="F07EB97A" w:tentative="1">
      <w:start w:val="1"/>
      <w:numFmt w:val="bullet"/>
      <w:lvlText w:val="•"/>
      <w:lvlJc w:val="left"/>
      <w:pPr>
        <w:tabs>
          <w:tab w:val="num" w:pos="2661"/>
        </w:tabs>
        <w:ind w:left="2661" w:hanging="360"/>
      </w:pPr>
      <w:rPr>
        <w:rFonts w:ascii="Arial" w:hAnsi="Arial" w:hint="default"/>
      </w:rPr>
    </w:lvl>
    <w:lvl w:ilvl="4" w:tplc="2EC0ECA0" w:tentative="1">
      <w:start w:val="1"/>
      <w:numFmt w:val="bullet"/>
      <w:lvlText w:val="•"/>
      <w:lvlJc w:val="left"/>
      <w:pPr>
        <w:tabs>
          <w:tab w:val="num" w:pos="3381"/>
        </w:tabs>
        <w:ind w:left="3381" w:hanging="360"/>
      </w:pPr>
      <w:rPr>
        <w:rFonts w:ascii="Arial" w:hAnsi="Arial" w:hint="default"/>
      </w:rPr>
    </w:lvl>
    <w:lvl w:ilvl="5" w:tplc="4A7AA9AC" w:tentative="1">
      <w:start w:val="1"/>
      <w:numFmt w:val="bullet"/>
      <w:lvlText w:val="•"/>
      <w:lvlJc w:val="left"/>
      <w:pPr>
        <w:tabs>
          <w:tab w:val="num" w:pos="4101"/>
        </w:tabs>
        <w:ind w:left="4101" w:hanging="360"/>
      </w:pPr>
      <w:rPr>
        <w:rFonts w:ascii="Arial" w:hAnsi="Arial" w:hint="default"/>
      </w:rPr>
    </w:lvl>
    <w:lvl w:ilvl="6" w:tplc="9F8E9038" w:tentative="1">
      <w:start w:val="1"/>
      <w:numFmt w:val="bullet"/>
      <w:lvlText w:val="•"/>
      <w:lvlJc w:val="left"/>
      <w:pPr>
        <w:tabs>
          <w:tab w:val="num" w:pos="4821"/>
        </w:tabs>
        <w:ind w:left="4821" w:hanging="360"/>
      </w:pPr>
      <w:rPr>
        <w:rFonts w:ascii="Arial" w:hAnsi="Arial" w:hint="default"/>
      </w:rPr>
    </w:lvl>
    <w:lvl w:ilvl="7" w:tplc="18C6BBA8" w:tentative="1">
      <w:start w:val="1"/>
      <w:numFmt w:val="bullet"/>
      <w:lvlText w:val="•"/>
      <w:lvlJc w:val="left"/>
      <w:pPr>
        <w:tabs>
          <w:tab w:val="num" w:pos="5541"/>
        </w:tabs>
        <w:ind w:left="5541" w:hanging="360"/>
      </w:pPr>
      <w:rPr>
        <w:rFonts w:ascii="Arial" w:hAnsi="Arial" w:hint="default"/>
      </w:rPr>
    </w:lvl>
    <w:lvl w:ilvl="8" w:tplc="91BE9582" w:tentative="1">
      <w:start w:val="1"/>
      <w:numFmt w:val="bullet"/>
      <w:lvlText w:val="•"/>
      <w:lvlJc w:val="left"/>
      <w:pPr>
        <w:tabs>
          <w:tab w:val="num" w:pos="6261"/>
        </w:tabs>
        <w:ind w:left="6261" w:hanging="360"/>
      </w:pPr>
      <w:rPr>
        <w:rFonts w:ascii="Arial" w:hAnsi="Arial" w:hint="default"/>
      </w:rPr>
    </w:lvl>
  </w:abstractNum>
  <w:abstractNum w:abstractNumId="27" w15:restartNumberingAfterBreak="0">
    <w:nsid w:val="3DE36FFA"/>
    <w:multiLevelType w:val="hybridMultilevel"/>
    <w:tmpl w:val="30020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B17D8A"/>
    <w:multiLevelType w:val="multilevel"/>
    <w:tmpl w:val="F2D803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4C0E7A"/>
    <w:multiLevelType w:val="hybridMultilevel"/>
    <w:tmpl w:val="2954C2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707BB0"/>
    <w:multiLevelType w:val="hybridMultilevel"/>
    <w:tmpl w:val="84FE677E"/>
    <w:lvl w:ilvl="0" w:tplc="95DC828A">
      <w:start w:val="1"/>
      <w:numFmt w:val="lowerRoman"/>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1" w15:restartNumberingAfterBreak="0">
    <w:nsid w:val="526247A8"/>
    <w:multiLevelType w:val="hybridMultilevel"/>
    <w:tmpl w:val="5D0ACFDC"/>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33" w15:restartNumberingAfterBreak="0">
    <w:nsid w:val="58601595"/>
    <w:multiLevelType w:val="hybridMultilevel"/>
    <w:tmpl w:val="F0B04BA8"/>
    <w:lvl w:ilvl="0" w:tplc="15CA4E02">
      <w:start w:val="1"/>
      <w:numFmt w:val="lowerRoman"/>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1A1557"/>
    <w:multiLevelType w:val="hybridMultilevel"/>
    <w:tmpl w:val="ECFAB5C8"/>
    <w:lvl w:ilvl="0" w:tplc="99B06E6E">
      <w:numFmt w:val="bullet"/>
      <w:lvlText w:val=""/>
      <w:lvlJc w:val="left"/>
      <w:pPr>
        <w:ind w:left="501" w:hanging="360"/>
      </w:pPr>
      <w:rPr>
        <w:rFonts w:ascii="Symbol" w:eastAsiaTheme="minorHAnsi" w:hAnsi="Symbol" w:cstheme="minorBidi"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35" w15:restartNumberingAfterBreak="0">
    <w:nsid w:val="59CE7BC1"/>
    <w:multiLevelType w:val="multilevel"/>
    <w:tmpl w:val="72D4992A"/>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60" w:hanging="360"/>
      </w:pPr>
    </w:lvl>
  </w:abstractNum>
  <w:abstractNum w:abstractNumId="36"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1E013A"/>
    <w:multiLevelType w:val="multilevel"/>
    <w:tmpl w:val="8E388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47767D"/>
    <w:multiLevelType w:val="hybridMultilevel"/>
    <w:tmpl w:val="BDECA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F32254"/>
    <w:multiLevelType w:val="hybridMultilevel"/>
    <w:tmpl w:val="0B643B96"/>
    <w:lvl w:ilvl="0" w:tplc="580C4AEE">
      <w:start w:val="1"/>
      <w:numFmt w:val="decimal"/>
      <w:lvlText w:val="%1."/>
      <w:lvlJc w:val="left"/>
      <w:pPr>
        <w:ind w:left="720" w:hanging="360"/>
      </w:pPr>
      <w:rPr>
        <w:rFonts w:hint="default"/>
        <w:b/>
        <w:bC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4"/>
  </w:num>
  <w:num w:numId="2" w16cid:durableId="792334275">
    <w:abstractNumId w:val="40"/>
  </w:num>
  <w:num w:numId="3" w16cid:durableId="194268924">
    <w:abstractNumId w:val="32"/>
  </w:num>
  <w:num w:numId="4" w16cid:durableId="462625690">
    <w:abstractNumId w:val="36"/>
  </w:num>
  <w:num w:numId="5" w16cid:durableId="1080833930">
    <w:abstractNumId w:val="21"/>
  </w:num>
  <w:num w:numId="6" w16cid:durableId="1645507674">
    <w:abstractNumId w:val="7"/>
  </w:num>
  <w:num w:numId="7" w16cid:durableId="695547246">
    <w:abstractNumId w:val="41"/>
  </w:num>
  <w:num w:numId="8" w16cid:durableId="2016758713">
    <w:abstractNumId w:val="11"/>
  </w:num>
  <w:num w:numId="9" w16cid:durableId="1294407382">
    <w:abstractNumId w:val="23"/>
  </w:num>
  <w:num w:numId="10" w16cid:durableId="984508152">
    <w:abstractNumId w:val="9"/>
  </w:num>
  <w:num w:numId="11" w16cid:durableId="458031404">
    <w:abstractNumId w:val="6"/>
  </w:num>
  <w:num w:numId="12" w16cid:durableId="472214361">
    <w:abstractNumId w:val="5"/>
  </w:num>
  <w:num w:numId="13" w16cid:durableId="62416810">
    <w:abstractNumId w:val="4"/>
  </w:num>
  <w:num w:numId="14" w16cid:durableId="520556781">
    <w:abstractNumId w:val="8"/>
  </w:num>
  <w:num w:numId="15" w16cid:durableId="241915760">
    <w:abstractNumId w:val="3"/>
  </w:num>
  <w:num w:numId="16" w16cid:durableId="1615288521">
    <w:abstractNumId w:val="2"/>
  </w:num>
  <w:num w:numId="17" w16cid:durableId="259028629">
    <w:abstractNumId w:val="1"/>
  </w:num>
  <w:num w:numId="18" w16cid:durableId="411658734">
    <w:abstractNumId w:val="0"/>
  </w:num>
  <w:num w:numId="19" w16cid:durableId="215045052">
    <w:abstractNumId w:val="39"/>
  </w:num>
  <w:num w:numId="20" w16cid:durableId="1001544101">
    <w:abstractNumId w:val="38"/>
  </w:num>
  <w:num w:numId="21" w16cid:durableId="1362972015">
    <w:abstractNumId w:val="19"/>
  </w:num>
  <w:num w:numId="22" w16cid:durableId="591862867">
    <w:abstractNumId w:val="22"/>
  </w:num>
  <w:num w:numId="23" w16cid:durableId="178545097">
    <w:abstractNumId w:val="37"/>
  </w:num>
  <w:num w:numId="24" w16cid:durableId="968585400">
    <w:abstractNumId w:val="15"/>
  </w:num>
  <w:num w:numId="25" w16cid:durableId="2005090299">
    <w:abstractNumId w:val="10"/>
  </w:num>
  <w:num w:numId="26" w16cid:durableId="199898048">
    <w:abstractNumId w:val="28"/>
  </w:num>
  <w:num w:numId="27" w16cid:durableId="2003240398">
    <w:abstractNumId w:val="17"/>
  </w:num>
  <w:num w:numId="28" w16cid:durableId="227960470">
    <w:abstractNumId w:val="34"/>
  </w:num>
  <w:num w:numId="29" w16cid:durableId="1292899585">
    <w:abstractNumId w:val="18"/>
  </w:num>
  <w:num w:numId="30" w16cid:durableId="929050478">
    <w:abstractNumId w:val="29"/>
  </w:num>
  <w:num w:numId="31" w16cid:durableId="2129427969">
    <w:abstractNumId w:val="27"/>
  </w:num>
  <w:num w:numId="32" w16cid:durableId="1982692268">
    <w:abstractNumId w:val="31"/>
  </w:num>
  <w:num w:numId="33" w16cid:durableId="352532220">
    <w:abstractNumId w:val="26"/>
  </w:num>
  <w:num w:numId="34" w16cid:durableId="1463116887">
    <w:abstractNumId w:val="35"/>
  </w:num>
  <w:num w:numId="35" w16cid:durableId="1477839911">
    <w:abstractNumId w:val="13"/>
  </w:num>
  <w:num w:numId="36" w16cid:durableId="122238132">
    <w:abstractNumId w:val="12"/>
  </w:num>
  <w:num w:numId="37" w16cid:durableId="1523402037">
    <w:abstractNumId w:val="25"/>
  </w:num>
  <w:num w:numId="38" w16cid:durableId="253975324">
    <w:abstractNumId w:val="20"/>
  </w:num>
  <w:num w:numId="39" w16cid:durableId="1172910826">
    <w:abstractNumId w:val="33"/>
  </w:num>
  <w:num w:numId="40" w16cid:durableId="1645966144">
    <w:abstractNumId w:val="16"/>
  </w:num>
  <w:num w:numId="41" w16cid:durableId="652954803">
    <w:abstractNumId w:val="24"/>
  </w:num>
  <w:num w:numId="42" w16cid:durableId="251936370">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3E7BC1"/>
    <w:rsid w:val="000014AC"/>
    <w:rsid w:val="00004AB2"/>
    <w:rsid w:val="00004DBE"/>
    <w:rsid w:val="00004FA6"/>
    <w:rsid w:val="00005278"/>
    <w:rsid w:val="000115B1"/>
    <w:rsid w:val="0001344B"/>
    <w:rsid w:val="00015155"/>
    <w:rsid w:val="00016487"/>
    <w:rsid w:val="00016670"/>
    <w:rsid w:val="00016B4B"/>
    <w:rsid w:val="00016B6C"/>
    <w:rsid w:val="00020397"/>
    <w:rsid w:val="00020E09"/>
    <w:rsid w:val="0002151A"/>
    <w:rsid w:val="00032529"/>
    <w:rsid w:val="00033942"/>
    <w:rsid w:val="00034C86"/>
    <w:rsid w:val="000421F9"/>
    <w:rsid w:val="00044051"/>
    <w:rsid w:val="00044D73"/>
    <w:rsid w:val="00045C24"/>
    <w:rsid w:val="00046455"/>
    <w:rsid w:val="00047440"/>
    <w:rsid w:val="000603B1"/>
    <w:rsid w:val="00060C76"/>
    <w:rsid w:val="000614B9"/>
    <w:rsid w:val="00061EA6"/>
    <w:rsid w:val="00062B0B"/>
    <w:rsid w:val="00062CBB"/>
    <w:rsid w:val="000663E0"/>
    <w:rsid w:val="00067661"/>
    <w:rsid w:val="00067E65"/>
    <w:rsid w:val="000724E6"/>
    <w:rsid w:val="000753CE"/>
    <w:rsid w:val="000755BF"/>
    <w:rsid w:val="00077D27"/>
    <w:rsid w:val="0008255E"/>
    <w:rsid w:val="00084911"/>
    <w:rsid w:val="000854C7"/>
    <w:rsid w:val="000861BD"/>
    <w:rsid w:val="000867F2"/>
    <w:rsid w:val="00092AB4"/>
    <w:rsid w:val="0009372F"/>
    <w:rsid w:val="00094290"/>
    <w:rsid w:val="000A0AFC"/>
    <w:rsid w:val="000A1462"/>
    <w:rsid w:val="000A1575"/>
    <w:rsid w:val="000A2521"/>
    <w:rsid w:val="000A32DD"/>
    <w:rsid w:val="000A4D2D"/>
    <w:rsid w:val="000A7D6D"/>
    <w:rsid w:val="000B1EC3"/>
    <w:rsid w:val="000B2C0C"/>
    <w:rsid w:val="000B3C90"/>
    <w:rsid w:val="000B53DF"/>
    <w:rsid w:val="000B69FD"/>
    <w:rsid w:val="000B6C63"/>
    <w:rsid w:val="000C02C9"/>
    <w:rsid w:val="000C08AC"/>
    <w:rsid w:val="000C5383"/>
    <w:rsid w:val="000C5B76"/>
    <w:rsid w:val="000D20AC"/>
    <w:rsid w:val="000D2846"/>
    <w:rsid w:val="000D33F2"/>
    <w:rsid w:val="000D4652"/>
    <w:rsid w:val="000D7D2F"/>
    <w:rsid w:val="000E177C"/>
    <w:rsid w:val="000E324C"/>
    <w:rsid w:val="000E6008"/>
    <w:rsid w:val="000E643B"/>
    <w:rsid w:val="000E69C8"/>
    <w:rsid w:val="000F2493"/>
    <w:rsid w:val="000F2562"/>
    <w:rsid w:val="000F33C9"/>
    <w:rsid w:val="000F6C15"/>
    <w:rsid w:val="00102238"/>
    <w:rsid w:val="00105EBE"/>
    <w:rsid w:val="001060CD"/>
    <w:rsid w:val="00107A2F"/>
    <w:rsid w:val="00112384"/>
    <w:rsid w:val="00112A61"/>
    <w:rsid w:val="00113265"/>
    <w:rsid w:val="00113A3C"/>
    <w:rsid w:val="001145FD"/>
    <w:rsid w:val="00115B2E"/>
    <w:rsid w:val="0011628E"/>
    <w:rsid w:val="00117DDD"/>
    <w:rsid w:val="001205E0"/>
    <w:rsid w:val="001274C5"/>
    <w:rsid w:val="001305E3"/>
    <w:rsid w:val="00132C3E"/>
    <w:rsid w:val="001344DE"/>
    <w:rsid w:val="001363E7"/>
    <w:rsid w:val="001376CC"/>
    <w:rsid w:val="00140697"/>
    <w:rsid w:val="00140F47"/>
    <w:rsid w:val="001412DE"/>
    <w:rsid w:val="0014178A"/>
    <w:rsid w:val="00142EB9"/>
    <w:rsid w:val="00143ED9"/>
    <w:rsid w:val="00144673"/>
    <w:rsid w:val="00144B84"/>
    <w:rsid w:val="00146F22"/>
    <w:rsid w:val="00152AFD"/>
    <w:rsid w:val="00166A45"/>
    <w:rsid w:val="00167F36"/>
    <w:rsid w:val="00170798"/>
    <w:rsid w:val="00171F22"/>
    <w:rsid w:val="0017283D"/>
    <w:rsid w:val="00172C9B"/>
    <w:rsid w:val="00173BD1"/>
    <w:rsid w:val="00173DB6"/>
    <w:rsid w:val="00174954"/>
    <w:rsid w:val="001771CB"/>
    <w:rsid w:val="0018180B"/>
    <w:rsid w:val="00182E9E"/>
    <w:rsid w:val="00183F40"/>
    <w:rsid w:val="00187E23"/>
    <w:rsid w:val="00190678"/>
    <w:rsid w:val="001908A1"/>
    <w:rsid w:val="00190D7B"/>
    <w:rsid w:val="001912BE"/>
    <w:rsid w:val="00192367"/>
    <w:rsid w:val="001929D8"/>
    <w:rsid w:val="00192F3E"/>
    <w:rsid w:val="001931D9"/>
    <w:rsid w:val="00197414"/>
    <w:rsid w:val="001A1980"/>
    <w:rsid w:val="001A5155"/>
    <w:rsid w:val="001A5DCC"/>
    <w:rsid w:val="001A722C"/>
    <w:rsid w:val="001B0736"/>
    <w:rsid w:val="001B1CF0"/>
    <w:rsid w:val="001B35FD"/>
    <w:rsid w:val="001B3A29"/>
    <w:rsid w:val="001B52AF"/>
    <w:rsid w:val="001B540E"/>
    <w:rsid w:val="001C4202"/>
    <w:rsid w:val="001C4B69"/>
    <w:rsid w:val="001C5117"/>
    <w:rsid w:val="001C62A7"/>
    <w:rsid w:val="001C64BC"/>
    <w:rsid w:val="001C68D8"/>
    <w:rsid w:val="001C78AE"/>
    <w:rsid w:val="001C79C7"/>
    <w:rsid w:val="001D2D5E"/>
    <w:rsid w:val="001D45A4"/>
    <w:rsid w:val="001D5F20"/>
    <w:rsid w:val="001D7B79"/>
    <w:rsid w:val="001E0168"/>
    <w:rsid w:val="001E5623"/>
    <w:rsid w:val="001E6DC2"/>
    <w:rsid w:val="001E6EE0"/>
    <w:rsid w:val="001E73EE"/>
    <w:rsid w:val="001E7840"/>
    <w:rsid w:val="001E7CF5"/>
    <w:rsid w:val="001F2A0A"/>
    <w:rsid w:val="001F50DA"/>
    <w:rsid w:val="001F6270"/>
    <w:rsid w:val="001F643F"/>
    <w:rsid w:val="001F7B14"/>
    <w:rsid w:val="00203245"/>
    <w:rsid w:val="00205F44"/>
    <w:rsid w:val="002105F8"/>
    <w:rsid w:val="00211DB5"/>
    <w:rsid w:val="00215EE7"/>
    <w:rsid w:val="00220765"/>
    <w:rsid w:val="00223D87"/>
    <w:rsid w:val="00226195"/>
    <w:rsid w:val="002268AB"/>
    <w:rsid w:val="00226A79"/>
    <w:rsid w:val="00226C0E"/>
    <w:rsid w:val="00226F00"/>
    <w:rsid w:val="0022749C"/>
    <w:rsid w:val="00227C77"/>
    <w:rsid w:val="00231BBF"/>
    <w:rsid w:val="00233887"/>
    <w:rsid w:val="00233A88"/>
    <w:rsid w:val="00241B9A"/>
    <w:rsid w:val="0024226F"/>
    <w:rsid w:val="00242357"/>
    <w:rsid w:val="00242E1E"/>
    <w:rsid w:val="0024527D"/>
    <w:rsid w:val="00245342"/>
    <w:rsid w:val="002462BD"/>
    <w:rsid w:val="002537F8"/>
    <w:rsid w:val="002560CB"/>
    <w:rsid w:val="00260712"/>
    <w:rsid w:val="00261172"/>
    <w:rsid w:val="00261525"/>
    <w:rsid w:val="00261DEB"/>
    <w:rsid w:val="00263339"/>
    <w:rsid w:val="00263B57"/>
    <w:rsid w:val="0026561C"/>
    <w:rsid w:val="00265EEF"/>
    <w:rsid w:val="0026652E"/>
    <w:rsid w:val="00267AF0"/>
    <w:rsid w:val="00275016"/>
    <w:rsid w:val="002809F6"/>
    <w:rsid w:val="002822E6"/>
    <w:rsid w:val="00283303"/>
    <w:rsid w:val="00286134"/>
    <w:rsid w:val="00287F32"/>
    <w:rsid w:val="002906EA"/>
    <w:rsid w:val="00290BC4"/>
    <w:rsid w:val="0029134D"/>
    <w:rsid w:val="00291F10"/>
    <w:rsid w:val="00292E4F"/>
    <w:rsid w:val="00294144"/>
    <w:rsid w:val="00295A97"/>
    <w:rsid w:val="00295DBB"/>
    <w:rsid w:val="002978C8"/>
    <w:rsid w:val="002A0B32"/>
    <w:rsid w:val="002A1989"/>
    <w:rsid w:val="002A1DAA"/>
    <w:rsid w:val="002A4B83"/>
    <w:rsid w:val="002A6430"/>
    <w:rsid w:val="002A6B3D"/>
    <w:rsid w:val="002A79C5"/>
    <w:rsid w:val="002B2CA6"/>
    <w:rsid w:val="002C038B"/>
    <w:rsid w:val="002C0939"/>
    <w:rsid w:val="002C26D9"/>
    <w:rsid w:val="002C4A4C"/>
    <w:rsid w:val="002C7A84"/>
    <w:rsid w:val="002C7E96"/>
    <w:rsid w:val="002D1827"/>
    <w:rsid w:val="002D1BAD"/>
    <w:rsid w:val="002D3735"/>
    <w:rsid w:val="002D49D1"/>
    <w:rsid w:val="002D66BD"/>
    <w:rsid w:val="002D6D61"/>
    <w:rsid w:val="002D7C79"/>
    <w:rsid w:val="002E0041"/>
    <w:rsid w:val="002E1957"/>
    <w:rsid w:val="002E5657"/>
    <w:rsid w:val="002E592D"/>
    <w:rsid w:val="002E7789"/>
    <w:rsid w:val="002F1E24"/>
    <w:rsid w:val="002F2194"/>
    <w:rsid w:val="002F33D6"/>
    <w:rsid w:val="002F417B"/>
    <w:rsid w:val="002F42DA"/>
    <w:rsid w:val="002F5908"/>
    <w:rsid w:val="002F629E"/>
    <w:rsid w:val="002F65E6"/>
    <w:rsid w:val="002F6ADC"/>
    <w:rsid w:val="002F7F92"/>
    <w:rsid w:val="00300C95"/>
    <w:rsid w:val="00304FBD"/>
    <w:rsid w:val="003054A8"/>
    <w:rsid w:val="00306770"/>
    <w:rsid w:val="00307DA3"/>
    <w:rsid w:val="00307F6B"/>
    <w:rsid w:val="00311E6B"/>
    <w:rsid w:val="0031212C"/>
    <w:rsid w:val="00313E17"/>
    <w:rsid w:val="00316413"/>
    <w:rsid w:val="00323CDF"/>
    <w:rsid w:val="003250C6"/>
    <w:rsid w:val="00327413"/>
    <w:rsid w:val="00327D31"/>
    <w:rsid w:val="003305CA"/>
    <w:rsid w:val="00332264"/>
    <w:rsid w:val="0033304F"/>
    <w:rsid w:val="003366AE"/>
    <w:rsid w:val="003374A8"/>
    <w:rsid w:val="0034064A"/>
    <w:rsid w:val="00340DB2"/>
    <w:rsid w:val="00344034"/>
    <w:rsid w:val="0034564D"/>
    <w:rsid w:val="003478E5"/>
    <w:rsid w:val="00347C8C"/>
    <w:rsid w:val="00351763"/>
    <w:rsid w:val="00351E51"/>
    <w:rsid w:val="00351FE2"/>
    <w:rsid w:val="00353390"/>
    <w:rsid w:val="00353684"/>
    <w:rsid w:val="0035477B"/>
    <w:rsid w:val="00356A6C"/>
    <w:rsid w:val="00357842"/>
    <w:rsid w:val="00360F14"/>
    <w:rsid w:val="0036282A"/>
    <w:rsid w:val="00363627"/>
    <w:rsid w:val="003639A2"/>
    <w:rsid w:val="0036492B"/>
    <w:rsid w:val="00372AC1"/>
    <w:rsid w:val="00372CD9"/>
    <w:rsid w:val="003749FD"/>
    <w:rsid w:val="0037650C"/>
    <w:rsid w:val="00376B3C"/>
    <w:rsid w:val="0037731D"/>
    <w:rsid w:val="0037766E"/>
    <w:rsid w:val="00377B4A"/>
    <w:rsid w:val="00377C35"/>
    <w:rsid w:val="003802F4"/>
    <w:rsid w:val="00380342"/>
    <w:rsid w:val="0038111E"/>
    <w:rsid w:val="003811D1"/>
    <w:rsid w:val="003831AB"/>
    <w:rsid w:val="00385FCA"/>
    <w:rsid w:val="00386DEE"/>
    <w:rsid w:val="00390C06"/>
    <w:rsid w:val="00390D83"/>
    <w:rsid w:val="00391549"/>
    <w:rsid w:val="00391D62"/>
    <w:rsid w:val="003925DD"/>
    <w:rsid w:val="00394792"/>
    <w:rsid w:val="00394A39"/>
    <w:rsid w:val="00395D3E"/>
    <w:rsid w:val="003A0D19"/>
    <w:rsid w:val="003A3BCF"/>
    <w:rsid w:val="003A60DC"/>
    <w:rsid w:val="003A63D1"/>
    <w:rsid w:val="003B0F9A"/>
    <w:rsid w:val="003B6424"/>
    <w:rsid w:val="003B6B29"/>
    <w:rsid w:val="003B6D6E"/>
    <w:rsid w:val="003C047D"/>
    <w:rsid w:val="003C1EF7"/>
    <w:rsid w:val="003C3A43"/>
    <w:rsid w:val="003C4B2E"/>
    <w:rsid w:val="003C4F86"/>
    <w:rsid w:val="003C5311"/>
    <w:rsid w:val="003C789B"/>
    <w:rsid w:val="003C7F79"/>
    <w:rsid w:val="003D09FB"/>
    <w:rsid w:val="003D0BC9"/>
    <w:rsid w:val="003D70C2"/>
    <w:rsid w:val="003E1285"/>
    <w:rsid w:val="003E1EF3"/>
    <w:rsid w:val="003E26C5"/>
    <w:rsid w:val="003E41AB"/>
    <w:rsid w:val="003E5C91"/>
    <w:rsid w:val="003E7BC1"/>
    <w:rsid w:val="003F0BDF"/>
    <w:rsid w:val="003F2E2F"/>
    <w:rsid w:val="003F3B41"/>
    <w:rsid w:val="003F3F8F"/>
    <w:rsid w:val="003F424B"/>
    <w:rsid w:val="003F4277"/>
    <w:rsid w:val="003F4557"/>
    <w:rsid w:val="003F5E2C"/>
    <w:rsid w:val="00400216"/>
    <w:rsid w:val="00403DDB"/>
    <w:rsid w:val="00406B8E"/>
    <w:rsid w:val="0041046C"/>
    <w:rsid w:val="004146E6"/>
    <w:rsid w:val="00417529"/>
    <w:rsid w:val="004175FB"/>
    <w:rsid w:val="00420A5D"/>
    <w:rsid w:val="00421F5D"/>
    <w:rsid w:val="004249C7"/>
    <w:rsid w:val="00425E05"/>
    <w:rsid w:val="0042601F"/>
    <w:rsid w:val="00431EE9"/>
    <w:rsid w:val="00435430"/>
    <w:rsid w:val="00435A9A"/>
    <w:rsid w:val="0044134D"/>
    <w:rsid w:val="004413A6"/>
    <w:rsid w:val="0044189A"/>
    <w:rsid w:val="00442C7E"/>
    <w:rsid w:val="00442C87"/>
    <w:rsid w:val="00442D28"/>
    <w:rsid w:val="00442DF9"/>
    <w:rsid w:val="00444C36"/>
    <w:rsid w:val="00447A69"/>
    <w:rsid w:val="00450CCE"/>
    <w:rsid w:val="004542B7"/>
    <w:rsid w:val="004546DC"/>
    <w:rsid w:val="004557A5"/>
    <w:rsid w:val="004570BD"/>
    <w:rsid w:val="00457601"/>
    <w:rsid w:val="00462D8B"/>
    <w:rsid w:val="0046339F"/>
    <w:rsid w:val="00463639"/>
    <w:rsid w:val="00463D4E"/>
    <w:rsid w:val="0046465F"/>
    <w:rsid w:val="00470BA0"/>
    <w:rsid w:val="0047187C"/>
    <w:rsid w:val="00472186"/>
    <w:rsid w:val="0047507F"/>
    <w:rsid w:val="00476E03"/>
    <w:rsid w:val="00477439"/>
    <w:rsid w:val="00477509"/>
    <w:rsid w:val="004803B9"/>
    <w:rsid w:val="00482F00"/>
    <w:rsid w:val="00484854"/>
    <w:rsid w:val="00485A3D"/>
    <w:rsid w:val="00485EBC"/>
    <w:rsid w:val="00485FC2"/>
    <w:rsid w:val="00486B7C"/>
    <w:rsid w:val="00486D2F"/>
    <w:rsid w:val="00490C62"/>
    <w:rsid w:val="0049172C"/>
    <w:rsid w:val="00495E4F"/>
    <w:rsid w:val="00495F72"/>
    <w:rsid w:val="00496135"/>
    <w:rsid w:val="004961B5"/>
    <w:rsid w:val="0049673E"/>
    <w:rsid w:val="00496C34"/>
    <w:rsid w:val="004977E7"/>
    <w:rsid w:val="004A0F56"/>
    <w:rsid w:val="004A17A5"/>
    <w:rsid w:val="004A2AFD"/>
    <w:rsid w:val="004A3647"/>
    <w:rsid w:val="004A3739"/>
    <w:rsid w:val="004A37EA"/>
    <w:rsid w:val="004A4424"/>
    <w:rsid w:val="004A61EE"/>
    <w:rsid w:val="004A708C"/>
    <w:rsid w:val="004B08DC"/>
    <w:rsid w:val="004B0E29"/>
    <w:rsid w:val="004B1F82"/>
    <w:rsid w:val="004B39E3"/>
    <w:rsid w:val="004B419C"/>
    <w:rsid w:val="004B56B0"/>
    <w:rsid w:val="004C3235"/>
    <w:rsid w:val="004C5917"/>
    <w:rsid w:val="004C5E48"/>
    <w:rsid w:val="004C7557"/>
    <w:rsid w:val="004D0778"/>
    <w:rsid w:val="004D0B4E"/>
    <w:rsid w:val="004D0CE4"/>
    <w:rsid w:val="004D0E35"/>
    <w:rsid w:val="004D3356"/>
    <w:rsid w:val="004D75F6"/>
    <w:rsid w:val="004E1FB6"/>
    <w:rsid w:val="004E3DEF"/>
    <w:rsid w:val="004E424B"/>
    <w:rsid w:val="004E42F5"/>
    <w:rsid w:val="004E4702"/>
    <w:rsid w:val="004E5752"/>
    <w:rsid w:val="004E71FE"/>
    <w:rsid w:val="004E7F36"/>
    <w:rsid w:val="004F02D7"/>
    <w:rsid w:val="004F1F48"/>
    <w:rsid w:val="004F24D0"/>
    <w:rsid w:val="004F476C"/>
    <w:rsid w:val="00502E10"/>
    <w:rsid w:val="00504935"/>
    <w:rsid w:val="00505009"/>
    <w:rsid w:val="00506BF4"/>
    <w:rsid w:val="00507074"/>
    <w:rsid w:val="00507097"/>
    <w:rsid w:val="00507398"/>
    <w:rsid w:val="00510357"/>
    <w:rsid w:val="00511A53"/>
    <w:rsid w:val="00514228"/>
    <w:rsid w:val="00515AB3"/>
    <w:rsid w:val="0051600D"/>
    <w:rsid w:val="00516614"/>
    <w:rsid w:val="00516FB2"/>
    <w:rsid w:val="0052338B"/>
    <w:rsid w:val="005244A3"/>
    <w:rsid w:val="00524D17"/>
    <w:rsid w:val="00524DCE"/>
    <w:rsid w:val="00525050"/>
    <w:rsid w:val="00526268"/>
    <w:rsid w:val="00526F58"/>
    <w:rsid w:val="005301F0"/>
    <w:rsid w:val="00530C3A"/>
    <w:rsid w:val="00530FA3"/>
    <w:rsid w:val="0053110F"/>
    <w:rsid w:val="005311B9"/>
    <w:rsid w:val="00533428"/>
    <w:rsid w:val="00533FEF"/>
    <w:rsid w:val="0053403E"/>
    <w:rsid w:val="00535C81"/>
    <w:rsid w:val="00540A26"/>
    <w:rsid w:val="00543DC9"/>
    <w:rsid w:val="00546D8E"/>
    <w:rsid w:val="00546FDD"/>
    <w:rsid w:val="005476FA"/>
    <w:rsid w:val="00550511"/>
    <w:rsid w:val="0055053A"/>
    <w:rsid w:val="00550B7F"/>
    <w:rsid w:val="00551340"/>
    <w:rsid w:val="00552377"/>
    <w:rsid w:val="00554630"/>
    <w:rsid w:val="00554A6B"/>
    <w:rsid w:val="00556BA3"/>
    <w:rsid w:val="005606FD"/>
    <w:rsid w:val="00560778"/>
    <w:rsid w:val="005623D6"/>
    <w:rsid w:val="00562F1C"/>
    <w:rsid w:val="00565A52"/>
    <w:rsid w:val="00566AD8"/>
    <w:rsid w:val="00570A85"/>
    <w:rsid w:val="00570B86"/>
    <w:rsid w:val="005732EB"/>
    <w:rsid w:val="00575480"/>
    <w:rsid w:val="005756C6"/>
    <w:rsid w:val="00575AAF"/>
    <w:rsid w:val="005802CD"/>
    <w:rsid w:val="005803BF"/>
    <w:rsid w:val="00581DD4"/>
    <w:rsid w:val="00582315"/>
    <w:rsid w:val="00582FAD"/>
    <w:rsid w:val="00583DA7"/>
    <w:rsid w:val="0058466B"/>
    <w:rsid w:val="00585E7C"/>
    <w:rsid w:val="00585F7E"/>
    <w:rsid w:val="005868AB"/>
    <w:rsid w:val="005875F9"/>
    <w:rsid w:val="00590767"/>
    <w:rsid w:val="00590C50"/>
    <w:rsid w:val="00592B26"/>
    <w:rsid w:val="005939A7"/>
    <w:rsid w:val="0059441F"/>
    <w:rsid w:val="00594ABF"/>
    <w:rsid w:val="00595BC0"/>
    <w:rsid w:val="00597555"/>
    <w:rsid w:val="005A11E6"/>
    <w:rsid w:val="005A22AF"/>
    <w:rsid w:val="005A2484"/>
    <w:rsid w:val="005A426B"/>
    <w:rsid w:val="005A5338"/>
    <w:rsid w:val="005A5D00"/>
    <w:rsid w:val="005A6A61"/>
    <w:rsid w:val="005B0968"/>
    <w:rsid w:val="005B207E"/>
    <w:rsid w:val="005B2484"/>
    <w:rsid w:val="005B2BB2"/>
    <w:rsid w:val="005B3871"/>
    <w:rsid w:val="005B5D4E"/>
    <w:rsid w:val="005B62FD"/>
    <w:rsid w:val="005B659D"/>
    <w:rsid w:val="005B6B98"/>
    <w:rsid w:val="005B6F7C"/>
    <w:rsid w:val="005C0401"/>
    <w:rsid w:val="005C1326"/>
    <w:rsid w:val="005C224C"/>
    <w:rsid w:val="005C3527"/>
    <w:rsid w:val="005C4B02"/>
    <w:rsid w:val="005D013D"/>
    <w:rsid w:val="005D3F56"/>
    <w:rsid w:val="005D50CB"/>
    <w:rsid w:val="005E125F"/>
    <w:rsid w:val="005E211A"/>
    <w:rsid w:val="005E3178"/>
    <w:rsid w:val="005E380E"/>
    <w:rsid w:val="005E4B33"/>
    <w:rsid w:val="005E5AC6"/>
    <w:rsid w:val="005E62D6"/>
    <w:rsid w:val="005E62F2"/>
    <w:rsid w:val="005E794B"/>
    <w:rsid w:val="005F01CB"/>
    <w:rsid w:val="005F0574"/>
    <w:rsid w:val="005F0FBF"/>
    <w:rsid w:val="005F13C5"/>
    <w:rsid w:val="006014A0"/>
    <w:rsid w:val="00601879"/>
    <w:rsid w:val="00601B32"/>
    <w:rsid w:val="00603D0B"/>
    <w:rsid w:val="00605161"/>
    <w:rsid w:val="00611026"/>
    <w:rsid w:val="00611486"/>
    <w:rsid w:val="0061435D"/>
    <w:rsid w:val="00614971"/>
    <w:rsid w:val="00625F26"/>
    <w:rsid w:val="006262FA"/>
    <w:rsid w:val="00626C72"/>
    <w:rsid w:val="00627218"/>
    <w:rsid w:val="006272AF"/>
    <w:rsid w:val="00627619"/>
    <w:rsid w:val="006328E1"/>
    <w:rsid w:val="006338E1"/>
    <w:rsid w:val="006355D1"/>
    <w:rsid w:val="00635DD4"/>
    <w:rsid w:val="00637692"/>
    <w:rsid w:val="006376CE"/>
    <w:rsid w:val="00641612"/>
    <w:rsid w:val="00641A74"/>
    <w:rsid w:val="00644C7D"/>
    <w:rsid w:val="0064704A"/>
    <w:rsid w:val="00647844"/>
    <w:rsid w:val="00647968"/>
    <w:rsid w:val="00650F67"/>
    <w:rsid w:val="0065194D"/>
    <w:rsid w:val="00651CCD"/>
    <w:rsid w:val="006531C1"/>
    <w:rsid w:val="00655AAC"/>
    <w:rsid w:val="00662A19"/>
    <w:rsid w:val="0066652B"/>
    <w:rsid w:val="006679F7"/>
    <w:rsid w:val="00667F10"/>
    <w:rsid w:val="006716DA"/>
    <w:rsid w:val="0067190E"/>
    <w:rsid w:val="0067526F"/>
    <w:rsid w:val="00682389"/>
    <w:rsid w:val="006832C0"/>
    <w:rsid w:val="00683CA9"/>
    <w:rsid w:val="00685EA8"/>
    <w:rsid w:val="00690853"/>
    <w:rsid w:val="006916AD"/>
    <w:rsid w:val="00692730"/>
    <w:rsid w:val="00694736"/>
    <w:rsid w:val="00694B4F"/>
    <w:rsid w:val="00694DE6"/>
    <w:rsid w:val="00696E18"/>
    <w:rsid w:val="006A0926"/>
    <w:rsid w:val="006A10D9"/>
    <w:rsid w:val="006A118D"/>
    <w:rsid w:val="006A2E5E"/>
    <w:rsid w:val="006A36CD"/>
    <w:rsid w:val="006A3972"/>
    <w:rsid w:val="006A5045"/>
    <w:rsid w:val="006A6A5B"/>
    <w:rsid w:val="006A6D71"/>
    <w:rsid w:val="006A712D"/>
    <w:rsid w:val="006A750A"/>
    <w:rsid w:val="006B029C"/>
    <w:rsid w:val="006B16E4"/>
    <w:rsid w:val="006B28A8"/>
    <w:rsid w:val="006B3078"/>
    <w:rsid w:val="006B4164"/>
    <w:rsid w:val="006C0575"/>
    <w:rsid w:val="006C0C53"/>
    <w:rsid w:val="006C2473"/>
    <w:rsid w:val="006C4BD5"/>
    <w:rsid w:val="006C57E5"/>
    <w:rsid w:val="006C7CA1"/>
    <w:rsid w:val="006D27A6"/>
    <w:rsid w:val="006D27EF"/>
    <w:rsid w:val="006D3EE7"/>
    <w:rsid w:val="006D48F7"/>
    <w:rsid w:val="006D665D"/>
    <w:rsid w:val="006D6960"/>
    <w:rsid w:val="006D69BA"/>
    <w:rsid w:val="006D7AB7"/>
    <w:rsid w:val="006E101D"/>
    <w:rsid w:val="006E2D33"/>
    <w:rsid w:val="006E4742"/>
    <w:rsid w:val="006E6F8C"/>
    <w:rsid w:val="006E7630"/>
    <w:rsid w:val="006E76BE"/>
    <w:rsid w:val="006F0346"/>
    <w:rsid w:val="006F0918"/>
    <w:rsid w:val="006F2F86"/>
    <w:rsid w:val="006F56A2"/>
    <w:rsid w:val="006F5B87"/>
    <w:rsid w:val="006F6E04"/>
    <w:rsid w:val="007017C4"/>
    <w:rsid w:val="00702E60"/>
    <w:rsid w:val="00705AD6"/>
    <w:rsid w:val="00711014"/>
    <w:rsid w:val="007146A8"/>
    <w:rsid w:val="00714D99"/>
    <w:rsid w:val="00717216"/>
    <w:rsid w:val="00722F56"/>
    <w:rsid w:val="0072513C"/>
    <w:rsid w:val="007308F2"/>
    <w:rsid w:val="00733586"/>
    <w:rsid w:val="007343B8"/>
    <w:rsid w:val="00736715"/>
    <w:rsid w:val="00736742"/>
    <w:rsid w:val="00736809"/>
    <w:rsid w:val="00741420"/>
    <w:rsid w:val="00744CEC"/>
    <w:rsid w:val="007469D6"/>
    <w:rsid w:val="00746CE4"/>
    <w:rsid w:val="0075184D"/>
    <w:rsid w:val="00752DF8"/>
    <w:rsid w:val="00756A07"/>
    <w:rsid w:val="00757CCB"/>
    <w:rsid w:val="007600FA"/>
    <w:rsid w:val="0076093D"/>
    <w:rsid w:val="00761DA0"/>
    <w:rsid w:val="007622D7"/>
    <w:rsid w:val="00762893"/>
    <w:rsid w:val="00765AE5"/>
    <w:rsid w:val="007679C7"/>
    <w:rsid w:val="00767BC7"/>
    <w:rsid w:val="00767F93"/>
    <w:rsid w:val="007700B9"/>
    <w:rsid w:val="00770605"/>
    <w:rsid w:val="00772D2D"/>
    <w:rsid w:val="00774CFA"/>
    <w:rsid w:val="00774D05"/>
    <w:rsid w:val="00774F4C"/>
    <w:rsid w:val="00776F56"/>
    <w:rsid w:val="00777091"/>
    <w:rsid w:val="00777EC5"/>
    <w:rsid w:val="00777EDB"/>
    <w:rsid w:val="00780455"/>
    <w:rsid w:val="007816D6"/>
    <w:rsid w:val="00781FF1"/>
    <w:rsid w:val="0078254E"/>
    <w:rsid w:val="007825F2"/>
    <w:rsid w:val="00782803"/>
    <w:rsid w:val="0078287D"/>
    <w:rsid w:val="00784A3C"/>
    <w:rsid w:val="00785075"/>
    <w:rsid w:val="00791A48"/>
    <w:rsid w:val="00791B61"/>
    <w:rsid w:val="00791F0A"/>
    <w:rsid w:val="00793BD7"/>
    <w:rsid w:val="0079466D"/>
    <w:rsid w:val="00795E5D"/>
    <w:rsid w:val="00797E72"/>
    <w:rsid w:val="007A0428"/>
    <w:rsid w:val="007A21B8"/>
    <w:rsid w:val="007A2A9C"/>
    <w:rsid w:val="007A2E81"/>
    <w:rsid w:val="007A3113"/>
    <w:rsid w:val="007A4195"/>
    <w:rsid w:val="007A6A1F"/>
    <w:rsid w:val="007A6E4D"/>
    <w:rsid w:val="007B060D"/>
    <w:rsid w:val="007B0FA4"/>
    <w:rsid w:val="007B1FBC"/>
    <w:rsid w:val="007B3903"/>
    <w:rsid w:val="007B4497"/>
    <w:rsid w:val="007B6953"/>
    <w:rsid w:val="007B7160"/>
    <w:rsid w:val="007B7784"/>
    <w:rsid w:val="007C0D69"/>
    <w:rsid w:val="007C1094"/>
    <w:rsid w:val="007C1D37"/>
    <w:rsid w:val="007C3CD0"/>
    <w:rsid w:val="007C3E94"/>
    <w:rsid w:val="007C42D9"/>
    <w:rsid w:val="007C5BE9"/>
    <w:rsid w:val="007C66DD"/>
    <w:rsid w:val="007C78CC"/>
    <w:rsid w:val="007D1585"/>
    <w:rsid w:val="007D18B3"/>
    <w:rsid w:val="007D19A4"/>
    <w:rsid w:val="007D2BEF"/>
    <w:rsid w:val="007D4EB7"/>
    <w:rsid w:val="007D5748"/>
    <w:rsid w:val="007D64C6"/>
    <w:rsid w:val="007D6CB1"/>
    <w:rsid w:val="007D6F47"/>
    <w:rsid w:val="007E013D"/>
    <w:rsid w:val="007E0851"/>
    <w:rsid w:val="007E0975"/>
    <w:rsid w:val="007E36E4"/>
    <w:rsid w:val="007E3E03"/>
    <w:rsid w:val="007E522C"/>
    <w:rsid w:val="007E535C"/>
    <w:rsid w:val="007E5A27"/>
    <w:rsid w:val="007E5E07"/>
    <w:rsid w:val="007E62C3"/>
    <w:rsid w:val="007E6CB1"/>
    <w:rsid w:val="007E7046"/>
    <w:rsid w:val="007F45AA"/>
    <w:rsid w:val="007F53C0"/>
    <w:rsid w:val="007F61E3"/>
    <w:rsid w:val="007F74BE"/>
    <w:rsid w:val="007F7DA5"/>
    <w:rsid w:val="00801089"/>
    <w:rsid w:val="00811A5C"/>
    <w:rsid w:val="008121AC"/>
    <w:rsid w:val="00812864"/>
    <w:rsid w:val="00812B6B"/>
    <w:rsid w:val="008138DB"/>
    <w:rsid w:val="008139FB"/>
    <w:rsid w:val="00814162"/>
    <w:rsid w:val="00814254"/>
    <w:rsid w:val="00814331"/>
    <w:rsid w:val="00816E48"/>
    <w:rsid w:val="00820734"/>
    <w:rsid w:val="00830740"/>
    <w:rsid w:val="008319B8"/>
    <w:rsid w:val="00831D8A"/>
    <w:rsid w:val="0083389D"/>
    <w:rsid w:val="00834EF6"/>
    <w:rsid w:val="00840274"/>
    <w:rsid w:val="008424C1"/>
    <w:rsid w:val="00846741"/>
    <w:rsid w:val="00846BDA"/>
    <w:rsid w:val="00847719"/>
    <w:rsid w:val="00852915"/>
    <w:rsid w:val="008532A1"/>
    <w:rsid w:val="008537C7"/>
    <w:rsid w:val="00854F94"/>
    <w:rsid w:val="00855C13"/>
    <w:rsid w:val="00856A94"/>
    <w:rsid w:val="00860F23"/>
    <w:rsid w:val="008616B9"/>
    <w:rsid w:val="00862921"/>
    <w:rsid w:val="008629CE"/>
    <w:rsid w:val="00864A79"/>
    <w:rsid w:val="00864C98"/>
    <w:rsid w:val="00865504"/>
    <w:rsid w:val="00865CB9"/>
    <w:rsid w:val="00866C6A"/>
    <w:rsid w:val="00871389"/>
    <w:rsid w:val="0088159C"/>
    <w:rsid w:val="00881625"/>
    <w:rsid w:val="0088211A"/>
    <w:rsid w:val="00882B36"/>
    <w:rsid w:val="00884EC0"/>
    <w:rsid w:val="00884F56"/>
    <w:rsid w:val="008854F6"/>
    <w:rsid w:val="00886667"/>
    <w:rsid w:val="00886BC4"/>
    <w:rsid w:val="008921EA"/>
    <w:rsid w:val="0089250C"/>
    <w:rsid w:val="008931AF"/>
    <w:rsid w:val="0089366F"/>
    <w:rsid w:val="00894748"/>
    <w:rsid w:val="00896653"/>
    <w:rsid w:val="00897172"/>
    <w:rsid w:val="008972E4"/>
    <w:rsid w:val="008A02F3"/>
    <w:rsid w:val="008A1C1D"/>
    <w:rsid w:val="008A34A5"/>
    <w:rsid w:val="008A48CA"/>
    <w:rsid w:val="008A6E39"/>
    <w:rsid w:val="008B057B"/>
    <w:rsid w:val="008B0748"/>
    <w:rsid w:val="008B0AE2"/>
    <w:rsid w:val="008B2099"/>
    <w:rsid w:val="008B23C6"/>
    <w:rsid w:val="008B2938"/>
    <w:rsid w:val="008B395C"/>
    <w:rsid w:val="008B3BAA"/>
    <w:rsid w:val="008B4EB8"/>
    <w:rsid w:val="008B56BB"/>
    <w:rsid w:val="008B6D77"/>
    <w:rsid w:val="008C2089"/>
    <w:rsid w:val="008C3928"/>
    <w:rsid w:val="008C3986"/>
    <w:rsid w:val="008C5773"/>
    <w:rsid w:val="008C5B59"/>
    <w:rsid w:val="008C60E8"/>
    <w:rsid w:val="008C68AC"/>
    <w:rsid w:val="008C73DD"/>
    <w:rsid w:val="008D0CA6"/>
    <w:rsid w:val="008D4CD0"/>
    <w:rsid w:val="008D5358"/>
    <w:rsid w:val="008E0180"/>
    <w:rsid w:val="008E04BB"/>
    <w:rsid w:val="008E04BD"/>
    <w:rsid w:val="008E35A5"/>
    <w:rsid w:val="008E3B22"/>
    <w:rsid w:val="008E5642"/>
    <w:rsid w:val="008E6929"/>
    <w:rsid w:val="008F0B15"/>
    <w:rsid w:val="008F191E"/>
    <w:rsid w:val="008F1AA6"/>
    <w:rsid w:val="008F2212"/>
    <w:rsid w:val="008F2B69"/>
    <w:rsid w:val="008F686E"/>
    <w:rsid w:val="008F6996"/>
    <w:rsid w:val="008F73C8"/>
    <w:rsid w:val="008F7E69"/>
    <w:rsid w:val="00900CFA"/>
    <w:rsid w:val="00903786"/>
    <w:rsid w:val="00903AB2"/>
    <w:rsid w:val="00905F29"/>
    <w:rsid w:val="0090719E"/>
    <w:rsid w:val="00907DD4"/>
    <w:rsid w:val="009109AA"/>
    <w:rsid w:val="00911D55"/>
    <w:rsid w:val="00912BE3"/>
    <w:rsid w:val="00917EA6"/>
    <w:rsid w:val="00926879"/>
    <w:rsid w:val="00932E33"/>
    <w:rsid w:val="00933315"/>
    <w:rsid w:val="00933C8C"/>
    <w:rsid w:val="0093588E"/>
    <w:rsid w:val="009367F6"/>
    <w:rsid w:val="009369A4"/>
    <w:rsid w:val="00937418"/>
    <w:rsid w:val="0093741D"/>
    <w:rsid w:val="009377F2"/>
    <w:rsid w:val="009416CF"/>
    <w:rsid w:val="0094234F"/>
    <w:rsid w:val="00942CB3"/>
    <w:rsid w:val="00944174"/>
    <w:rsid w:val="00944255"/>
    <w:rsid w:val="0094668B"/>
    <w:rsid w:val="00947ED1"/>
    <w:rsid w:val="0095002E"/>
    <w:rsid w:val="009507EC"/>
    <w:rsid w:val="00951652"/>
    <w:rsid w:val="00951671"/>
    <w:rsid w:val="00951DB3"/>
    <w:rsid w:val="00952F2F"/>
    <w:rsid w:val="009531A1"/>
    <w:rsid w:val="009538F7"/>
    <w:rsid w:val="00953DB8"/>
    <w:rsid w:val="00957740"/>
    <w:rsid w:val="009608B1"/>
    <w:rsid w:val="00961B95"/>
    <w:rsid w:val="00965C4B"/>
    <w:rsid w:val="00966DD7"/>
    <w:rsid w:val="00973E06"/>
    <w:rsid w:val="00974621"/>
    <w:rsid w:val="009757BB"/>
    <w:rsid w:val="00976441"/>
    <w:rsid w:val="00976BCD"/>
    <w:rsid w:val="00976D17"/>
    <w:rsid w:val="00976E68"/>
    <w:rsid w:val="009804FB"/>
    <w:rsid w:val="009808A0"/>
    <w:rsid w:val="0098151F"/>
    <w:rsid w:val="009858C6"/>
    <w:rsid w:val="009861F7"/>
    <w:rsid w:val="00986A46"/>
    <w:rsid w:val="00987099"/>
    <w:rsid w:val="00987941"/>
    <w:rsid w:val="00987EC2"/>
    <w:rsid w:val="009902EC"/>
    <w:rsid w:val="009906A6"/>
    <w:rsid w:val="00991704"/>
    <w:rsid w:val="00991ACF"/>
    <w:rsid w:val="009920EF"/>
    <w:rsid w:val="009924C5"/>
    <w:rsid w:val="00992ADC"/>
    <w:rsid w:val="00992E33"/>
    <w:rsid w:val="009930BD"/>
    <w:rsid w:val="00994267"/>
    <w:rsid w:val="00994BC7"/>
    <w:rsid w:val="009A214D"/>
    <w:rsid w:val="009A263C"/>
    <w:rsid w:val="009A2645"/>
    <w:rsid w:val="009A3FE1"/>
    <w:rsid w:val="009A5EC9"/>
    <w:rsid w:val="009A6D32"/>
    <w:rsid w:val="009A71C4"/>
    <w:rsid w:val="009B096C"/>
    <w:rsid w:val="009B1361"/>
    <w:rsid w:val="009B15EC"/>
    <w:rsid w:val="009B1781"/>
    <w:rsid w:val="009B1FB5"/>
    <w:rsid w:val="009B2546"/>
    <w:rsid w:val="009B464D"/>
    <w:rsid w:val="009B556D"/>
    <w:rsid w:val="009B74EB"/>
    <w:rsid w:val="009C0188"/>
    <w:rsid w:val="009C1F90"/>
    <w:rsid w:val="009C2C25"/>
    <w:rsid w:val="009C335B"/>
    <w:rsid w:val="009C5797"/>
    <w:rsid w:val="009C66A3"/>
    <w:rsid w:val="009C6B4A"/>
    <w:rsid w:val="009C7F7D"/>
    <w:rsid w:val="009D195B"/>
    <w:rsid w:val="009D616A"/>
    <w:rsid w:val="009D79DE"/>
    <w:rsid w:val="009E6061"/>
    <w:rsid w:val="009F5574"/>
    <w:rsid w:val="009F57EC"/>
    <w:rsid w:val="00A01086"/>
    <w:rsid w:val="00A04B81"/>
    <w:rsid w:val="00A05E57"/>
    <w:rsid w:val="00A07CF2"/>
    <w:rsid w:val="00A10C8D"/>
    <w:rsid w:val="00A1120D"/>
    <w:rsid w:val="00A1137C"/>
    <w:rsid w:val="00A122C9"/>
    <w:rsid w:val="00A13CB3"/>
    <w:rsid w:val="00A13F0D"/>
    <w:rsid w:val="00A14A7F"/>
    <w:rsid w:val="00A14D6A"/>
    <w:rsid w:val="00A15DB7"/>
    <w:rsid w:val="00A165B1"/>
    <w:rsid w:val="00A16D18"/>
    <w:rsid w:val="00A17503"/>
    <w:rsid w:val="00A215B3"/>
    <w:rsid w:val="00A227C8"/>
    <w:rsid w:val="00A23194"/>
    <w:rsid w:val="00A235C6"/>
    <w:rsid w:val="00A240CE"/>
    <w:rsid w:val="00A24D20"/>
    <w:rsid w:val="00A25167"/>
    <w:rsid w:val="00A25F1F"/>
    <w:rsid w:val="00A26A9A"/>
    <w:rsid w:val="00A27345"/>
    <w:rsid w:val="00A30D9A"/>
    <w:rsid w:val="00A3187F"/>
    <w:rsid w:val="00A329F7"/>
    <w:rsid w:val="00A32C4E"/>
    <w:rsid w:val="00A32C73"/>
    <w:rsid w:val="00A3452B"/>
    <w:rsid w:val="00A34E1B"/>
    <w:rsid w:val="00A37419"/>
    <w:rsid w:val="00A4225F"/>
    <w:rsid w:val="00A430FF"/>
    <w:rsid w:val="00A4433F"/>
    <w:rsid w:val="00A46A9A"/>
    <w:rsid w:val="00A50111"/>
    <w:rsid w:val="00A51D5E"/>
    <w:rsid w:val="00A52A38"/>
    <w:rsid w:val="00A52C22"/>
    <w:rsid w:val="00A55F48"/>
    <w:rsid w:val="00A60022"/>
    <w:rsid w:val="00A62BBE"/>
    <w:rsid w:val="00A63011"/>
    <w:rsid w:val="00A6514E"/>
    <w:rsid w:val="00A6676D"/>
    <w:rsid w:val="00A72E78"/>
    <w:rsid w:val="00A74D41"/>
    <w:rsid w:val="00A74DC8"/>
    <w:rsid w:val="00A751B2"/>
    <w:rsid w:val="00A75616"/>
    <w:rsid w:val="00A76192"/>
    <w:rsid w:val="00A76996"/>
    <w:rsid w:val="00A810C1"/>
    <w:rsid w:val="00A8449C"/>
    <w:rsid w:val="00A84C3C"/>
    <w:rsid w:val="00A85A45"/>
    <w:rsid w:val="00A87F4B"/>
    <w:rsid w:val="00A907F6"/>
    <w:rsid w:val="00A909A3"/>
    <w:rsid w:val="00A91BD2"/>
    <w:rsid w:val="00A91C63"/>
    <w:rsid w:val="00A940BE"/>
    <w:rsid w:val="00A96316"/>
    <w:rsid w:val="00A9658A"/>
    <w:rsid w:val="00A970ED"/>
    <w:rsid w:val="00AA1193"/>
    <w:rsid w:val="00AA11D7"/>
    <w:rsid w:val="00AA2F12"/>
    <w:rsid w:val="00AA553F"/>
    <w:rsid w:val="00AB3466"/>
    <w:rsid w:val="00AB3D33"/>
    <w:rsid w:val="00AB4265"/>
    <w:rsid w:val="00AB604A"/>
    <w:rsid w:val="00AB67C9"/>
    <w:rsid w:val="00AB6BA7"/>
    <w:rsid w:val="00AC1B27"/>
    <w:rsid w:val="00AC4C62"/>
    <w:rsid w:val="00AC60D4"/>
    <w:rsid w:val="00AD184D"/>
    <w:rsid w:val="00AD2843"/>
    <w:rsid w:val="00AD2CAC"/>
    <w:rsid w:val="00AD2D34"/>
    <w:rsid w:val="00AD36F3"/>
    <w:rsid w:val="00AD50E7"/>
    <w:rsid w:val="00AD63BE"/>
    <w:rsid w:val="00AD691F"/>
    <w:rsid w:val="00AE29AD"/>
    <w:rsid w:val="00AE39EE"/>
    <w:rsid w:val="00AE503E"/>
    <w:rsid w:val="00AE53E5"/>
    <w:rsid w:val="00AE5B17"/>
    <w:rsid w:val="00AE6320"/>
    <w:rsid w:val="00AE7A73"/>
    <w:rsid w:val="00AF1507"/>
    <w:rsid w:val="00AF766E"/>
    <w:rsid w:val="00B0008B"/>
    <w:rsid w:val="00B023E0"/>
    <w:rsid w:val="00B067B6"/>
    <w:rsid w:val="00B0680D"/>
    <w:rsid w:val="00B06F01"/>
    <w:rsid w:val="00B07F33"/>
    <w:rsid w:val="00B106C9"/>
    <w:rsid w:val="00B11108"/>
    <w:rsid w:val="00B129C3"/>
    <w:rsid w:val="00B15B56"/>
    <w:rsid w:val="00B15E20"/>
    <w:rsid w:val="00B17622"/>
    <w:rsid w:val="00B17D5F"/>
    <w:rsid w:val="00B24C1C"/>
    <w:rsid w:val="00B257AB"/>
    <w:rsid w:val="00B30B1B"/>
    <w:rsid w:val="00B32830"/>
    <w:rsid w:val="00B37D25"/>
    <w:rsid w:val="00B42FAF"/>
    <w:rsid w:val="00B43B56"/>
    <w:rsid w:val="00B4462E"/>
    <w:rsid w:val="00B456C9"/>
    <w:rsid w:val="00B45AD3"/>
    <w:rsid w:val="00B50FEA"/>
    <w:rsid w:val="00B51175"/>
    <w:rsid w:val="00B51F89"/>
    <w:rsid w:val="00B527AC"/>
    <w:rsid w:val="00B52C53"/>
    <w:rsid w:val="00B5397C"/>
    <w:rsid w:val="00B54FA9"/>
    <w:rsid w:val="00B55C9C"/>
    <w:rsid w:val="00B564D1"/>
    <w:rsid w:val="00B57B0B"/>
    <w:rsid w:val="00B57B9E"/>
    <w:rsid w:val="00B60003"/>
    <w:rsid w:val="00B62AD5"/>
    <w:rsid w:val="00B64308"/>
    <w:rsid w:val="00B650FF"/>
    <w:rsid w:val="00B70043"/>
    <w:rsid w:val="00B71F74"/>
    <w:rsid w:val="00B72BCF"/>
    <w:rsid w:val="00B73C23"/>
    <w:rsid w:val="00B7570C"/>
    <w:rsid w:val="00B771FF"/>
    <w:rsid w:val="00B82279"/>
    <w:rsid w:val="00B82C45"/>
    <w:rsid w:val="00B83D06"/>
    <w:rsid w:val="00B84CE1"/>
    <w:rsid w:val="00B86CAE"/>
    <w:rsid w:val="00B87AFE"/>
    <w:rsid w:val="00B90E07"/>
    <w:rsid w:val="00B91CFE"/>
    <w:rsid w:val="00B959CF"/>
    <w:rsid w:val="00BA0160"/>
    <w:rsid w:val="00BA054F"/>
    <w:rsid w:val="00BA0C3D"/>
    <w:rsid w:val="00BA123B"/>
    <w:rsid w:val="00BA19FE"/>
    <w:rsid w:val="00BA2E32"/>
    <w:rsid w:val="00BA3721"/>
    <w:rsid w:val="00BA7802"/>
    <w:rsid w:val="00BB059B"/>
    <w:rsid w:val="00BB161D"/>
    <w:rsid w:val="00BB3B4B"/>
    <w:rsid w:val="00BB4B21"/>
    <w:rsid w:val="00BB635E"/>
    <w:rsid w:val="00BB6C3D"/>
    <w:rsid w:val="00BB6EF0"/>
    <w:rsid w:val="00BB72E6"/>
    <w:rsid w:val="00BC0E24"/>
    <w:rsid w:val="00BC1740"/>
    <w:rsid w:val="00BC1CA2"/>
    <w:rsid w:val="00BC3B0F"/>
    <w:rsid w:val="00BC48E1"/>
    <w:rsid w:val="00BC6017"/>
    <w:rsid w:val="00BC7231"/>
    <w:rsid w:val="00BC723B"/>
    <w:rsid w:val="00BD0839"/>
    <w:rsid w:val="00BD0B30"/>
    <w:rsid w:val="00BD1736"/>
    <w:rsid w:val="00BD3C26"/>
    <w:rsid w:val="00BD43B8"/>
    <w:rsid w:val="00BD79CF"/>
    <w:rsid w:val="00BD7EA0"/>
    <w:rsid w:val="00BE01D7"/>
    <w:rsid w:val="00BE0394"/>
    <w:rsid w:val="00BE185A"/>
    <w:rsid w:val="00BE2210"/>
    <w:rsid w:val="00BE5099"/>
    <w:rsid w:val="00BE5AC7"/>
    <w:rsid w:val="00BF2259"/>
    <w:rsid w:val="00BF29F7"/>
    <w:rsid w:val="00BF3E58"/>
    <w:rsid w:val="00BF477A"/>
    <w:rsid w:val="00BF4A8E"/>
    <w:rsid w:val="00BF73E4"/>
    <w:rsid w:val="00BF75D8"/>
    <w:rsid w:val="00C035A2"/>
    <w:rsid w:val="00C0628D"/>
    <w:rsid w:val="00C13F41"/>
    <w:rsid w:val="00C14A7F"/>
    <w:rsid w:val="00C20543"/>
    <w:rsid w:val="00C23C8C"/>
    <w:rsid w:val="00C24018"/>
    <w:rsid w:val="00C25A07"/>
    <w:rsid w:val="00C2685F"/>
    <w:rsid w:val="00C274D4"/>
    <w:rsid w:val="00C3042D"/>
    <w:rsid w:val="00C325B6"/>
    <w:rsid w:val="00C32911"/>
    <w:rsid w:val="00C32A42"/>
    <w:rsid w:val="00C362B7"/>
    <w:rsid w:val="00C3693F"/>
    <w:rsid w:val="00C37A6A"/>
    <w:rsid w:val="00C40190"/>
    <w:rsid w:val="00C43028"/>
    <w:rsid w:val="00C436B8"/>
    <w:rsid w:val="00C443D7"/>
    <w:rsid w:val="00C45A8E"/>
    <w:rsid w:val="00C47363"/>
    <w:rsid w:val="00C474CB"/>
    <w:rsid w:val="00C50A81"/>
    <w:rsid w:val="00C55D8B"/>
    <w:rsid w:val="00C61ADF"/>
    <w:rsid w:val="00C620FD"/>
    <w:rsid w:val="00C62CFB"/>
    <w:rsid w:val="00C639E4"/>
    <w:rsid w:val="00C640F9"/>
    <w:rsid w:val="00C65896"/>
    <w:rsid w:val="00C666EB"/>
    <w:rsid w:val="00C6698B"/>
    <w:rsid w:val="00C71CED"/>
    <w:rsid w:val="00C72168"/>
    <w:rsid w:val="00C73908"/>
    <w:rsid w:val="00C75112"/>
    <w:rsid w:val="00C75FBD"/>
    <w:rsid w:val="00C76FC4"/>
    <w:rsid w:val="00C774AA"/>
    <w:rsid w:val="00C778C6"/>
    <w:rsid w:val="00C80C62"/>
    <w:rsid w:val="00C82A8A"/>
    <w:rsid w:val="00C84ED5"/>
    <w:rsid w:val="00C85782"/>
    <w:rsid w:val="00C8582F"/>
    <w:rsid w:val="00C8634C"/>
    <w:rsid w:val="00C86F27"/>
    <w:rsid w:val="00C9443A"/>
    <w:rsid w:val="00CA1040"/>
    <w:rsid w:val="00CA168B"/>
    <w:rsid w:val="00CA1E8D"/>
    <w:rsid w:val="00CA1EB7"/>
    <w:rsid w:val="00CA35DA"/>
    <w:rsid w:val="00CA3AF7"/>
    <w:rsid w:val="00CA44B9"/>
    <w:rsid w:val="00CA4694"/>
    <w:rsid w:val="00CA6B1E"/>
    <w:rsid w:val="00CB032B"/>
    <w:rsid w:val="00CB0554"/>
    <w:rsid w:val="00CB1300"/>
    <w:rsid w:val="00CB19B6"/>
    <w:rsid w:val="00CB3637"/>
    <w:rsid w:val="00CB37F4"/>
    <w:rsid w:val="00CB45CA"/>
    <w:rsid w:val="00CC1136"/>
    <w:rsid w:val="00CC1659"/>
    <w:rsid w:val="00CC4273"/>
    <w:rsid w:val="00CC5606"/>
    <w:rsid w:val="00CC5BE8"/>
    <w:rsid w:val="00CC5EAE"/>
    <w:rsid w:val="00CC650D"/>
    <w:rsid w:val="00CD02A5"/>
    <w:rsid w:val="00CD1F20"/>
    <w:rsid w:val="00CD3141"/>
    <w:rsid w:val="00CD3B82"/>
    <w:rsid w:val="00CD496D"/>
    <w:rsid w:val="00CD56F5"/>
    <w:rsid w:val="00CD7F0B"/>
    <w:rsid w:val="00CF0627"/>
    <w:rsid w:val="00CF0F28"/>
    <w:rsid w:val="00CF1EA3"/>
    <w:rsid w:val="00CF2168"/>
    <w:rsid w:val="00CF2CF0"/>
    <w:rsid w:val="00CF5A2D"/>
    <w:rsid w:val="00CF7EC5"/>
    <w:rsid w:val="00D01A39"/>
    <w:rsid w:val="00D01BDF"/>
    <w:rsid w:val="00D044DC"/>
    <w:rsid w:val="00D05A02"/>
    <w:rsid w:val="00D066C1"/>
    <w:rsid w:val="00D0725D"/>
    <w:rsid w:val="00D11F38"/>
    <w:rsid w:val="00D11F49"/>
    <w:rsid w:val="00D1360C"/>
    <w:rsid w:val="00D1429B"/>
    <w:rsid w:val="00D16503"/>
    <w:rsid w:val="00D167CF"/>
    <w:rsid w:val="00D17467"/>
    <w:rsid w:val="00D17CB4"/>
    <w:rsid w:val="00D200C7"/>
    <w:rsid w:val="00D2150F"/>
    <w:rsid w:val="00D215DF"/>
    <w:rsid w:val="00D25352"/>
    <w:rsid w:val="00D2635A"/>
    <w:rsid w:val="00D27292"/>
    <w:rsid w:val="00D27472"/>
    <w:rsid w:val="00D302DC"/>
    <w:rsid w:val="00D30701"/>
    <w:rsid w:val="00D309C2"/>
    <w:rsid w:val="00D33E3B"/>
    <w:rsid w:val="00D40B85"/>
    <w:rsid w:val="00D4754F"/>
    <w:rsid w:val="00D47EDE"/>
    <w:rsid w:val="00D50F73"/>
    <w:rsid w:val="00D53379"/>
    <w:rsid w:val="00D535AC"/>
    <w:rsid w:val="00D555C7"/>
    <w:rsid w:val="00D566F4"/>
    <w:rsid w:val="00D56CCF"/>
    <w:rsid w:val="00D5790E"/>
    <w:rsid w:val="00D60855"/>
    <w:rsid w:val="00D621F5"/>
    <w:rsid w:val="00D63349"/>
    <w:rsid w:val="00D6459C"/>
    <w:rsid w:val="00D65E6C"/>
    <w:rsid w:val="00D67CD3"/>
    <w:rsid w:val="00D71300"/>
    <w:rsid w:val="00D732F3"/>
    <w:rsid w:val="00D74200"/>
    <w:rsid w:val="00D7566D"/>
    <w:rsid w:val="00D75B99"/>
    <w:rsid w:val="00D779CC"/>
    <w:rsid w:val="00D81CD0"/>
    <w:rsid w:val="00D81F86"/>
    <w:rsid w:val="00D8207B"/>
    <w:rsid w:val="00D8472A"/>
    <w:rsid w:val="00D85A73"/>
    <w:rsid w:val="00D85A7C"/>
    <w:rsid w:val="00D86C41"/>
    <w:rsid w:val="00D87C59"/>
    <w:rsid w:val="00D91C02"/>
    <w:rsid w:val="00D9541D"/>
    <w:rsid w:val="00DA059A"/>
    <w:rsid w:val="00DA1EA7"/>
    <w:rsid w:val="00DA5BA2"/>
    <w:rsid w:val="00DA5C16"/>
    <w:rsid w:val="00DA66C6"/>
    <w:rsid w:val="00DA76D1"/>
    <w:rsid w:val="00DA7A09"/>
    <w:rsid w:val="00DB0851"/>
    <w:rsid w:val="00DB0A9E"/>
    <w:rsid w:val="00DB0D33"/>
    <w:rsid w:val="00DB1785"/>
    <w:rsid w:val="00DB230E"/>
    <w:rsid w:val="00DB49FB"/>
    <w:rsid w:val="00DB6FE1"/>
    <w:rsid w:val="00DC075C"/>
    <w:rsid w:val="00DC0C12"/>
    <w:rsid w:val="00DC5B05"/>
    <w:rsid w:val="00DC5D46"/>
    <w:rsid w:val="00DC6FBB"/>
    <w:rsid w:val="00DD0365"/>
    <w:rsid w:val="00DD0FA2"/>
    <w:rsid w:val="00DD1988"/>
    <w:rsid w:val="00DD2A70"/>
    <w:rsid w:val="00DD3656"/>
    <w:rsid w:val="00DD4C00"/>
    <w:rsid w:val="00DD5305"/>
    <w:rsid w:val="00DD5D38"/>
    <w:rsid w:val="00DD6252"/>
    <w:rsid w:val="00DD6B74"/>
    <w:rsid w:val="00DE05FE"/>
    <w:rsid w:val="00DE2538"/>
    <w:rsid w:val="00DE259B"/>
    <w:rsid w:val="00DE28E1"/>
    <w:rsid w:val="00DE3675"/>
    <w:rsid w:val="00DE3FF8"/>
    <w:rsid w:val="00DE5EE8"/>
    <w:rsid w:val="00DE74EC"/>
    <w:rsid w:val="00DF0892"/>
    <w:rsid w:val="00DF0B01"/>
    <w:rsid w:val="00DF39F7"/>
    <w:rsid w:val="00DF3CF7"/>
    <w:rsid w:val="00DF56B6"/>
    <w:rsid w:val="00DF5A46"/>
    <w:rsid w:val="00DF5BDA"/>
    <w:rsid w:val="00DF6DDA"/>
    <w:rsid w:val="00E10B5B"/>
    <w:rsid w:val="00E11105"/>
    <w:rsid w:val="00E12428"/>
    <w:rsid w:val="00E15BB4"/>
    <w:rsid w:val="00E16939"/>
    <w:rsid w:val="00E16BE7"/>
    <w:rsid w:val="00E1766A"/>
    <w:rsid w:val="00E17E52"/>
    <w:rsid w:val="00E267E6"/>
    <w:rsid w:val="00E26E11"/>
    <w:rsid w:val="00E30EF0"/>
    <w:rsid w:val="00E317CD"/>
    <w:rsid w:val="00E3320F"/>
    <w:rsid w:val="00E34501"/>
    <w:rsid w:val="00E349AB"/>
    <w:rsid w:val="00E34F53"/>
    <w:rsid w:val="00E355DD"/>
    <w:rsid w:val="00E35B8F"/>
    <w:rsid w:val="00E40078"/>
    <w:rsid w:val="00E4042E"/>
    <w:rsid w:val="00E40B46"/>
    <w:rsid w:val="00E42153"/>
    <w:rsid w:val="00E4461B"/>
    <w:rsid w:val="00E4520C"/>
    <w:rsid w:val="00E45353"/>
    <w:rsid w:val="00E45F49"/>
    <w:rsid w:val="00E53CBB"/>
    <w:rsid w:val="00E54223"/>
    <w:rsid w:val="00E54278"/>
    <w:rsid w:val="00E56715"/>
    <w:rsid w:val="00E60322"/>
    <w:rsid w:val="00E608FB"/>
    <w:rsid w:val="00E628A3"/>
    <w:rsid w:val="00E62B01"/>
    <w:rsid w:val="00E64252"/>
    <w:rsid w:val="00E64B67"/>
    <w:rsid w:val="00E64EAA"/>
    <w:rsid w:val="00E65B54"/>
    <w:rsid w:val="00E66625"/>
    <w:rsid w:val="00E669CD"/>
    <w:rsid w:val="00E66DC9"/>
    <w:rsid w:val="00E70A2C"/>
    <w:rsid w:val="00E70BD5"/>
    <w:rsid w:val="00E70DBC"/>
    <w:rsid w:val="00E712A1"/>
    <w:rsid w:val="00E73752"/>
    <w:rsid w:val="00E746AA"/>
    <w:rsid w:val="00E74D71"/>
    <w:rsid w:val="00E75AF5"/>
    <w:rsid w:val="00E75CF7"/>
    <w:rsid w:val="00E768CD"/>
    <w:rsid w:val="00E76BC6"/>
    <w:rsid w:val="00E808EB"/>
    <w:rsid w:val="00E81A92"/>
    <w:rsid w:val="00E83A1D"/>
    <w:rsid w:val="00E847A7"/>
    <w:rsid w:val="00E85DF3"/>
    <w:rsid w:val="00E85FF2"/>
    <w:rsid w:val="00E86CBA"/>
    <w:rsid w:val="00E870E1"/>
    <w:rsid w:val="00E90E39"/>
    <w:rsid w:val="00E919AF"/>
    <w:rsid w:val="00E923D3"/>
    <w:rsid w:val="00E93C25"/>
    <w:rsid w:val="00EA15BF"/>
    <w:rsid w:val="00EA3685"/>
    <w:rsid w:val="00EA546D"/>
    <w:rsid w:val="00EA5D8D"/>
    <w:rsid w:val="00EB1557"/>
    <w:rsid w:val="00EB3303"/>
    <w:rsid w:val="00EB6C6C"/>
    <w:rsid w:val="00EB742E"/>
    <w:rsid w:val="00EC1986"/>
    <w:rsid w:val="00EC21E7"/>
    <w:rsid w:val="00EC2A56"/>
    <w:rsid w:val="00EC3FFB"/>
    <w:rsid w:val="00EC563A"/>
    <w:rsid w:val="00EC5EA6"/>
    <w:rsid w:val="00EC6D75"/>
    <w:rsid w:val="00ED076D"/>
    <w:rsid w:val="00ED12B0"/>
    <w:rsid w:val="00ED3522"/>
    <w:rsid w:val="00ED5063"/>
    <w:rsid w:val="00EE3108"/>
    <w:rsid w:val="00EE570F"/>
    <w:rsid w:val="00EE5C1A"/>
    <w:rsid w:val="00EE5F89"/>
    <w:rsid w:val="00EF081C"/>
    <w:rsid w:val="00EF1B2D"/>
    <w:rsid w:val="00EF4EEF"/>
    <w:rsid w:val="00F0196A"/>
    <w:rsid w:val="00F02F9A"/>
    <w:rsid w:val="00F04454"/>
    <w:rsid w:val="00F070AD"/>
    <w:rsid w:val="00F07B2D"/>
    <w:rsid w:val="00F110FB"/>
    <w:rsid w:val="00F142A6"/>
    <w:rsid w:val="00F172EE"/>
    <w:rsid w:val="00F22799"/>
    <w:rsid w:val="00F22FC2"/>
    <w:rsid w:val="00F24705"/>
    <w:rsid w:val="00F248B6"/>
    <w:rsid w:val="00F31637"/>
    <w:rsid w:val="00F33B9F"/>
    <w:rsid w:val="00F34AB2"/>
    <w:rsid w:val="00F35648"/>
    <w:rsid w:val="00F370AC"/>
    <w:rsid w:val="00F40FD9"/>
    <w:rsid w:val="00F41932"/>
    <w:rsid w:val="00F4232A"/>
    <w:rsid w:val="00F44C22"/>
    <w:rsid w:val="00F45253"/>
    <w:rsid w:val="00F465B7"/>
    <w:rsid w:val="00F4786B"/>
    <w:rsid w:val="00F4789A"/>
    <w:rsid w:val="00F51C00"/>
    <w:rsid w:val="00F51FDE"/>
    <w:rsid w:val="00F5488A"/>
    <w:rsid w:val="00F549C2"/>
    <w:rsid w:val="00F56230"/>
    <w:rsid w:val="00F57939"/>
    <w:rsid w:val="00F612B6"/>
    <w:rsid w:val="00F61364"/>
    <w:rsid w:val="00F614C4"/>
    <w:rsid w:val="00F61E2F"/>
    <w:rsid w:val="00F62993"/>
    <w:rsid w:val="00F63A89"/>
    <w:rsid w:val="00F700D8"/>
    <w:rsid w:val="00F712C1"/>
    <w:rsid w:val="00F7256C"/>
    <w:rsid w:val="00F72DC2"/>
    <w:rsid w:val="00F75A59"/>
    <w:rsid w:val="00F7650A"/>
    <w:rsid w:val="00F8257B"/>
    <w:rsid w:val="00F8283B"/>
    <w:rsid w:val="00F877F9"/>
    <w:rsid w:val="00F90860"/>
    <w:rsid w:val="00F92F7A"/>
    <w:rsid w:val="00F94392"/>
    <w:rsid w:val="00F943FC"/>
    <w:rsid w:val="00F95DDF"/>
    <w:rsid w:val="00F96108"/>
    <w:rsid w:val="00F977DD"/>
    <w:rsid w:val="00F97829"/>
    <w:rsid w:val="00F97A10"/>
    <w:rsid w:val="00FA0076"/>
    <w:rsid w:val="00FA092E"/>
    <w:rsid w:val="00FA70A7"/>
    <w:rsid w:val="00FB1E52"/>
    <w:rsid w:val="00FB4BAB"/>
    <w:rsid w:val="00FB5337"/>
    <w:rsid w:val="00FB577F"/>
    <w:rsid w:val="00FB7AEB"/>
    <w:rsid w:val="00FC2874"/>
    <w:rsid w:val="00FC2AD6"/>
    <w:rsid w:val="00FC2E34"/>
    <w:rsid w:val="00FC3C4B"/>
    <w:rsid w:val="00FC4679"/>
    <w:rsid w:val="00FC4ABF"/>
    <w:rsid w:val="00FC5384"/>
    <w:rsid w:val="00FD06DF"/>
    <w:rsid w:val="00FD0B4D"/>
    <w:rsid w:val="00FD7845"/>
    <w:rsid w:val="00FD790D"/>
    <w:rsid w:val="00FE0006"/>
    <w:rsid w:val="00FE1C3A"/>
    <w:rsid w:val="00FE22A4"/>
    <w:rsid w:val="00FE2312"/>
    <w:rsid w:val="00FE29FD"/>
    <w:rsid w:val="00FE2B8D"/>
    <w:rsid w:val="00FE303F"/>
    <w:rsid w:val="00FE316C"/>
    <w:rsid w:val="00FE3A9E"/>
    <w:rsid w:val="00FE5047"/>
    <w:rsid w:val="00FE52AA"/>
    <w:rsid w:val="00FE7140"/>
    <w:rsid w:val="00FE7D57"/>
    <w:rsid w:val="00FE7D90"/>
    <w:rsid w:val="00FF1D07"/>
    <w:rsid w:val="00FF4224"/>
    <w:rsid w:val="00FF4459"/>
    <w:rsid w:val="00FF5C1B"/>
    <w:rsid w:val="14194624"/>
    <w:rsid w:val="498F562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383"/>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0C5383"/>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0C5383"/>
    <w:pPr>
      <w:keepNext/>
      <w:spacing w:before="360" w:line="460" w:lineRule="exact"/>
      <w:outlineLvl w:val="1"/>
    </w:pPr>
    <w:rPr>
      <w:rFonts w:ascii="Calibri" w:hAnsi="Calibri" w:cs="Arial"/>
      <w:iCs/>
      <w:color w:val="4D7861" w:themeColor="accent2"/>
      <w:kern w:val="32"/>
      <w:sz w:val="36"/>
      <w:szCs w:val="28"/>
    </w:rPr>
  </w:style>
  <w:style w:type="paragraph" w:styleId="Heading3">
    <w:name w:val="heading 3"/>
    <w:basedOn w:val="Normal"/>
    <w:next w:val="Normal"/>
    <w:link w:val="Heading3Char"/>
    <w:qFormat/>
    <w:rsid w:val="000C5383"/>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0C5383"/>
    <w:pPr>
      <w:keepNext/>
      <w:spacing w:before="280" w:after="0" w:line="276" w:lineRule="auto"/>
      <w:outlineLvl w:val="3"/>
    </w:pPr>
    <w:rPr>
      <w:rFonts w:cs="Arial"/>
      <w:color w:val="4D7861" w:themeColor="accent2"/>
      <w:kern w:val="32"/>
      <w:sz w:val="24"/>
      <w:szCs w:val="26"/>
    </w:rPr>
  </w:style>
  <w:style w:type="paragraph" w:styleId="Heading5">
    <w:name w:val="heading 5"/>
    <w:basedOn w:val="Normal"/>
    <w:next w:val="Normal"/>
    <w:link w:val="Heading5Char"/>
    <w:rsid w:val="000C5383"/>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0C5383"/>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0C5383"/>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0C53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0C5383"/>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5383"/>
    <w:pPr>
      <w:tabs>
        <w:tab w:val="center" w:pos="4320"/>
        <w:tab w:val="right" w:pos="8640"/>
      </w:tabs>
    </w:pPr>
  </w:style>
  <w:style w:type="character" w:customStyle="1" w:styleId="HeaderChar">
    <w:name w:val="Header Char"/>
    <w:basedOn w:val="DefaultParagraphFont"/>
    <w:link w:val="Header"/>
    <w:rsid w:val="000C5383"/>
    <w:rPr>
      <w:rFonts w:ascii="Calibri Light" w:eastAsia="Times New Roman" w:hAnsi="Calibri Light"/>
      <w:sz w:val="22"/>
      <w:lang w:eastAsia="en-AU"/>
    </w:rPr>
  </w:style>
  <w:style w:type="paragraph" w:styleId="Footer">
    <w:name w:val="footer"/>
    <w:basedOn w:val="Normal"/>
    <w:link w:val="FooterChar"/>
    <w:uiPriority w:val="99"/>
    <w:rsid w:val="000C5383"/>
    <w:pPr>
      <w:tabs>
        <w:tab w:val="center" w:pos="4320"/>
        <w:tab w:val="right" w:pos="8640"/>
      </w:tabs>
    </w:pPr>
    <w:rPr>
      <w:sz w:val="20"/>
    </w:rPr>
  </w:style>
  <w:style w:type="character" w:customStyle="1" w:styleId="FooterChar">
    <w:name w:val="Footer Char"/>
    <w:basedOn w:val="DefaultParagraphFont"/>
    <w:link w:val="Footer"/>
    <w:uiPriority w:val="99"/>
    <w:rsid w:val="000C5383"/>
    <w:rPr>
      <w:rFonts w:ascii="Calibri Light" w:eastAsia="Times New Roman" w:hAnsi="Calibri Light"/>
      <w:lang w:eastAsia="en-AU"/>
    </w:rPr>
  </w:style>
  <w:style w:type="paragraph" w:customStyle="1" w:styleId="Factsheettitle">
    <w:name w:val="Fact sheet title"/>
    <w:basedOn w:val="Normal"/>
    <w:qFormat/>
    <w:rsid w:val="000C5383"/>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0C5383"/>
    <w:rPr>
      <w:rFonts w:eastAsia="Times New Roman" w:cs="Arial"/>
      <w:b/>
      <w:color w:val="2C384A" w:themeColor="accent1"/>
      <w:kern w:val="32"/>
      <w:sz w:val="44"/>
      <w:szCs w:val="36"/>
      <w:lang w:eastAsia="en-AU"/>
    </w:rPr>
  </w:style>
  <w:style w:type="paragraph" w:customStyle="1" w:styleId="Dash">
    <w:name w:val="Dash"/>
    <w:basedOn w:val="Normal"/>
    <w:link w:val="DashChar"/>
    <w:qFormat/>
    <w:rsid w:val="000C5383"/>
    <w:pPr>
      <w:numPr>
        <w:ilvl w:val="1"/>
        <w:numId w:val="9"/>
      </w:numPr>
      <w:tabs>
        <w:tab w:val="clear" w:pos="567"/>
      </w:tabs>
      <w:spacing w:before="0"/>
      <w:ind w:left="397" w:hanging="170"/>
    </w:pPr>
  </w:style>
  <w:style w:type="character" w:customStyle="1" w:styleId="DashChar">
    <w:name w:val="Dash Char"/>
    <w:basedOn w:val="DefaultParagraphFont"/>
    <w:link w:val="Dash"/>
    <w:rsid w:val="000C5383"/>
    <w:rPr>
      <w:rFonts w:ascii="Calibri Light" w:eastAsia="Times New Roman" w:hAnsi="Calibri Light"/>
      <w:sz w:val="22"/>
      <w:lang w:eastAsia="en-AU"/>
    </w:rPr>
  </w:style>
  <w:style w:type="paragraph" w:customStyle="1" w:styleId="DoubleDot">
    <w:name w:val="Double Dot"/>
    <w:basedOn w:val="Normal"/>
    <w:link w:val="DoubleDotChar"/>
    <w:qFormat/>
    <w:rsid w:val="000C5383"/>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0C5383"/>
    <w:rPr>
      <w:rFonts w:ascii="Calibri Light" w:eastAsia="Times New Roman" w:hAnsi="Calibri Light"/>
      <w:sz w:val="22"/>
      <w:lang w:eastAsia="en-AU"/>
    </w:rPr>
  </w:style>
  <w:style w:type="paragraph" w:styleId="BalloonText">
    <w:name w:val="Balloon Text"/>
    <w:basedOn w:val="Normal"/>
    <w:link w:val="BalloonTextChar"/>
    <w:semiHidden/>
    <w:rsid w:val="000C5383"/>
    <w:rPr>
      <w:rFonts w:ascii="Tahoma" w:hAnsi="Tahoma" w:cs="Tahoma"/>
      <w:sz w:val="16"/>
      <w:szCs w:val="16"/>
    </w:rPr>
  </w:style>
  <w:style w:type="character" w:customStyle="1" w:styleId="BalloonTextChar">
    <w:name w:val="Balloon Text Char"/>
    <w:basedOn w:val="DefaultParagraphFont"/>
    <w:link w:val="BalloonText"/>
    <w:semiHidden/>
    <w:rsid w:val="000C5383"/>
    <w:rPr>
      <w:rFonts w:ascii="Tahoma" w:eastAsia="Times New Roman" w:hAnsi="Tahoma" w:cs="Tahoma"/>
      <w:sz w:val="16"/>
      <w:szCs w:val="16"/>
      <w:lang w:eastAsia="en-AU"/>
    </w:rPr>
  </w:style>
  <w:style w:type="character" w:customStyle="1" w:styleId="Heading2Char">
    <w:name w:val="Heading 2 Char"/>
    <w:basedOn w:val="DefaultParagraphFont"/>
    <w:link w:val="Heading2"/>
    <w:rsid w:val="000C5383"/>
    <w:rPr>
      <w:rFonts w:eastAsia="Times New Roman" w:cs="Arial"/>
      <w:iCs/>
      <w:color w:val="4D7861" w:themeColor="accent2"/>
      <w:kern w:val="32"/>
      <w:sz w:val="36"/>
      <w:szCs w:val="28"/>
      <w:lang w:eastAsia="en-AU"/>
    </w:rPr>
  </w:style>
  <w:style w:type="character" w:customStyle="1" w:styleId="Heading3Char">
    <w:name w:val="Heading 3 Char"/>
    <w:basedOn w:val="DefaultParagraphFont"/>
    <w:link w:val="Heading3"/>
    <w:rsid w:val="000C5383"/>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0C5383"/>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0C5383"/>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C5383"/>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0C5383"/>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0C5383"/>
    <w:rPr>
      <w:color w:val="5D779D" w:themeColor="accent3"/>
      <w:u w:val="single"/>
    </w:rPr>
  </w:style>
  <w:style w:type="character" w:styleId="FollowedHyperlink">
    <w:name w:val="FollowedHyperlink"/>
    <w:basedOn w:val="DefaultParagraphFont"/>
    <w:semiHidden/>
    <w:unhideWhenUsed/>
    <w:rsid w:val="000C5383"/>
    <w:rPr>
      <w:color w:val="844D9E" w:themeColor="followedHyperlink"/>
      <w:u w:val="single"/>
    </w:rPr>
  </w:style>
  <w:style w:type="paragraph" w:styleId="Revision">
    <w:name w:val="Revision"/>
    <w:hidden/>
    <w:uiPriority w:val="99"/>
    <w:semiHidden/>
    <w:rsid w:val="000C5383"/>
    <w:rPr>
      <w:rFonts w:ascii="Calibri Light" w:hAnsi="Calibri Light"/>
      <w:color w:val="0D0D0D" w:themeColor="text1" w:themeTint="F2"/>
      <w:sz w:val="22"/>
    </w:rPr>
  </w:style>
  <w:style w:type="character" w:styleId="PlaceholderText">
    <w:name w:val="Placeholder Text"/>
    <w:basedOn w:val="DefaultParagraphFont"/>
    <w:uiPriority w:val="99"/>
    <w:semiHidden/>
    <w:rsid w:val="000C5383"/>
    <w:rPr>
      <w:color w:val="808080"/>
    </w:rPr>
  </w:style>
  <w:style w:type="character" w:customStyle="1" w:styleId="Heading5Char">
    <w:name w:val="Heading 5 Char"/>
    <w:basedOn w:val="DefaultParagraphFont"/>
    <w:link w:val="Heading5"/>
    <w:rsid w:val="000C5383"/>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0C5383"/>
    <w:pPr>
      <w:keepNext/>
    </w:pPr>
    <w:rPr>
      <w:b/>
      <w:color w:val="2C384A" w:themeColor="accent1"/>
      <w:sz w:val="26"/>
      <w:szCs w:val="26"/>
    </w:rPr>
  </w:style>
  <w:style w:type="paragraph" w:customStyle="1" w:styleId="BoxText">
    <w:name w:val="Box Text"/>
    <w:basedOn w:val="Normal"/>
    <w:link w:val="BoxTextChar"/>
    <w:rsid w:val="000C5383"/>
    <w:pPr>
      <w:spacing w:before="60" w:after="60"/>
    </w:pPr>
  </w:style>
  <w:style w:type="paragraph" w:customStyle="1" w:styleId="Bullet">
    <w:name w:val="Bullet"/>
    <w:basedOn w:val="Normal"/>
    <w:link w:val="BulletChar"/>
    <w:qFormat/>
    <w:rsid w:val="000C5383"/>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0C5383"/>
    <w:rPr>
      <w:rFonts w:ascii="Calibri Light" w:eastAsia="Times New Roman" w:hAnsi="Calibri Light"/>
      <w:sz w:val="22"/>
      <w:lang w:eastAsia="en-AU"/>
    </w:rPr>
  </w:style>
  <w:style w:type="character" w:customStyle="1" w:styleId="BulletChar">
    <w:name w:val="Bullet Char"/>
    <w:basedOn w:val="DefaultParagraphFont"/>
    <w:link w:val="Bullet"/>
    <w:rsid w:val="000C5383"/>
    <w:rPr>
      <w:rFonts w:ascii="Calibri Light" w:eastAsia="Times New Roman" w:hAnsi="Calibri Light"/>
      <w:sz w:val="22"/>
      <w:lang w:eastAsia="en-AU"/>
    </w:rPr>
  </w:style>
  <w:style w:type="paragraph" w:customStyle="1" w:styleId="Boxbullet">
    <w:name w:val="Box bullet"/>
    <w:basedOn w:val="Bullet"/>
    <w:rsid w:val="000C5383"/>
    <w:pPr>
      <w:spacing w:after="60"/>
    </w:pPr>
    <w:rPr>
      <w:color w:val="0D0D0D" w:themeColor="text1" w:themeTint="F2"/>
    </w:rPr>
  </w:style>
  <w:style w:type="paragraph" w:customStyle="1" w:styleId="Boxdash">
    <w:name w:val="Box dash"/>
    <w:basedOn w:val="Dash"/>
    <w:rsid w:val="000C5383"/>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0C5383"/>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0C5383"/>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rsid w:val="000C5383"/>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0C5383"/>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0C5383"/>
    <w:rPr>
      <w:rFonts w:asciiTheme="majorHAnsi" w:eastAsiaTheme="majorEastAsia" w:hAnsiTheme="majorHAnsi" w:cstheme="majorBidi"/>
      <w:iCs/>
      <w:color w:val="161B24" w:themeColor="accent1" w:themeShade="7F"/>
      <w:sz w:val="22"/>
      <w:lang w:eastAsia="en-AU"/>
    </w:rPr>
  </w:style>
  <w:style w:type="paragraph" w:styleId="NoSpacing">
    <w:name w:val="No Spacing"/>
    <w:link w:val="NoSpacingChar"/>
    <w:uiPriority w:val="1"/>
    <w:qFormat/>
    <w:rsid w:val="000C5383"/>
    <w:rPr>
      <w:rFonts w:asciiTheme="minorHAnsi" w:eastAsiaTheme="minorEastAsia" w:hAnsiTheme="minorHAnsi" w:cstheme="minorBidi"/>
      <w:sz w:val="22"/>
      <w:szCs w:val="22"/>
      <w:lang w:val="en-US"/>
    </w:rPr>
  </w:style>
  <w:style w:type="paragraph" w:customStyle="1" w:styleId="Default">
    <w:name w:val="Default"/>
    <w:rsid w:val="000C5383"/>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0C5383"/>
    <w:rPr>
      <w:vertAlign w:val="superscript"/>
    </w:rPr>
  </w:style>
  <w:style w:type="paragraph" w:styleId="FootnoteText">
    <w:name w:val="footnote text"/>
    <w:basedOn w:val="Normal"/>
    <w:link w:val="FootnoteTextChar"/>
    <w:rsid w:val="009A2645"/>
    <w:pPr>
      <w:spacing w:after="0"/>
      <w:ind w:left="425" w:hanging="425"/>
    </w:pPr>
    <w:rPr>
      <w:sz w:val="20"/>
    </w:rPr>
  </w:style>
  <w:style w:type="character" w:customStyle="1" w:styleId="FootnoteTextChar">
    <w:name w:val="Footnote Text Char"/>
    <w:basedOn w:val="DefaultParagraphFont"/>
    <w:link w:val="FootnoteText"/>
    <w:rsid w:val="009A2645"/>
    <w:rPr>
      <w:rFonts w:ascii="Calibri Light" w:eastAsia="Times New Roman" w:hAnsi="Calibri Light"/>
      <w:lang w:eastAsia="en-AU"/>
    </w:rPr>
  </w:style>
  <w:style w:type="table" w:customStyle="1" w:styleId="GridTable5Dark-Accent61">
    <w:name w:val="Grid Table 5 Dark - Accent 61"/>
    <w:basedOn w:val="TableNormal"/>
    <w:uiPriority w:val="50"/>
    <w:rsid w:val="000C5383"/>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0C5383"/>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0C5383"/>
    <w:pPr>
      <w:ind w:left="720"/>
      <w:contextualSpacing/>
    </w:pPr>
  </w:style>
  <w:style w:type="character" w:customStyle="1" w:styleId="ListParagraphChar">
    <w:name w:val="List Paragraph Char"/>
    <w:basedOn w:val="DefaultParagraphFont"/>
    <w:link w:val="ListParagraph"/>
    <w:uiPriority w:val="34"/>
    <w:rsid w:val="000C5383"/>
    <w:rPr>
      <w:rFonts w:ascii="Calibri Light" w:eastAsia="Times New Roman" w:hAnsi="Calibri Light"/>
      <w:sz w:val="22"/>
      <w:lang w:eastAsia="en-AU"/>
    </w:rPr>
  </w:style>
  <w:style w:type="table" w:customStyle="1" w:styleId="ListTable4-Accent61">
    <w:name w:val="List Table 4 - Accent 61"/>
    <w:basedOn w:val="TableNormal"/>
    <w:uiPriority w:val="49"/>
    <w:rsid w:val="000C5383"/>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0C5383"/>
    <w:rPr>
      <w:rFonts w:asciiTheme="minorHAnsi" w:eastAsiaTheme="minorEastAsia" w:hAnsiTheme="minorHAnsi" w:cstheme="minorBidi"/>
      <w:sz w:val="22"/>
      <w:szCs w:val="22"/>
      <w:lang w:val="en-US"/>
    </w:rPr>
  </w:style>
  <w:style w:type="paragraph" w:styleId="NormalWeb">
    <w:name w:val="Normal (Web)"/>
    <w:basedOn w:val="Normal"/>
    <w:rsid w:val="000C5383"/>
    <w:pPr>
      <w:spacing w:before="100" w:beforeAutospacing="1" w:after="100" w:afterAutospacing="1"/>
    </w:pPr>
  </w:style>
  <w:style w:type="character" w:styleId="PageNumber">
    <w:name w:val="page number"/>
    <w:basedOn w:val="DefaultParagraphFont"/>
    <w:rsid w:val="000C5383"/>
  </w:style>
  <w:style w:type="numbering" w:customStyle="1" w:styleId="StyleBulletedSymbolsymbol11ptLeft4cmHanging05">
    <w:name w:val="Style Bulleted Symbol (symbol) 11 pt Left:  4 cm Hanging:  0.5 ..."/>
    <w:basedOn w:val="NoList"/>
    <w:rsid w:val="000C5383"/>
    <w:pPr>
      <w:numPr>
        <w:numId w:val="1"/>
      </w:numPr>
    </w:pPr>
  </w:style>
  <w:style w:type="numbering" w:customStyle="1" w:styleId="StyleBulletedSymbolsymbol11ptLeft4cmHanging051">
    <w:name w:val="Style Bulleted Symbol (symbol) 11 pt Left:  4 cm Hanging:  0.5 ...1"/>
    <w:basedOn w:val="NoList"/>
    <w:rsid w:val="000C5383"/>
    <w:pPr>
      <w:numPr>
        <w:numId w:val="2"/>
      </w:numPr>
    </w:pPr>
  </w:style>
  <w:style w:type="numbering" w:customStyle="1" w:styleId="BoxBulletedList">
    <w:name w:val="Box Bulleted List"/>
    <w:uiPriority w:val="99"/>
    <w:rsid w:val="000C5383"/>
    <w:pPr>
      <w:numPr>
        <w:numId w:val="8"/>
      </w:numPr>
    </w:pPr>
  </w:style>
  <w:style w:type="paragraph" w:customStyle="1" w:styleId="Tableheading">
    <w:name w:val="Table heading"/>
    <w:basedOn w:val="Normal"/>
    <w:rsid w:val="000C5383"/>
    <w:pPr>
      <w:keepLines/>
      <w:jc w:val="center"/>
    </w:pPr>
    <w:rPr>
      <w:b/>
    </w:rPr>
  </w:style>
  <w:style w:type="paragraph" w:customStyle="1" w:styleId="TableText">
    <w:name w:val="Table Text"/>
    <w:basedOn w:val="Normal"/>
    <w:rsid w:val="000C5383"/>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0C5383"/>
    <w:pPr>
      <w:spacing w:before="80" w:after="80"/>
    </w:pPr>
  </w:style>
  <w:style w:type="character" w:customStyle="1" w:styleId="TabletextChar">
    <w:name w:val="Table text Char"/>
    <w:basedOn w:val="DefaultParagraphFont"/>
    <w:link w:val="Tabletext0"/>
    <w:rsid w:val="000C5383"/>
    <w:rPr>
      <w:rFonts w:ascii="Calibri Light" w:eastAsia="Times New Roman" w:hAnsi="Calibri Light"/>
      <w:sz w:val="22"/>
      <w:lang w:eastAsia="en-AU"/>
    </w:rPr>
  </w:style>
  <w:style w:type="character" w:customStyle="1" w:styleId="ui-provider">
    <w:name w:val="ui-provider"/>
    <w:basedOn w:val="DefaultParagraphFont"/>
    <w:rsid w:val="000C5383"/>
  </w:style>
  <w:style w:type="character" w:styleId="Strong">
    <w:name w:val="Strong"/>
    <w:basedOn w:val="DefaultParagraphFont"/>
    <w:rsid w:val="000C5383"/>
    <w:rPr>
      <w:b/>
      <w:bCs/>
      <w:color w:val="FFFFFF" w:themeColor="background1"/>
    </w:rPr>
  </w:style>
  <w:style w:type="character" w:styleId="CommentReference">
    <w:name w:val="annotation reference"/>
    <w:basedOn w:val="DefaultParagraphFont"/>
    <w:semiHidden/>
    <w:unhideWhenUsed/>
    <w:rsid w:val="009B74EB"/>
    <w:rPr>
      <w:sz w:val="16"/>
      <w:szCs w:val="16"/>
    </w:rPr>
  </w:style>
  <w:style w:type="paragraph" w:styleId="CommentText">
    <w:name w:val="annotation text"/>
    <w:basedOn w:val="Normal"/>
    <w:link w:val="CommentTextChar"/>
    <w:unhideWhenUsed/>
    <w:rsid w:val="009B74EB"/>
    <w:rPr>
      <w:sz w:val="20"/>
    </w:rPr>
  </w:style>
  <w:style w:type="character" w:customStyle="1" w:styleId="CommentTextChar">
    <w:name w:val="Comment Text Char"/>
    <w:basedOn w:val="DefaultParagraphFont"/>
    <w:link w:val="CommentText"/>
    <w:rsid w:val="009B74EB"/>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9B74EB"/>
    <w:rPr>
      <w:b/>
      <w:bCs/>
    </w:rPr>
  </w:style>
  <w:style w:type="character" w:customStyle="1" w:styleId="CommentSubjectChar">
    <w:name w:val="Comment Subject Char"/>
    <w:basedOn w:val="CommentTextChar"/>
    <w:link w:val="CommentSubject"/>
    <w:semiHidden/>
    <w:rsid w:val="009B74EB"/>
    <w:rPr>
      <w:rFonts w:ascii="Calibri Light" w:eastAsia="Times New Roman" w:hAnsi="Calibri Light"/>
      <w:b/>
      <w:bCs/>
      <w:lang w:eastAsia="en-AU"/>
    </w:rPr>
  </w:style>
  <w:style w:type="character" w:styleId="UnresolvedMention">
    <w:name w:val="Unresolved Mention"/>
    <w:basedOn w:val="DefaultParagraphFont"/>
    <w:uiPriority w:val="99"/>
    <w:semiHidden/>
    <w:unhideWhenUsed/>
    <w:rsid w:val="00974621"/>
    <w:rPr>
      <w:color w:val="605E5C"/>
      <w:shd w:val="clear" w:color="auto" w:fill="E1DFDD"/>
    </w:rPr>
  </w:style>
  <w:style w:type="table" w:styleId="GridTable2-Accent2">
    <w:name w:val="Grid Table 2 Accent 2"/>
    <w:basedOn w:val="TableNormal"/>
    <w:uiPriority w:val="47"/>
    <w:rsid w:val="00D30701"/>
    <w:tblPr>
      <w:tblStyleRowBandSize w:val="1"/>
      <w:tblStyleColBandSize w:val="1"/>
      <w:tblBorders>
        <w:top w:val="single" w:sz="2" w:space="0" w:color="8CB59F" w:themeColor="accent2" w:themeTint="99"/>
        <w:bottom w:val="single" w:sz="2" w:space="0" w:color="8CB59F" w:themeColor="accent2" w:themeTint="99"/>
        <w:insideH w:val="single" w:sz="2" w:space="0" w:color="8CB59F" w:themeColor="accent2" w:themeTint="99"/>
        <w:insideV w:val="single" w:sz="2" w:space="0" w:color="8CB59F" w:themeColor="accent2" w:themeTint="99"/>
      </w:tblBorders>
    </w:tblPr>
    <w:tblStylePr w:type="firstRow">
      <w:rPr>
        <w:b/>
        <w:bCs/>
      </w:rPr>
      <w:tblPr/>
      <w:tcPr>
        <w:tcBorders>
          <w:top w:val="nil"/>
          <w:bottom w:val="single" w:sz="12" w:space="0" w:color="8CB59F" w:themeColor="accent2" w:themeTint="99"/>
          <w:insideH w:val="nil"/>
          <w:insideV w:val="nil"/>
        </w:tcBorders>
        <w:shd w:val="clear" w:color="auto" w:fill="FFFFFF" w:themeFill="background1"/>
      </w:tcPr>
    </w:tblStylePr>
    <w:tblStylePr w:type="lastRow">
      <w:rPr>
        <w:b/>
        <w:bCs/>
      </w:rPr>
      <w:tblPr/>
      <w:tcPr>
        <w:tcBorders>
          <w:top w:val="double" w:sz="2" w:space="0" w:color="8CB59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6DF" w:themeFill="accent2" w:themeFillTint="33"/>
      </w:tcPr>
    </w:tblStylePr>
    <w:tblStylePr w:type="band1Horz">
      <w:tblPr/>
      <w:tcPr>
        <w:shd w:val="clear" w:color="auto" w:fill="D8E6DF" w:themeFill="accent2" w:themeFillTint="33"/>
      </w:tcPr>
    </w:tblStylePr>
  </w:style>
  <w:style w:type="paragraph" w:customStyle="1" w:styleId="TableBullet">
    <w:name w:val="Table Bullet"/>
    <w:basedOn w:val="Boxbullet"/>
    <w:qFormat/>
    <w:rsid w:val="000C5383"/>
    <w:pPr>
      <w:numPr>
        <w:numId w:val="13"/>
      </w:numPr>
      <w:tabs>
        <w:tab w:val="clear" w:pos="1492"/>
      </w:tabs>
      <w:ind w:left="170" w:hanging="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444346952">
      <w:bodyDiv w:val="1"/>
      <w:marLeft w:val="0"/>
      <w:marRight w:val="0"/>
      <w:marTop w:val="0"/>
      <w:marBottom w:val="0"/>
      <w:divBdr>
        <w:top w:val="none" w:sz="0" w:space="0" w:color="auto"/>
        <w:left w:val="none" w:sz="0" w:space="0" w:color="auto"/>
        <w:bottom w:val="none" w:sz="0" w:space="0" w:color="auto"/>
        <w:right w:val="none" w:sz="0" w:space="0" w:color="auto"/>
      </w:divBdr>
      <w:divsChild>
        <w:div w:id="983392252">
          <w:marLeft w:val="0"/>
          <w:marRight w:val="0"/>
          <w:marTop w:val="0"/>
          <w:marBottom w:val="0"/>
          <w:divBdr>
            <w:top w:val="none" w:sz="0" w:space="0" w:color="auto"/>
            <w:left w:val="none" w:sz="0" w:space="0" w:color="auto"/>
            <w:bottom w:val="none" w:sz="0" w:space="0" w:color="auto"/>
            <w:right w:val="none" w:sz="0" w:space="0" w:color="auto"/>
          </w:divBdr>
        </w:div>
        <w:div w:id="1785995252">
          <w:marLeft w:val="0"/>
          <w:marRight w:val="0"/>
          <w:marTop w:val="0"/>
          <w:marBottom w:val="0"/>
          <w:divBdr>
            <w:top w:val="none" w:sz="0" w:space="0" w:color="auto"/>
            <w:left w:val="none" w:sz="0" w:space="0" w:color="auto"/>
            <w:bottom w:val="none" w:sz="0" w:space="0" w:color="auto"/>
            <w:right w:val="none" w:sz="0" w:space="0" w:color="auto"/>
          </w:divBdr>
        </w:div>
        <w:div w:id="1733190246">
          <w:marLeft w:val="0"/>
          <w:marRight w:val="0"/>
          <w:marTop w:val="0"/>
          <w:marBottom w:val="0"/>
          <w:divBdr>
            <w:top w:val="none" w:sz="0" w:space="0" w:color="auto"/>
            <w:left w:val="none" w:sz="0" w:space="0" w:color="auto"/>
            <w:bottom w:val="none" w:sz="0" w:space="0" w:color="auto"/>
            <w:right w:val="none" w:sz="0" w:space="0" w:color="auto"/>
          </w:divBdr>
        </w:div>
      </w:divsChild>
    </w:div>
    <w:div w:id="485824962">
      <w:bodyDiv w:val="1"/>
      <w:marLeft w:val="0"/>
      <w:marRight w:val="0"/>
      <w:marTop w:val="0"/>
      <w:marBottom w:val="0"/>
      <w:divBdr>
        <w:top w:val="none" w:sz="0" w:space="0" w:color="auto"/>
        <w:left w:val="none" w:sz="0" w:space="0" w:color="auto"/>
        <w:bottom w:val="none" w:sz="0" w:space="0" w:color="auto"/>
        <w:right w:val="none" w:sz="0" w:space="0" w:color="auto"/>
      </w:divBdr>
      <w:divsChild>
        <w:div w:id="866799227">
          <w:marLeft w:val="0"/>
          <w:marRight w:val="0"/>
          <w:marTop w:val="0"/>
          <w:marBottom w:val="0"/>
          <w:divBdr>
            <w:top w:val="none" w:sz="0" w:space="0" w:color="auto"/>
            <w:left w:val="none" w:sz="0" w:space="0" w:color="auto"/>
            <w:bottom w:val="none" w:sz="0" w:space="0" w:color="auto"/>
            <w:right w:val="none" w:sz="0" w:space="0" w:color="auto"/>
          </w:divBdr>
          <w:divsChild>
            <w:div w:id="147749915">
              <w:marLeft w:val="0"/>
              <w:marRight w:val="0"/>
              <w:marTop w:val="0"/>
              <w:marBottom w:val="0"/>
              <w:divBdr>
                <w:top w:val="none" w:sz="0" w:space="0" w:color="auto"/>
                <w:left w:val="none" w:sz="0" w:space="0" w:color="auto"/>
                <w:bottom w:val="none" w:sz="0" w:space="0" w:color="auto"/>
                <w:right w:val="none" w:sz="0" w:space="0" w:color="auto"/>
              </w:divBdr>
            </w:div>
          </w:divsChild>
        </w:div>
        <w:div w:id="975720995">
          <w:marLeft w:val="0"/>
          <w:marRight w:val="0"/>
          <w:marTop w:val="0"/>
          <w:marBottom w:val="0"/>
          <w:divBdr>
            <w:top w:val="none" w:sz="0" w:space="0" w:color="auto"/>
            <w:left w:val="none" w:sz="0" w:space="0" w:color="auto"/>
            <w:bottom w:val="none" w:sz="0" w:space="0" w:color="auto"/>
            <w:right w:val="none" w:sz="0" w:space="0" w:color="auto"/>
          </w:divBdr>
          <w:divsChild>
            <w:div w:id="1946110998">
              <w:marLeft w:val="0"/>
              <w:marRight w:val="0"/>
              <w:marTop w:val="0"/>
              <w:marBottom w:val="0"/>
              <w:divBdr>
                <w:top w:val="none" w:sz="0" w:space="0" w:color="auto"/>
                <w:left w:val="none" w:sz="0" w:space="0" w:color="auto"/>
                <w:bottom w:val="none" w:sz="0" w:space="0" w:color="auto"/>
                <w:right w:val="none" w:sz="0" w:space="0" w:color="auto"/>
              </w:divBdr>
            </w:div>
            <w:div w:id="332756362">
              <w:marLeft w:val="0"/>
              <w:marRight w:val="0"/>
              <w:marTop w:val="0"/>
              <w:marBottom w:val="0"/>
              <w:divBdr>
                <w:top w:val="none" w:sz="0" w:space="0" w:color="auto"/>
                <w:left w:val="none" w:sz="0" w:space="0" w:color="auto"/>
                <w:bottom w:val="none" w:sz="0" w:space="0" w:color="auto"/>
                <w:right w:val="none" w:sz="0" w:space="0" w:color="auto"/>
              </w:divBdr>
            </w:div>
            <w:div w:id="15149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1428">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258827126">
      <w:bodyDiv w:val="1"/>
      <w:marLeft w:val="0"/>
      <w:marRight w:val="0"/>
      <w:marTop w:val="0"/>
      <w:marBottom w:val="0"/>
      <w:divBdr>
        <w:top w:val="none" w:sz="0" w:space="0" w:color="auto"/>
        <w:left w:val="none" w:sz="0" w:space="0" w:color="auto"/>
        <w:bottom w:val="none" w:sz="0" w:space="0" w:color="auto"/>
        <w:right w:val="none" w:sz="0" w:space="0" w:color="auto"/>
      </w:divBdr>
      <w:divsChild>
        <w:div w:id="1815413911">
          <w:marLeft w:val="0"/>
          <w:marRight w:val="0"/>
          <w:marTop w:val="0"/>
          <w:marBottom w:val="0"/>
          <w:divBdr>
            <w:top w:val="none" w:sz="0" w:space="0" w:color="auto"/>
            <w:left w:val="none" w:sz="0" w:space="0" w:color="auto"/>
            <w:bottom w:val="none" w:sz="0" w:space="0" w:color="auto"/>
            <w:right w:val="none" w:sz="0" w:space="0" w:color="auto"/>
          </w:divBdr>
        </w:div>
        <w:div w:id="649134650">
          <w:marLeft w:val="0"/>
          <w:marRight w:val="0"/>
          <w:marTop w:val="0"/>
          <w:marBottom w:val="0"/>
          <w:divBdr>
            <w:top w:val="none" w:sz="0" w:space="0" w:color="auto"/>
            <w:left w:val="none" w:sz="0" w:space="0" w:color="auto"/>
            <w:bottom w:val="none" w:sz="0" w:space="0" w:color="auto"/>
            <w:right w:val="none" w:sz="0" w:space="0" w:color="auto"/>
          </w:divBdr>
        </w:div>
        <w:div w:id="2016297517">
          <w:marLeft w:val="0"/>
          <w:marRight w:val="0"/>
          <w:marTop w:val="0"/>
          <w:marBottom w:val="0"/>
          <w:divBdr>
            <w:top w:val="none" w:sz="0" w:space="0" w:color="auto"/>
            <w:left w:val="none" w:sz="0" w:space="0" w:color="auto"/>
            <w:bottom w:val="none" w:sz="0" w:space="0" w:color="auto"/>
            <w:right w:val="none" w:sz="0" w:space="0" w:color="auto"/>
          </w:divBdr>
        </w:div>
      </w:divsChild>
    </w:div>
    <w:div w:id="1381176306">
      <w:bodyDiv w:val="1"/>
      <w:marLeft w:val="0"/>
      <w:marRight w:val="0"/>
      <w:marTop w:val="0"/>
      <w:marBottom w:val="0"/>
      <w:divBdr>
        <w:top w:val="none" w:sz="0" w:space="0" w:color="auto"/>
        <w:left w:val="none" w:sz="0" w:space="0" w:color="auto"/>
        <w:bottom w:val="none" w:sz="0" w:space="0" w:color="auto"/>
        <w:right w:val="none" w:sz="0" w:space="0" w:color="auto"/>
      </w:divBdr>
    </w:div>
    <w:div w:id="1603756805">
      <w:bodyDiv w:val="1"/>
      <w:marLeft w:val="0"/>
      <w:marRight w:val="0"/>
      <w:marTop w:val="0"/>
      <w:marBottom w:val="0"/>
      <w:divBdr>
        <w:top w:val="none" w:sz="0" w:space="0" w:color="auto"/>
        <w:left w:val="none" w:sz="0" w:space="0" w:color="auto"/>
        <w:bottom w:val="none" w:sz="0" w:space="0" w:color="auto"/>
        <w:right w:val="none" w:sz="0" w:space="0" w:color="auto"/>
      </w:divBdr>
      <w:divsChild>
        <w:div w:id="1506632747">
          <w:marLeft w:val="0"/>
          <w:marRight w:val="0"/>
          <w:marTop w:val="0"/>
          <w:marBottom w:val="0"/>
          <w:divBdr>
            <w:top w:val="none" w:sz="0" w:space="0" w:color="auto"/>
            <w:left w:val="none" w:sz="0" w:space="0" w:color="auto"/>
            <w:bottom w:val="none" w:sz="0" w:space="0" w:color="auto"/>
            <w:right w:val="none" w:sz="0" w:space="0" w:color="auto"/>
          </w:divBdr>
        </w:div>
        <w:div w:id="1509172442">
          <w:marLeft w:val="0"/>
          <w:marRight w:val="0"/>
          <w:marTop w:val="0"/>
          <w:marBottom w:val="0"/>
          <w:divBdr>
            <w:top w:val="none" w:sz="0" w:space="0" w:color="auto"/>
            <w:left w:val="none" w:sz="0" w:space="0" w:color="auto"/>
            <w:bottom w:val="none" w:sz="0" w:space="0" w:color="auto"/>
            <w:right w:val="none" w:sz="0" w:space="0" w:color="auto"/>
          </w:divBdr>
        </w:div>
        <w:div w:id="1239244148">
          <w:marLeft w:val="0"/>
          <w:marRight w:val="0"/>
          <w:marTop w:val="0"/>
          <w:marBottom w:val="0"/>
          <w:divBdr>
            <w:top w:val="none" w:sz="0" w:space="0" w:color="auto"/>
            <w:left w:val="none" w:sz="0" w:space="0" w:color="auto"/>
            <w:bottom w:val="none" w:sz="0" w:space="0" w:color="auto"/>
            <w:right w:val="none" w:sz="0" w:space="0" w:color="auto"/>
          </w:divBdr>
        </w:div>
      </w:divsChild>
    </w:div>
    <w:div w:id="1611622014">
      <w:bodyDiv w:val="1"/>
      <w:marLeft w:val="0"/>
      <w:marRight w:val="0"/>
      <w:marTop w:val="0"/>
      <w:marBottom w:val="0"/>
      <w:divBdr>
        <w:top w:val="none" w:sz="0" w:space="0" w:color="auto"/>
        <w:left w:val="none" w:sz="0" w:space="0" w:color="auto"/>
        <w:bottom w:val="none" w:sz="0" w:space="0" w:color="auto"/>
        <w:right w:val="none" w:sz="0" w:space="0" w:color="auto"/>
      </w:divBdr>
    </w:div>
    <w:div w:id="1720132370">
      <w:bodyDiv w:val="1"/>
      <w:marLeft w:val="0"/>
      <w:marRight w:val="0"/>
      <w:marTop w:val="0"/>
      <w:marBottom w:val="0"/>
      <w:divBdr>
        <w:top w:val="none" w:sz="0" w:space="0" w:color="auto"/>
        <w:left w:val="none" w:sz="0" w:space="0" w:color="auto"/>
        <w:bottom w:val="none" w:sz="0" w:space="0" w:color="auto"/>
        <w:right w:val="none" w:sz="0" w:space="0" w:color="auto"/>
      </w:divBdr>
      <w:divsChild>
        <w:div w:id="1270087829">
          <w:marLeft w:val="446"/>
          <w:marRight w:val="0"/>
          <w:marTop w:val="40"/>
          <w:marBottom w:val="120"/>
          <w:divBdr>
            <w:top w:val="none" w:sz="0" w:space="0" w:color="auto"/>
            <w:left w:val="none" w:sz="0" w:space="0" w:color="auto"/>
            <w:bottom w:val="none" w:sz="0" w:space="0" w:color="auto"/>
            <w:right w:val="none" w:sz="0" w:space="0" w:color="auto"/>
          </w:divBdr>
        </w:div>
        <w:div w:id="1344867774">
          <w:marLeft w:val="446"/>
          <w:marRight w:val="0"/>
          <w:marTop w:val="40"/>
          <w:marBottom w:val="120"/>
          <w:divBdr>
            <w:top w:val="none" w:sz="0" w:space="0" w:color="auto"/>
            <w:left w:val="none" w:sz="0" w:space="0" w:color="auto"/>
            <w:bottom w:val="none" w:sz="0" w:space="0" w:color="auto"/>
            <w:right w:val="none" w:sz="0" w:space="0" w:color="auto"/>
          </w:divBdr>
        </w:div>
        <w:div w:id="201132769">
          <w:marLeft w:val="446"/>
          <w:marRight w:val="0"/>
          <w:marTop w:val="40"/>
          <w:marBottom w:val="120"/>
          <w:divBdr>
            <w:top w:val="none" w:sz="0" w:space="0" w:color="auto"/>
            <w:left w:val="none" w:sz="0" w:space="0" w:color="auto"/>
            <w:bottom w:val="none" w:sz="0" w:space="0" w:color="auto"/>
            <w:right w:val="none" w:sz="0" w:space="0" w:color="auto"/>
          </w:divBdr>
        </w:div>
      </w:divsChild>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750729336">
      <w:bodyDiv w:val="1"/>
      <w:marLeft w:val="0"/>
      <w:marRight w:val="0"/>
      <w:marTop w:val="0"/>
      <w:marBottom w:val="0"/>
      <w:divBdr>
        <w:top w:val="none" w:sz="0" w:space="0" w:color="auto"/>
        <w:left w:val="none" w:sz="0" w:space="0" w:color="auto"/>
        <w:bottom w:val="none" w:sz="0" w:space="0" w:color="auto"/>
        <w:right w:val="none" w:sz="0" w:space="0" w:color="auto"/>
      </w:divBdr>
    </w:div>
    <w:div w:id="1836021802">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894537489">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03717381">
      <w:bodyDiv w:val="1"/>
      <w:marLeft w:val="0"/>
      <w:marRight w:val="0"/>
      <w:marTop w:val="0"/>
      <w:marBottom w:val="0"/>
      <w:divBdr>
        <w:top w:val="none" w:sz="0" w:space="0" w:color="auto"/>
        <w:left w:val="none" w:sz="0" w:space="0" w:color="auto"/>
        <w:bottom w:val="none" w:sz="0" w:space="0" w:color="auto"/>
        <w:right w:val="none" w:sz="0" w:space="0" w:color="auto"/>
      </w:divBdr>
      <w:divsChild>
        <w:div w:id="696277151">
          <w:marLeft w:val="0"/>
          <w:marRight w:val="0"/>
          <w:marTop w:val="0"/>
          <w:marBottom w:val="0"/>
          <w:divBdr>
            <w:top w:val="none" w:sz="0" w:space="0" w:color="auto"/>
            <w:left w:val="none" w:sz="0" w:space="0" w:color="auto"/>
            <w:bottom w:val="none" w:sz="0" w:space="0" w:color="auto"/>
            <w:right w:val="none" w:sz="0" w:space="0" w:color="auto"/>
          </w:divBdr>
        </w:div>
        <w:div w:id="1983846381">
          <w:marLeft w:val="0"/>
          <w:marRight w:val="0"/>
          <w:marTop w:val="0"/>
          <w:marBottom w:val="0"/>
          <w:divBdr>
            <w:top w:val="none" w:sz="0" w:space="0" w:color="auto"/>
            <w:left w:val="none" w:sz="0" w:space="0" w:color="auto"/>
            <w:bottom w:val="none" w:sz="0" w:space="0" w:color="auto"/>
            <w:right w:val="none" w:sz="0" w:space="0" w:color="auto"/>
          </w:divBdr>
        </w:div>
        <w:div w:id="2056540793">
          <w:marLeft w:val="0"/>
          <w:marRight w:val="0"/>
          <w:marTop w:val="0"/>
          <w:marBottom w:val="0"/>
          <w:divBdr>
            <w:top w:val="none" w:sz="0" w:space="0" w:color="auto"/>
            <w:left w:val="none" w:sz="0" w:space="0" w:color="auto"/>
            <w:bottom w:val="none" w:sz="0" w:space="0" w:color="auto"/>
            <w:right w:val="none" w:sz="0" w:space="0" w:color="auto"/>
          </w:divBdr>
        </w:div>
      </w:divsChild>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witja.org.au/wp-content/uploads/2024/08/CulturalSafetyinAustralia_DiscussionPaper_Aug2024.pdf" TargetMode="External"/><Relationship Id="rId13" Type="http://schemas.openxmlformats.org/officeDocument/2006/relationships/hyperlink" Target="mailto:EvaluationMaturity@TREASURY.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nance.gov.au/government/managing-commonwealth-resources/planning-and-reporting/commonwealth-performance-framework/planning" TargetMode="External"/><Relationship Id="rId12" Type="http://schemas.openxmlformats.org/officeDocument/2006/relationships/hyperlink" Target="https://www.apsc.gov.au/state-service/state-service-2016-17-blogposts/managing-risk-ap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au/Series/F2014L0091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iatsis.gov.au/research/ethical-research/code-ethic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valuation.treasury.gov.au/publications/government-administrative-data-sources-evaluation-australi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evaluation.treasury.gov.au/toolkit/impact-evaluation" TargetMode="External"/><Relationship Id="rId2" Type="http://schemas.openxmlformats.org/officeDocument/2006/relationships/hyperlink" Target="https://www.r4d.org/wp-content/uploads/R4D_EIP-TranslatorBrief_F_WEB.pdf" TargetMode="External"/><Relationship Id="rId1" Type="http://schemas.openxmlformats.org/officeDocument/2006/relationships/hyperlink" Target="https://dcj.nsw.gov.au/content/dcj/evidenceportal/evidence-portal-home/using-evidence/what-is-evidence.html" TargetMode="External"/><Relationship Id="rId6" Type="http://schemas.openxmlformats.org/officeDocument/2006/relationships/hyperlink" Target="https://evaluation.treasury.gov.au/toolkit/evaluation-context" TargetMode="External"/><Relationship Id="rId5" Type="http://schemas.openxmlformats.org/officeDocument/2006/relationships/hyperlink" Target="https://evaluation.treasury.gov.au/toolkit/new-policy-proposals" TargetMode="External"/><Relationship Id="rId4" Type="http://schemas.openxmlformats.org/officeDocument/2006/relationships/hyperlink" Target="https://evaluation.treasury.gov.au/toolkit/define-evidence-and-data-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Commonwealth Evaluation Maturity Model – Glossary and FAQs</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Evaluation Maturity Model – Glossary and FAQs</dc:title>
  <dc:subject/>
  <dc:creator>Treasury; Australian Centre for Evaluation</dc:creator>
  <cp:keywords/>
  <dc:description/>
  <cp:lastModifiedBy/>
  <cp:revision>1</cp:revision>
  <dcterms:created xsi:type="dcterms:W3CDTF">2025-11-26T04:06:00Z</dcterms:created>
  <dcterms:modified xsi:type="dcterms:W3CDTF">2025-11-26T04:06:00Z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f932d64-9ab1-4d9b-81d2-a3a8b82dd47d_Enabled">
    <vt:lpwstr>true</vt:lpwstr>
  </property>
  <property fmtid="{D5CDD505-2E9C-101B-9397-08002B2CF9AE}" pid="4" name="MSIP_Label_4f932d64-9ab1-4d9b-81d2-a3a8b82dd47d_SetDate">
    <vt:lpwstr>2025-11-26T04:06:36Z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161c71cc-48ce-4281-ac9c-5fd1321d7922</vt:lpwstr>
  </property>
  <property fmtid="{D5CDD505-2E9C-101B-9397-08002B2CF9AE}" pid="9" name="MSIP_Label_4f932d64-9ab1-4d9b-81d2-a3a8b82dd47d_ContentBits">
    <vt:lpwstr>0</vt:lpwstr>
  </property>
  <property fmtid="{D5CDD505-2E9C-101B-9397-08002B2CF9AE}" pid="10" name="MSIP_Label_4f932d64-9ab1-4d9b-81d2-a3a8b82dd47d_Tag">
    <vt:lpwstr>10, 0, 1, 1</vt:lpwstr>
  </property>
</Properties>
</file>