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CDE1" w14:textId="09E27ED3" w:rsidR="00986A46" w:rsidRPr="006E76BE" w:rsidRDefault="00D84B59" w:rsidP="00812864">
      <w:pPr>
        <w:pStyle w:val="Factsheettitle"/>
      </w:pPr>
      <w:r>
        <w:t>Commonwealth Evaluation Maturity</w:t>
      </w:r>
      <w:r w:rsidR="00940933">
        <w:t> </w:t>
      </w:r>
      <w:r>
        <w:t>Model</w:t>
      </w:r>
      <w:r w:rsidR="00940933">
        <w:t xml:space="preserve"> – Action Bank</w:t>
      </w:r>
    </w:p>
    <w:p w14:paraId="00196500" w14:textId="018A6F1C" w:rsidR="00462C22" w:rsidRDefault="004449FB" w:rsidP="004F3210">
      <w:pPr>
        <w:pStyle w:val="Heading1"/>
      </w:pPr>
      <w:bookmarkStart w:id="0" w:name="_Toc201065024"/>
      <w:bookmarkStart w:id="1" w:name="_Toc201073530"/>
      <w:bookmarkStart w:id="2" w:name="_Toc201073872"/>
      <w:bookmarkStart w:id="3" w:name="_Toc201074249"/>
      <w:r>
        <w:t>Introduction</w:t>
      </w:r>
    </w:p>
    <w:p w14:paraId="1FC66D82" w14:textId="206B6159" w:rsidR="002A6F9B" w:rsidRDefault="00D53251" w:rsidP="002A6F9B">
      <w:r>
        <w:t>Th</w:t>
      </w:r>
      <w:r w:rsidR="001E1F35">
        <w:t xml:space="preserve">e Action Bank provides </w:t>
      </w:r>
      <w:r>
        <w:t xml:space="preserve">examples </w:t>
      </w:r>
      <w:r w:rsidR="00925A25">
        <w:t xml:space="preserve">of actions </w:t>
      </w:r>
      <w:r w:rsidR="000C7152">
        <w:t xml:space="preserve">that </w:t>
      </w:r>
      <w:r>
        <w:t xml:space="preserve">users </w:t>
      </w:r>
      <w:r w:rsidR="00904575">
        <w:t xml:space="preserve">of </w:t>
      </w:r>
      <w:r w:rsidR="00CA35E1">
        <w:t>the C</w:t>
      </w:r>
      <w:r w:rsidR="001C27C9">
        <w:t xml:space="preserve">ommonwealth </w:t>
      </w:r>
      <w:r w:rsidR="00CA35E1">
        <w:t xml:space="preserve">Evaluation Maturity Model (the </w:t>
      </w:r>
      <w:r w:rsidR="00922B5F">
        <w:t xml:space="preserve">Maturity </w:t>
      </w:r>
      <w:r w:rsidR="00CA35E1">
        <w:t xml:space="preserve">Model) </w:t>
      </w:r>
      <w:r w:rsidR="0044124B">
        <w:t xml:space="preserve">can select to develop </w:t>
      </w:r>
      <w:r w:rsidR="00253913">
        <w:t xml:space="preserve">an </w:t>
      </w:r>
      <w:r w:rsidR="0044124B">
        <w:t xml:space="preserve">action plan. </w:t>
      </w:r>
    </w:p>
    <w:p w14:paraId="0B861CEA" w14:textId="45374F14" w:rsidR="00FE3B2B" w:rsidRDefault="00FE3B2B" w:rsidP="002A6F9B">
      <w:r>
        <w:t>This document also includes a template to assist with developing an action plan and provides several sample approaches to action planning.</w:t>
      </w:r>
    </w:p>
    <w:p w14:paraId="0724FAF9" w14:textId="053CA804" w:rsidR="00F143CB" w:rsidRPr="00CA35E1" w:rsidRDefault="00FE3B2B" w:rsidP="002A6F9B">
      <w:r>
        <w:t>These resources</w:t>
      </w:r>
      <w:r w:rsidR="00F143CB">
        <w:t xml:space="preserve"> </w:t>
      </w:r>
      <w:r w:rsidR="00AC5958">
        <w:t>serve</w:t>
      </w:r>
      <w:r w:rsidR="00F143CB">
        <w:t xml:space="preserve"> as a guide only. </w:t>
      </w:r>
      <w:r w:rsidR="0091589D">
        <w:t>The Australian Centre for Evaluation (</w:t>
      </w:r>
      <w:r w:rsidR="00F143CB">
        <w:t>ACE</w:t>
      </w:r>
      <w:r w:rsidR="0091589D">
        <w:t>)</w:t>
      </w:r>
      <w:r w:rsidR="00F143CB">
        <w:t xml:space="preserve"> acknowledges each agency has a different context and recommends agencies adopt the approach that works best for you.</w:t>
      </w:r>
    </w:p>
    <w:p w14:paraId="2E1597E7" w14:textId="29693743" w:rsidR="004449FB" w:rsidRPr="004449FB" w:rsidRDefault="004449FB" w:rsidP="004F3210">
      <w:pPr>
        <w:pStyle w:val="Heading1"/>
      </w:pPr>
      <w:r>
        <w:t xml:space="preserve">How to use the Action </w:t>
      </w:r>
      <w:r w:rsidR="00D5222D">
        <w:t>B</w:t>
      </w:r>
      <w:r>
        <w:t>ank</w:t>
      </w:r>
    </w:p>
    <w:p w14:paraId="566F4D9C" w14:textId="1AC97C6D" w:rsidR="001D28F3" w:rsidRDefault="00E16076" w:rsidP="005F119A">
      <w:r>
        <w:t>The Action Bank is</w:t>
      </w:r>
      <w:r w:rsidR="005F119A">
        <w:t xml:space="preserve"> organised by domain</w:t>
      </w:r>
      <w:r>
        <w:t>s</w:t>
      </w:r>
      <w:r w:rsidR="005F119A">
        <w:t xml:space="preserve"> and dimension</w:t>
      </w:r>
      <w:r>
        <w:t>s</w:t>
      </w:r>
      <w:r w:rsidR="005F119A">
        <w:t xml:space="preserve">, </w:t>
      </w:r>
      <w:r>
        <w:t>providing examples</w:t>
      </w:r>
      <w:r w:rsidR="00C768CE">
        <w:t xml:space="preserve"> of how teams can strengthen</w:t>
      </w:r>
      <w:r w:rsidR="00AE6531">
        <w:t xml:space="preserve"> </w:t>
      </w:r>
      <w:r w:rsidR="0099516F">
        <w:t xml:space="preserve">evaluation </w:t>
      </w:r>
      <w:r w:rsidR="00C768CE">
        <w:t xml:space="preserve">maturity within specific areas. It is </w:t>
      </w:r>
      <w:r w:rsidR="008028CC">
        <w:t>split between</w:t>
      </w:r>
      <w:r w:rsidR="00C768CE">
        <w:t xml:space="preserve"> st</w:t>
      </w:r>
      <w:r w:rsidR="00BA47C0">
        <w:t xml:space="preserve">rategic and operational </w:t>
      </w:r>
      <w:proofErr w:type="gramStart"/>
      <w:r w:rsidR="00BA47C0">
        <w:t>actions</w:t>
      </w:r>
      <w:r w:rsidR="00E81159">
        <w:t>,</w:t>
      </w:r>
      <w:r w:rsidR="00164951">
        <w:t xml:space="preserve"> and</w:t>
      </w:r>
      <w:proofErr w:type="gramEnd"/>
      <w:r w:rsidR="00164951">
        <w:t xml:space="preserve"> </w:t>
      </w:r>
      <w:r w:rsidR="008028CC">
        <w:t>encourag</w:t>
      </w:r>
      <w:r w:rsidR="00164951">
        <w:t>es</w:t>
      </w:r>
      <w:r w:rsidR="00BA47C0">
        <w:t xml:space="preserve"> teams to consider </w:t>
      </w:r>
      <w:r w:rsidR="00164951">
        <w:t>actions</w:t>
      </w:r>
      <w:r w:rsidR="00BA47C0">
        <w:t xml:space="preserve"> to </w:t>
      </w:r>
      <w:r w:rsidR="000D2FA3">
        <w:t>influence culture change with senior leaders</w:t>
      </w:r>
      <w:r w:rsidR="00227DB1">
        <w:t>,</w:t>
      </w:r>
      <w:r w:rsidR="000D2FA3">
        <w:t xml:space="preserve"> </w:t>
      </w:r>
      <w:r w:rsidR="005D021D">
        <w:t>and</w:t>
      </w:r>
      <w:r w:rsidR="00227DB1">
        <w:t xml:space="preserve"> with</w:t>
      </w:r>
      <w:r w:rsidR="005D021D">
        <w:t xml:space="preserve"> </w:t>
      </w:r>
      <w:r w:rsidR="000D2FA3">
        <w:t xml:space="preserve">operational staff. </w:t>
      </w:r>
    </w:p>
    <w:p w14:paraId="21DDB5E6" w14:textId="033A7667" w:rsidR="00E32517" w:rsidRDefault="00E31D18" w:rsidP="005F119A">
      <w:r w:rsidRPr="00E31D18">
        <w:rPr>
          <w:b/>
          <w:bCs/>
        </w:rPr>
        <w:t>Strategic actions</w:t>
      </w:r>
      <w:r w:rsidRPr="00E31D18">
        <w:t xml:space="preserve"> are long</w:t>
      </w:r>
      <w:r w:rsidR="00A42575">
        <w:noBreakHyphen/>
      </w:r>
      <w:r w:rsidRPr="00E31D18">
        <w:t>term, high</w:t>
      </w:r>
      <w:r w:rsidR="00A42575">
        <w:noBreakHyphen/>
      </w:r>
      <w:r w:rsidRPr="00E31D18">
        <w:t xml:space="preserve">level initiatives that align with an </w:t>
      </w:r>
      <w:r>
        <w:t>ag</w:t>
      </w:r>
      <w:r w:rsidR="006A5567">
        <w:t>ency</w:t>
      </w:r>
      <w:r w:rsidR="00A42575">
        <w:t>’</w:t>
      </w:r>
      <w:r w:rsidR="006A5567">
        <w:t xml:space="preserve">s overall priorities </w:t>
      </w:r>
      <w:r w:rsidR="006A5567" w:rsidRPr="00E31D18">
        <w:t>and</w:t>
      </w:r>
      <w:r w:rsidRPr="00E31D18">
        <w:t xml:space="preserve"> vision. They focus on achieving overarching goals</w:t>
      </w:r>
      <w:r w:rsidR="006A5567">
        <w:t xml:space="preserve"> </w:t>
      </w:r>
      <w:r w:rsidRPr="00E31D18">
        <w:t xml:space="preserve">and shaping the future direction of the </w:t>
      </w:r>
      <w:r w:rsidR="006A5567">
        <w:t>agency</w:t>
      </w:r>
      <w:r w:rsidRPr="00E31D18">
        <w:t>.</w:t>
      </w:r>
      <w:r>
        <w:t xml:space="preserve"> </w:t>
      </w:r>
      <w:r w:rsidRPr="00E31D18">
        <w:rPr>
          <w:b/>
          <w:bCs/>
        </w:rPr>
        <w:t>Operational actions</w:t>
      </w:r>
      <w:r>
        <w:t xml:space="preserve"> </w:t>
      </w:r>
      <w:r w:rsidRPr="00E31D18">
        <w:t xml:space="preserve">are </w:t>
      </w:r>
      <w:r w:rsidR="006A5567">
        <w:t>shorter term</w:t>
      </w:r>
      <w:r w:rsidRPr="00E31D18">
        <w:t xml:space="preserve"> activities that support the implementation of</w:t>
      </w:r>
      <w:r w:rsidR="00355855">
        <w:t xml:space="preserve"> an agency</w:t>
      </w:r>
      <w:r w:rsidR="00A42575">
        <w:t>’</w:t>
      </w:r>
      <w:r w:rsidR="00355855">
        <w:t xml:space="preserve">s strategy </w:t>
      </w:r>
      <w:r w:rsidR="001369FC">
        <w:t>priorities in practice.</w:t>
      </w:r>
      <w:r>
        <w:t xml:space="preserve"> </w:t>
      </w:r>
      <w:r w:rsidRPr="00E31D18">
        <w:t>Strategic actions set the direction</w:t>
      </w:r>
      <w:r w:rsidR="004450E2">
        <w:t>, whereas</w:t>
      </w:r>
      <w:r w:rsidRPr="00E31D18">
        <w:t xml:space="preserve"> operational actions execute the plan.</w:t>
      </w:r>
    </w:p>
    <w:p w14:paraId="13E26854" w14:textId="1F90B82F" w:rsidR="000A6F9B" w:rsidRDefault="005065E9" w:rsidP="005065E9">
      <w:r>
        <w:t xml:space="preserve">To develop an action plan, draw on the maturity assessment results from the online assessment tool and align actions to strategic and corporate plans. For further information on developing an Action Plan, please refer to the User Guide. </w:t>
      </w:r>
    </w:p>
    <w:p w14:paraId="079C765C" w14:textId="5BA957B0" w:rsidR="005065E9" w:rsidRPr="00ED63CD" w:rsidRDefault="00AC5958" w:rsidP="005065E9">
      <w:r w:rsidRPr="00BC6F01">
        <w:rPr>
          <w:b/>
          <w:bCs/>
        </w:rPr>
        <w:t xml:space="preserve">Appendix </w:t>
      </w:r>
      <w:r w:rsidR="00E85171">
        <w:rPr>
          <w:b/>
          <w:bCs/>
        </w:rPr>
        <w:t>A</w:t>
      </w:r>
      <w:r>
        <w:t xml:space="preserve"> is </w:t>
      </w:r>
      <w:r w:rsidR="009147C0">
        <w:t>a template to assist agencies</w:t>
      </w:r>
      <w:r w:rsidR="00A42575">
        <w:t>’</w:t>
      </w:r>
      <w:r w:rsidR="00493E29">
        <w:t xml:space="preserve"> evaluation units or coordination teams</w:t>
      </w:r>
      <w:r w:rsidR="009147C0">
        <w:t xml:space="preserve"> with</w:t>
      </w:r>
      <w:r w:rsidR="005065E9">
        <w:t xml:space="preserve"> </w:t>
      </w:r>
      <w:r w:rsidR="009147C0">
        <w:t xml:space="preserve">selecting priority actions and </w:t>
      </w:r>
      <w:r w:rsidR="005065E9">
        <w:t>develop</w:t>
      </w:r>
      <w:r w:rsidR="009147C0">
        <w:t>ing</w:t>
      </w:r>
      <w:r w:rsidR="005065E9">
        <w:t xml:space="preserve"> an action plan</w:t>
      </w:r>
      <w:r w:rsidR="00236BC6">
        <w:t xml:space="preserve"> in a structured format.</w:t>
      </w:r>
    </w:p>
    <w:p w14:paraId="1C908622" w14:textId="30642FBA" w:rsidR="009568C7" w:rsidRDefault="009147C0" w:rsidP="00337D54">
      <w:r>
        <w:rPr>
          <w:b/>
          <w:bCs/>
        </w:rPr>
        <w:t xml:space="preserve">Appendix </w:t>
      </w:r>
      <w:r w:rsidR="00E85171">
        <w:rPr>
          <w:b/>
          <w:bCs/>
        </w:rPr>
        <w:t>B</w:t>
      </w:r>
      <w:r>
        <w:t xml:space="preserve"> provides </w:t>
      </w:r>
      <w:r w:rsidR="00922B5F">
        <w:t>several sample approaches to action planning. These sample approaches are based on the Maturity Model pilot</w:t>
      </w:r>
      <w:r w:rsidR="00E13A5A">
        <w:t xml:space="preserve"> undertaking by </w:t>
      </w:r>
      <w:r w:rsidR="006B6072">
        <w:t>selected agencies from February to June</w:t>
      </w:r>
      <w:r w:rsidR="00583183">
        <w:t> </w:t>
      </w:r>
      <w:r w:rsidR="006B6072">
        <w:t xml:space="preserve">2025. </w:t>
      </w:r>
      <w:r>
        <w:t xml:space="preserve">These approaches demonstrate how action planning can be undertaken in different ways depending </w:t>
      </w:r>
      <w:r w:rsidR="006B6072">
        <w:t xml:space="preserve">on </w:t>
      </w:r>
      <w:r w:rsidR="0099516F">
        <w:t xml:space="preserve">the </w:t>
      </w:r>
      <w:r w:rsidR="006B6072">
        <w:t>agency</w:t>
      </w:r>
      <w:r w:rsidR="00A42575">
        <w:t>’</w:t>
      </w:r>
      <w:r w:rsidR="006B6072">
        <w:t>s size, resourcing and context</w:t>
      </w:r>
      <w:r w:rsidR="005D0738">
        <w:t>.</w:t>
      </w:r>
    </w:p>
    <w:p w14:paraId="428DDC65" w14:textId="415F2648" w:rsidR="009568C7" w:rsidRPr="00337D54" w:rsidRDefault="009568C7" w:rsidP="00337D54">
      <w:pPr>
        <w:sectPr w:rsidR="009568C7" w:rsidRPr="00337D54" w:rsidSect="009C5436">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567" w:footer="425" w:gutter="0"/>
          <w:cols w:space="340"/>
          <w:titlePg/>
          <w:docGrid w:linePitch="360"/>
        </w:sectPr>
      </w:pPr>
    </w:p>
    <w:p w14:paraId="3B1BB7E1" w14:textId="61C2E841" w:rsidR="00757A35" w:rsidRDefault="009F5996" w:rsidP="009F5996">
      <w:pPr>
        <w:pStyle w:val="Heading2"/>
      </w:pPr>
      <w:r>
        <w:lastRenderedPageBreak/>
        <w:t>Domain</w:t>
      </w:r>
      <w:r w:rsidR="00426524">
        <w:t xml:space="preserve"> </w:t>
      </w:r>
      <w:r w:rsidR="00E37447">
        <w:t>1</w:t>
      </w:r>
      <w:r>
        <w:t xml:space="preserve">: </w:t>
      </w:r>
      <w:r w:rsidR="00757A35">
        <w:t>Evaluation leadership and culture</w:t>
      </w:r>
      <w:bookmarkEnd w:id="0"/>
      <w:bookmarkEnd w:id="1"/>
      <w:bookmarkEnd w:id="2"/>
      <w:bookmarkEnd w:id="3"/>
    </w:p>
    <w:tbl>
      <w:tblPr>
        <w:tblStyle w:val="GridTable1Light-Accent2"/>
        <w:tblW w:w="4999" w:type="pct"/>
        <w:tblLook w:val="04A0" w:firstRow="1" w:lastRow="0" w:firstColumn="1" w:lastColumn="0" w:noHBand="0" w:noVBand="1"/>
      </w:tblPr>
      <w:tblGrid>
        <w:gridCol w:w="2716"/>
        <w:gridCol w:w="10709"/>
      </w:tblGrid>
      <w:tr w:rsidR="001115D6" w:rsidRPr="00583183" w14:paraId="197EDEF5" w14:textId="77777777" w:rsidTr="00FA79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6" w:type="dxa"/>
            <w:shd w:val="clear" w:color="auto" w:fill="EEEEEE" w:themeFill="background2"/>
          </w:tcPr>
          <w:p w14:paraId="1E162263" w14:textId="2AE8E34E" w:rsidR="001115D6" w:rsidRPr="00583183" w:rsidRDefault="001115D6" w:rsidP="000D06E9">
            <w:pPr>
              <w:pStyle w:val="Tableheading"/>
              <w:jc w:val="left"/>
              <w:rPr>
                <w:b/>
              </w:rPr>
            </w:pPr>
            <w:r w:rsidRPr="00583183">
              <w:rPr>
                <w:b/>
              </w:rPr>
              <w:t>Dimension</w:t>
            </w:r>
            <w:r>
              <w:rPr>
                <w:b/>
              </w:rPr>
              <w:t>s</w:t>
            </w:r>
          </w:p>
        </w:tc>
        <w:tc>
          <w:tcPr>
            <w:tcW w:w="10709" w:type="dxa"/>
            <w:shd w:val="clear" w:color="auto" w:fill="EEEEEE" w:themeFill="background2"/>
          </w:tcPr>
          <w:p w14:paraId="523200A9" w14:textId="77777777" w:rsidR="001115D6" w:rsidRPr="00583183" w:rsidRDefault="001115D6" w:rsidP="000D06E9">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583183">
              <w:rPr>
                <w:b/>
                <w:bCs w:val="0"/>
              </w:rPr>
              <w:t>Strategic actions</w:t>
            </w:r>
          </w:p>
        </w:tc>
      </w:tr>
      <w:tr w:rsidR="001115D6" w14:paraId="5579DA2F" w14:textId="77777777" w:rsidTr="00FA79F1">
        <w:trPr>
          <w:trHeight w:val="3222"/>
        </w:trPr>
        <w:tc>
          <w:tcPr>
            <w:cnfStyle w:val="001000000000" w:firstRow="0" w:lastRow="0" w:firstColumn="1" w:lastColumn="0" w:oddVBand="0" w:evenVBand="0" w:oddHBand="0" w:evenHBand="0" w:firstRowFirstColumn="0" w:firstRowLastColumn="0" w:lastRowFirstColumn="0" w:lastRowLastColumn="0"/>
            <w:tcW w:w="2716" w:type="dxa"/>
          </w:tcPr>
          <w:p w14:paraId="68C9A08E" w14:textId="77777777" w:rsidR="00B00C14" w:rsidRDefault="00B00C14" w:rsidP="000D06E9">
            <w:pPr>
              <w:pStyle w:val="TableText"/>
              <w:spacing w:before="120"/>
              <w:rPr>
                <w:b w:val="0"/>
                <w:bCs w:val="0"/>
              </w:rPr>
            </w:pPr>
            <w:r>
              <w:t>Senior leadership engagement</w:t>
            </w:r>
          </w:p>
          <w:p w14:paraId="2FF9B3CE" w14:textId="77777777" w:rsidR="00B00C14" w:rsidRDefault="00B00C14" w:rsidP="000D06E9">
            <w:pPr>
              <w:pStyle w:val="TableText"/>
              <w:spacing w:before="120"/>
              <w:rPr>
                <w:b w:val="0"/>
                <w:bCs w:val="0"/>
              </w:rPr>
            </w:pPr>
            <w:r>
              <w:t>Strategy and governance</w:t>
            </w:r>
          </w:p>
          <w:p w14:paraId="333C23E3" w14:textId="70E5673F" w:rsidR="00B00C14" w:rsidRPr="00B00C14" w:rsidRDefault="00B00C14" w:rsidP="000D06E9">
            <w:pPr>
              <w:pStyle w:val="TableText"/>
              <w:spacing w:before="120"/>
              <w:rPr>
                <w:b w:val="0"/>
                <w:bCs w:val="0"/>
              </w:rPr>
            </w:pPr>
            <w:r>
              <w:t>Integrated planning</w:t>
            </w:r>
          </w:p>
        </w:tc>
        <w:tc>
          <w:tcPr>
            <w:tcW w:w="10709" w:type="dxa"/>
          </w:tcPr>
          <w:p w14:paraId="25398EDD" w14:textId="77777777" w:rsidR="001115D6" w:rsidRPr="00854D4D" w:rsidRDefault="001115D6" w:rsidP="009407B7">
            <w:pPr>
              <w:pStyle w:val="TableBullet"/>
              <w:spacing w:before="120"/>
              <w:cnfStyle w:val="000000000000" w:firstRow="0" w:lastRow="0" w:firstColumn="0" w:lastColumn="0" w:oddVBand="0" w:evenVBand="0" w:oddHBand="0" w:evenHBand="0" w:firstRowFirstColumn="0" w:firstRowLastColumn="0" w:lastRowFirstColumn="0" w:lastRowLastColumn="0"/>
            </w:pPr>
            <w:r w:rsidRPr="00854D4D">
              <w:t>Develop an agency</w:t>
            </w:r>
            <w:r w:rsidRPr="00854D4D">
              <w:noBreakHyphen/>
              <w:t>wide evaluation strategy and, where appropriate, align the strategy to agency</w:t>
            </w:r>
            <w:r w:rsidRPr="00854D4D">
              <w:noBreakHyphen/>
              <w:t>wide strategic goals/outcomes</w:t>
            </w:r>
          </w:p>
          <w:p w14:paraId="07C1B077" w14:textId="77777777" w:rsidR="00D05EDF" w:rsidRPr="00854D4D" w:rsidRDefault="001115D6" w:rsidP="00854D4D">
            <w:pPr>
              <w:pStyle w:val="TableBullet"/>
              <w:cnfStyle w:val="000000000000" w:firstRow="0" w:lastRow="0" w:firstColumn="0" w:lastColumn="0" w:oddVBand="0" w:evenVBand="0" w:oddHBand="0" w:evenHBand="0" w:firstRowFirstColumn="0" w:firstRowLastColumn="0" w:lastRowFirstColumn="0" w:lastRowLastColumn="0"/>
            </w:pPr>
            <w:r w:rsidRPr="00854D4D">
              <w:t>The Secretary or the head of the agency to send a message across the department/agency to set evaluation expectations</w:t>
            </w:r>
          </w:p>
          <w:p w14:paraId="72CFCA84" w14:textId="57FC5E7C" w:rsidR="001115D6" w:rsidRPr="00854D4D" w:rsidRDefault="001115D6" w:rsidP="00854D4D">
            <w:pPr>
              <w:pStyle w:val="TableBullet"/>
              <w:cnfStyle w:val="000000000000" w:firstRow="0" w:lastRow="0" w:firstColumn="0" w:lastColumn="0" w:oddVBand="0" w:evenVBand="0" w:oddHBand="0" w:evenHBand="0" w:firstRowFirstColumn="0" w:firstRowLastColumn="0" w:lastRowFirstColumn="0" w:lastRowLastColumn="0"/>
            </w:pPr>
            <w:r w:rsidRPr="00854D4D">
              <w:t>Senior executive leadership champion the whole</w:t>
            </w:r>
            <w:r w:rsidRPr="00854D4D">
              <w:noBreakHyphen/>
              <w:t>of</w:t>
            </w:r>
            <w:r w:rsidRPr="00854D4D">
              <w:noBreakHyphen/>
              <w:t>APS expectations for evaluation, including the Commonwealth Evaluation Policy, APS Value of Stewardship and Budget Process Operational Rules (BPORs)</w:t>
            </w:r>
          </w:p>
          <w:p w14:paraId="289924B0" w14:textId="77777777" w:rsidR="001115D6" w:rsidRPr="00854D4D" w:rsidRDefault="001115D6" w:rsidP="00854D4D">
            <w:pPr>
              <w:pStyle w:val="TableBullet"/>
              <w:cnfStyle w:val="000000000000" w:firstRow="0" w:lastRow="0" w:firstColumn="0" w:lastColumn="0" w:oddVBand="0" w:evenVBand="0" w:oddHBand="0" w:evenHBand="0" w:firstRowFirstColumn="0" w:firstRowLastColumn="0" w:lastRowFirstColumn="0" w:lastRowLastColumn="0"/>
            </w:pPr>
            <w:r w:rsidRPr="00854D4D">
              <w:t xml:space="preserve">Identify senior executive evaluation champions and develop their capability to promote and use evaluation </w:t>
            </w:r>
          </w:p>
          <w:p w14:paraId="16213BCC" w14:textId="77777777" w:rsidR="001115D6" w:rsidRPr="00854D4D" w:rsidRDefault="001115D6" w:rsidP="00854D4D">
            <w:pPr>
              <w:pStyle w:val="TableBullet"/>
              <w:cnfStyle w:val="000000000000" w:firstRow="0" w:lastRow="0" w:firstColumn="0" w:lastColumn="0" w:oddVBand="0" w:evenVBand="0" w:oddHBand="0" w:evenHBand="0" w:firstRowFirstColumn="0" w:firstRowLastColumn="0" w:lastRowFirstColumn="0" w:lastRowLastColumn="0"/>
            </w:pPr>
            <w:r w:rsidRPr="00854D4D">
              <w:t>Agree expectations for evaluation to be integrated into corporate and operational planning, program</w:t>
            </w:r>
            <w:r w:rsidRPr="00854D4D">
              <w:footnoteReference w:id="2"/>
            </w:r>
            <w:r w:rsidRPr="00854D4D">
              <w:t xml:space="preserve"> governance structures and risk management</w:t>
            </w:r>
          </w:p>
          <w:p w14:paraId="13FFBC02" w14:textId="77777777" w:rsidR="001115D6" w:rsidRPr="00854D4D" w:rsidRDefault="001115D6" w:rsidP="00854D4D">
            <w:pPr>
              <w:pStyle w:val="TableBullet"/>
              <w:cnfStyle w:val="000000000000" w:firstRow="0" w:lastRow="0" w:firstColumn="0" w:lastColumn="0" w:oddVBand="0" w:evenVBand="0" w:oddHBand="0" w:evenHBand="0" w:firstRowFirstColumn="0" w:firstRowLastColumn="0" w:lastRowFirstColumn="0" w:lastRowLastColumn="0"/>
            </w:pPr>
            <w:r w:rsidRPr="00854D4D">
              <w:t>Establish requirements for robust problem and needs analysis and the development and testing of program logic for new programs or policies</w:t>
            </w:r>
          </w:p>
        </w:tc>
      </w:tr>
    </w:tbl>
    <w:p w14:paraId="104A85DF" w14:textId="77777777" w:rsidR="005B7087" w:rsidRPr="005B7087" w:rsidRDefault="005B7087" w:rsidP="005B7087"/>
    <w:tbl>
      <w:tblPr>
        <w:tblStyle w:val="GridTable1Light-Accent2"/>
        <w:tblW w:w="4999" w:type="pct"/>
        <w:tblLook w:val="04A0" w:firstRow="1" w:lastRow="0" w:firstColumn="1" w:lastColumn="0" w:noHBand="0" w:noVBand="1"/>
      </w:tblPr>
      <w:tblGrid>
        <w:gridCol w:w="2716"/>
        <w:gridCol w:w="10709"/>
      </w:tblGrid>
      <w:tr w:rsidR="00ED5D85" w14:paraId="22FA5205" w14:textId="77777777" w:rsidTr="00FA79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6" w:type="dxa"/>
            <w:shd w:val="clear" w:color="auto" w:fill="EEEEEE" w:themeFill="background2"/>
          </w:tcPr>
          <w:p w14:paraId="66962609" w14:textId="77777777" w:rsidR="00ED5D85" w:rsidRPr="00583183" w:rsidRDefault="00ED5D85" w:rsidP="00583183">
            <w:pPr>
              <w:pStyle w:val="Tableheading"/>
              <w:jc w:val="left"/>
              <w:rPr>
                <w:b/>
              </w:rPr>
            </w:pPr>
            <w:r w:rsidRPr="00583183">
              <w:rPr>
                <w:b/>
              </w:rPr>
              <w:lastRenderedPageBreak/>
              <w:t>Dimension</w:t>
            </w:r>
          </w:p>
        </w:tc>
        <w:tc>
          <w:tcPr>
            <w:tcW w:w="10709" w:type="dxa"/>
            <w:shd w:val="clear" w:color="auto" w:fill="EEEEEE" w:themeFill="background2"/>
          </w:tcPr>
          <w:p w14:paraId="4BC01534" w14:textId="529E041B" w:rsidR="00ED5D85" w:rsidRPr="00583183" w:rsidRDefault="00ED5D85" w:rsidP="00583183">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583183">
              <w:rPr>
                <w:b/>
                <w:bCs w:val="0"/>
              </w:rPr>
              <w:t>Operational actions</w:t>
            </w:r>
          </w:p>
        </w:tc>
      </w:tr>
      <w:tr w:rsidR="00ED5D85" w14:paraId="3CA251C1" w14:textId="77777777" w:rsidTr="00FA79F1">
        <w:trPr>
          <w:trHeight w:val="3222"/>
        </w:trPr>
        <w:tc>
          <w:tcPr>
            <w:cnfStyle w:val="001000000000" w:firstRow="0" w:lastRow="0" w:firstColumn="1" w:lastColumn="0" w:oddVBand="0" w:evenVBand="0" w:oddHBand="0" w:evenHBand="0" w:firstRowFirstColumn="0" w:firstRowLastColumn="0" w:lastRowFirstColumn="0" w:lastRowLastColumn="0"/>
            <w:tcW w:w="2716" w:type="dxa"/>
          </w:tcPr>
          <w:p w14:paraId="78295365" w14:textId="77777777" w:rsidR="00ED5D85" w:rsidRPr="009F5996" w:rsidRDefault="00ED5D85" w:rsidP="00CB6FF1">
            <w:pPr>
              <w:pStyle w:val="TableText"/>
              <w:spacing w:before="120"/>
              <w:rPr>
                <w:bCs w:val="0"/>
              </w:rPr>
            </w:pPr>
            <w:r w:rsidRPr="00C302DE">
              <w:t>Senior leadership engagement</w:t>
            </w:r>
          </w:p>
        </w:tc>
        <w:tc>
          <w:tcPr>
            <w:tcW w:w="10709" w:type="dxa"/>
          </w:tcPr>
          <w:p w14:paraId="76CF0D31" w14:textId="6BD008CE" w:rsidR="00ED5D85" w:rsidRPr="00854D4D" w:rsidRDefault="00ED5D85" w:rsidP="009407B7">
            <w:pPr>
              <w:pStyle w:val="TableBullet"/>
              <w:spacing w:before="120"/>
              <w:cnfStyle w:val="000000000000" w:firstRow="0" w:lastRow="0" w:firstColumn="0" w:lastColumn="0" w:oddVBand="0" w:evenVBand="0" w:oddHBand="0" w:evenHBand="0" w:firstRowFirstColumn="0" w:firstRowLastColumn="0" w:lastRowFirstColumn="0" w:lastRowLastColumn="0"/>
            </w:pPr>
            <w:r w:rsidRPr="00854D4D">
              <w:t>Integrate evaluative thinking and reflective practice into the way corporate and operational planning, program design, implementation and delivery is managed</w:t>
            </w:r>
          </w:p>
          <w:p w14:paraId="3F8A20AE" w14:textId="0732531B"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Communicate the Commonwealth Evaluation Policy, the APS Value of ‘Stewardship’ and Budget Process Operational Rules (BPORs) to motivate leadership use of evidence and evaluation</w:t>
            </w:r>
          </w:p>
          <w:p w14:paraId="66E2E23C" w14:textId="77777777"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Include evaluation in senior leadership strategy updates, identifying key evaluation outcomes and internal capability uplift</w:t>
            </w:r>
          </w:p>
          <w:p w14:paraId="45F2581F" w14:textId="77777777"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Document and share the journey to staff, to include what worked well, what was learned and how it influenced decisions</w:t>
            </w:r>
          </w:p>
          <w:p w14:paraId="658F1194" w14:textId="53E70CF5"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Engage evaluation champions to promote to executive levels and to teams the value and use of evaluation</w:t>
            </w:r>
          </w:p>
        </w:tc>
      </w:tr>
      <w:tr w:rsidR="00ED5D85" w14:paraId="5F32E0C7" w14:textId="77777777" w:rsidTr="00FA79F1">
        <w:tc>
          <w:tcPr>
            <w:cnfStyle w:val="001000000000" w:firstRow="0" w:lastRow="0" w:firstColumn="1" w:lastColumn="0" w:oddVBand="0" w:evenVBand="0" w:oddHBand="0" w:evenHBand="0" w:firstRowFirstColumn="0" w:firstRowLastColumn="0" w:lastRowFirstColumn="0" w:lastRowLastColumn="0"/>
            <w:tcW w:w="2716" w:type="dxa"/>
          </w:tcPr>
          <w:p w14:paraId="3A271DAC" w14:textId="457D6A4F" w:rsidR="00ED5D85" w:rsidRPr="004D567D" w:rsidRDefault="00ED5D85" w:rsidP="0048307A">
            <w:pPr>
              <w:pStyle w:val="TableText"/>
              <w:keepNext/>
              <w:keepLines/>
              <w:spacing w:before="120"/>
              <w:rPr>
                <w:b w:val="0"/>
                <w:bCs w:val="0"/>
              </w:rPr>
            </w:pPr>
            <w:r>
              <w:t>Strategy and governance</w:t>
            </w:r>
          </w:p>
        </w:tc>
        <w:tc>
          <w:tcPr>
            <w:tcW w:w="10709" w:type="dxa"/>
          </w:tcPr>
          <w:p w14:paraId="58BE884F" w14:textId="68CBA8E8" w:rsidR="00ED5D85" w:rsidRPr="00854D4D" w:rsidRDefault="00ED5D85" w:rsidP="009407B7">
            <w:pPr>
              <w:pStyle w:val="TableBullet"/>
              <w:spacing w:before="120"/>
              <w:cnfStyle w:val="000000000000" w:firstRow="0" w:lastRow="0" w:firstColumn="0" w:lastColumn="0" w:oddVBand="0" w:evenVBand="0" w:oddHBand="0" w:evenHBand="0" w:firstRowFirstColumn="0" w:firstRowLastColumn="0" w:lastRowFirstColumn="0" w:lastRowLastColumn="0"/>
            </w:pPr>
            <w:r w:rsidRPr="00854D4D">
              <w:t xml:space="preserve">Develop a forward work plan to implement the evaluation strategy, and report progress to the executive </w:t>
            </w:r>
          </w:p>
          <w:p w14:paraId="5AF436E6" w14:textId="0CE6479B"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Include evaluation as a standing item on a relevant agency</w:t>
            </w:r>
            <w:r w:rsidRPr="00854D4D">
              <w:noBreakHyphen/>
              <w:t>wide governance forum</w:t>
            </w:r>
          </w:p>
          <w:p w14:paraId="4266FF27" w14:textId="6E48D05F"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Embed evaluation into policy design and program management processes, to ensure evaluation becomes part of business</w:t>
            </w:r>
            <w:r w:rsidRPr="00854D4D">
              <w:noBreakHyphen/>
              <w:t>as</w:t>
            </w:r>
            <w:r w:rsidRPr="00854D4D">
              <w:noBreakHyphen/>
              <w:t xml:space="preserve">usual </w:t>
            </w:r>
          </w:p>
          <w:p w14:paraId="61283980" w14:textId="0537F6AF"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Convene a high</w:t>
            </w:r>
            <w:r w:rsidRPr="00854D4D">
              <w:noBreakHyphen/>
              <w:t>level board to oversee major evaluations and ensure alignment with agency priorities.</w:t>
            </w:r>
          </w:p>
        </w:tc>
      </w:tr>
      <w:tr w:rsidR="00ED5D85" w14:paraId="7E50A2B9" w14:textId="77777777" w:rsidTr="00FA79F1">
        <w:tc>
          <w:tcPr>
            <w:cnfStyle w:val="001000000000" w:firstRow="0" w:lastRow="0" w:firstColumn="1" w:lastColumn="0" w:oddVBand="0" w:evenVBand="0" w:oddHBand="0" w:evenHBand="0" w:firstRowFirstColumn="0" w:firstRowLastColumn="0" w:lastRowFirstColumn="0" w:lastRowLastColumn="0"/>
            <w:tcW w:w="2716" w:type="dxa"/>
          </w:tcPr>
          <w:p w14:paraId="4F74C14B" w14:textId="014EF487" w:rsidR="00ED5D85" w:rsidRDefault="00ED5D85" w:rsidP="003A78DF">
            <w:pPr>
              <w:pStyle w:val="TableText"/>
            </w:pPr>
            <w:r>
              <w:t>Integrated planning</w:t>
            </w:r>
          </w:p>
        </w:tc>
        <w:tc>
          <w:tcPr>
            <w:tcW w:w="10709" w:type="dxa"/>
          </w:tcPr>
          <w:p w14:paraId="7ACD63F5" w14:textId="3C1D2DA7" w:rsidR="00ED5D85" w:rsidRPr="00854D4D" w:rsidRDefault="00ED5D85" w:rsidP="009407B7">
            <w:pPr>
              <w:pStyle w:val="TableBullet"/>
              <w:spacing w:before="120"/>
              <w:cnfStyle w:val="000000000000" w:firstRow="0" w:lastRow="0" w:firstColumn="0" w:lastColumn="0" w:oddVBand="0" w:evenVBand="0" w:oddHBand="0" w:evenHBand="0" w:firstRowFirstColumn="0" w:firstRowLastColumn="0" w:lastRowFirstColumn="0" w:lastRowLastColumn="0"/>
            </w:pPr>
            <w:r w:rsidRPr="00854D4D">
              <w:t>Establish a formal process to integrate evaluation into corporate planning processes</w:t>
            </w:r>
          </w:p>
          <w:p w14:paraId="75C75666" w14:textId="77777777"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Include evaluation activity and results in agency annual reports</w:t>
            </w:r>
          </w:p>
          <w:p w14:paraId="5AB4E9C2" w14:textId="77777777"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 xml:space="preserve">Use monitoring data and evaluation findings to manage program risks and support performance improvement </w:t>
            </w:r>
          </w:p>
          <w:p w14:paraId="3DD1C079" w14:textId="0E512995"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Integrate evaluation into risk management systems and processes</w:t>
            </w:r>
          </w:p>
          <w:p w14:paraId="1BFE1AA3" w14:textId="78C387D6" w:rsidR="00ED5D85" w:rsidRPr="00854D4D" w:rsidRDefault="00ED5D85" w:rsidP="00854D4D">
            <w:pPr>
              <w:pStyle w:val="TableBullet"/>
              <w:cnfStyle w:val="000000000000" w:firstRow="0" w:lastRow="0" w:firstColumn="0" w:lastColumn="0" w:oddVBand="0" w:evenVBand="0" w:oddHBand="0" w:evenHBand="0" w:firstRowFirstColumn="0" w:firstRowLastColumn="0" w:lastRowFirstColumn="0" w:lastRowLastColumn="0"/>
            </w:pPr>
            <w:r w:rsidRPr="00854D4D">
              <w:t>Align all program outcomes to agency corporate reporting</w:t>
            </w:r>
          </w:p>
        </w:tc>
      </w:tr>
    </w:tbl>
    <w:p w14:paraId="1C1C396D" w14:textId="77777777" w:rsidR="003A78DF" w:rsidRPr="003A78DF" w:rsidRDefault="003A78DF" w:rsidP="003A78DF">
      <w:bookmarkStart w:id="4" w:name="_Toc201065025"/>
      <w:bookmarkStart w:id="5" w:name="_Toc201073531"/>
      <w:bookmarkStart w:id="6" w:name="_Toc201073873"/>
      <w:bookmarkStart w:id="7" w:name="_Toc201074250"/>
      <w:r>
        <w:br w:type="page"/>
      </w:r>
    </w:p>
    <w:p w14:paraId="08B76EA7" w14:textId="7D9D719B" w:rsidR="00426524" w:rsidRDefault="00426524" w:rsidP="00CD7006">
      <w:pPr>
        <w:pStyle w:val="Heading2"/>
      </w:pPr>
      <w:r>
        <w:lastRenderedPageBreak/>
        <w:t xml:space="preserve">Domain </w:t>
      </w:r>
      <w:r w:rsidR="00E37447">
        <w:t>2</w:t>
      </w:r>
      <w:r>
        <w:t xml:space="preserve">: </w:t>
      </w:r>
      <w:r w:rsidR="00950AC8">
        <w:t>Evaluation c</w:t>
      </w:r>
      <w:r w:rsidR="00757A35">
        <w:t>apability</w:t>
      </w:r>
      <w:bookmarkEnd w:id="4"/>
      <w:bookmarkEnd w:id="5"/>
      <w:bookmarkEnd w:id="6"/>
      <w:bookmarkEnd w:id="7"/>
      <w:r w:rsidR="00757A35">
        <w:t xml:space="preserve"> </w:t>
      </w:r>
    </w:p>
    <w:tbl>
      <w:tblPr>
        <w:tblStyle w:val="GridTable1Light-Accent2"/>
        <w:tblW w:w="4999" w:type="pct"/>
        <w:tblLook w:val="04A0" w:firstRow="1" w:lastRow="0" w:firstColumn="1" w:lastColumn="0" w:noHBand="0" w:noVBand="1"/>
      </w:tblPr>
      <w:tblGrid>
        <w:gridCol w:w="2716"/>
        <w:gridCol w:w="10709"/>
      </w:tblGrid>
      <w:tr w:rsidR="00AA1384" w:rsidRPr="00583183" w14:paraId="2FE6DAB7" w14:textId="77777777" w:rsidTr="00FA79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6" w:type="dxa"/>
            <w:shd w:val="clear" w:color="auto" w:fill="EEEEEE" w:themeFill="background2"/>
          </w:tcPr>
          <w:p w14:paraId="77DBAD6E" w14:textId="77777777" w:rsidR="00AA1384" w:rsidRPr="00583183" w:rsidRDefault="00AA1384" w:rsidP="000D06E9">
            <w:pPr>
              <w:pStyle w:val="Tableheading"/>
              <w:jc w:val="left"/>
              <w:rPr>
                <w:b/>
              </w:rPr>
            </w:pPr>
            <w:r w:rsidRPr="00583183">
              <w:rPr>
                <w:b/>
              </w:rPr>
              <w:t>Dimension</w:t>
            </w:r>
            <w:r>
              <w:rPr>
                <w:b/>
              </w:rPr>
              <w:t>s</w:t>
            </w:r>
          </w:p>
        </w:tc>
        <w:tc>
          <w:tcPr>
            <w:tcW w:w="10709" w:type="dxa"/>
            <w:shd w:val="clear" w:color="auto" w:fill="EEEEEE" w:themeFill="background2"/>
          </w:tcPr>
          <w:p w14:paraId="41994488" w14:textId="77777777" w:rsidR="00AA1384" w:rsidRPr="00583183" w:rsidRDefault="00AA1384" w:rsidP="000D06E9">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583183">
              <w:rPr>
                <w:b/>
                <w:bCs w:val="0"/>
              </w:rPr>
              <w:t>Strategic actions</w:t>
            </w:r>
          </w:p>
        </w:tc>
      </w:tr>
      <w:tr w:rsidR="009141EF" w:rsidRPr="008E4A70" w14:paraId="5C3904F0" w14:textId="77777777" w:rsidTr="00FA79F1">
        <w:trPr>
          <w:trHeight w:val="3222"/>
        </w:trPr>
        <w:tc>
          <w:tcPr>
            <w:cnfStyle w:val="001000000000" w:firstRow="0" w:lastRow="0" w:firstColumn="1" w:lastColumn="0" w:oddVBand="0" w:evenVBand="0" w:oddHBand="0" w:evenHBand="0" w:firstRowFirstColumn="0" w:firstRowLastColumn="0" w:lastRowFirstColumn="0" w:lastRowLastColumn="0"/>
            <w:tcW w:w="2716" w:type="dxa"/>
          </w:tcPr>
          <w:p w14:paraId="6C034E9B" w14:textId="77777777" w:rsidR="009141EF" w:rsidRDefault="009141EF" w:rsidP="009141EF">
            <w:pPr>
              <w:pStyle w:val="TableText"/>
              <w:spacing w:before="120"/>
              <w:rPr>
                <w:b w:val="0"/>
                <w:bCs w:val="0"/>
              </w:rPr>
            </w:pPr>
            <w:r>
              <w:t>Organisational capacity</w:t>
            </w:r>
          </w:p>
          <w:p w14:paraId="2754C1D5" w14:textId="77777777" w:rsidR="009141EF" w:rsidRDefault="009141EF" w:rsidP="009141EF">
            <w:pPr>
              <w:pStyle w:val="TableText"/>
              <w:spacing w:before="120"/>
              <w:rPr>
                <w:b w:val="0"/>
                <w:bCs w:val="0"/>
              </w:rPr>
            </w:pPr>
            <w:r>
              <w:t>Data systems</w:t>
            </w:r>
          </w:p>
          <w:p w14:paraId="4DD84846" w14:textId="67D63485" w:rsidR="009141EF" w:rsidRPr="00B00C14" w:rsidRDefault="009141EF" w:rsidP="009141EF">
            <w:pPr>
              <w:pStyle w:val="TableText"/>
              <w:spacing w:before="120"/>
              <w:rPr>
                <w:b w:val="0"/>
                <w:bCs w:val="0"/>
              </w:rPr>
            </w:pPr>
            <w:r>
              <w:t>Ethics and cultural safety</w:t>
            </w:r>
          </w:p>
        </w:tc>
        <w:tc>
          <w:tcPr>
            <w:tcW w:w="10709" w:type="dxa"/>
          </w:tcPr>
          <w:p w14:paraId="7C91AC7E" w14:textId="77777777" w:rsidR="009141EF" w:rsidRPr="00854D4D" w:rsidRDefault="009141EF" w:rsidP="009407B7">
            <w:pPr>
              <w:pStyle w:val="TableBullet"/>
              <w:spacing w:before="120"/>
              <w:cnfStyle w:val="000000000000" w:firstRow="0" w:lastRow="0" w:firstColumn="0" w:lastColumn="0" w:oddVBand="0" w:evenVBand="0" w:oddHBand="0" w:evenHBand="0" w:firstRowFirstColumn="0" w:firstRowLastColumn="0" w:lastRowFirstColumn="0" w:lastRowLastColumn="0"/>
            </w:pPr>
            <w:r w:rsidRPr="00854D4D">
              <w:t>Dedicate resources to evaluation staff (such as an evaluation unit or champions) to build evaluation capability across the agency</w:t>
            </w:r>
          </w:p>
          <w:p w14:paraId="7B934698"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Embed evaluation skills into business</w:t>
            </w:r>
            <w:r w:rsidRPr="00854D4D">
              <w:noBreakHyphen/>
              <w:t>as</w:t>
            </w:r>
            <w:r w:rsidRPr="00854D4D">
              <w:noBreakHyphen/>
              <w:t>usual recruitment, including graduate recruitment</w:t>
            </w:r>
          </w:p>
          <w:p w14:paraId="5C0839EA"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Identify evaluation skills as a priority in organisational capability planning</w:t>
            </w:r>
          </w:p>
          <w:p w14:paraId="5B47759C" w14:textId="77777777" w:rsidR="00D05ED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Plan and allocate resources to build evaluation capability</w:t>
            </w:r>
          </w:p>
          <w:p w14:paraId="77CEEBFA" w14:textId="47B3E43B"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Allocate resources to ensure systems and technology are available to plan and conduct evaluation</w:t>
            </w:r>
          </w:p>
          <w:p w14:paraId="583FDCC4"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 xml:space="preserve">Include data and evaluation in the same area within an agency </w:t>
            </w:r>
          </w:p>
          <w:p w14:paraId="25052A4A"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 xml:space="preserve">Demonstrate a clear commitment to ethical and culturally safe evaluation practices </w:t>
            </w:r>
          </w:p>
          <w:p w14:paraId="7AE91E36" w14:textId="52341F9D"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Determine appropriate evaluation ethics review arrangements and accountabilities</w:t>
            </w:r>
          </w:p>
        </w:tc>
      </w:tr>
    </w:tbl>
    <w:p w14:paraId="490BC689" w14:textId="77777777" w:rsidR="00AA1384" w:rsidRDefault="00AA1384" w:rsidP="00AA1384"/>
    <w:tbl>
      <w:tblPr>
        <w:tblStyle w:val="GridTable1Light-Accent2"/>
        <w:tblW w:w="4999" w:type="pct"/>
        <w:tblLook w:val="04A0" w:firstRow="1" w:lastRow="0" w:firstColumn="1" w:lastColumn="0" w:noHBand="0" w:noVBand="1"/>
      </w:tblPr>
      <w:tblGrid>
        <w:gridCol w:w="2716"/>
        <w:gridCol w:w="10709"/>
      </w:tblGrid>
      <w:tr w:rsidR="009141EF" w14:paraId="7A549B91" w14:textId="77777777" w:rsidTr="00B114A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16" w:type="dxa"/>
            <w:shd w:val="clear" w:color="auto" w:fill="EEEEEE" w:themeFill="background2"/>
          </w:tcPr>
          <w:p w14:paraId="180F7D35" w14:textId="77777777" w:rsidR="009141EF" w:rsidRPr="00230FA4" w:rsidRDefault="009141EF" w:rsidP="00FA6D7F">
            <w:pPr>
              <w:pStyle w:val="Tableheading"/>
              <w:jc w:val="left"/>
              <w:rPr>
                <w:b/>
              </w:rPr>
            </w:pPr>
            <w:r w:rsidRPr="00230FA4">
              <w:rPr>
                <w:b/>
              </w:rPr>
              <w:lastRenderedPageBreak/>
              <w:t>Dimension</w:t>
            </w:r>
          </w:p>
        </w:tc>
        <w:tc>
          <w:tcPr>
            <w:tcW w:w="10709" w:type="dxa"/>
            <w:shd w:val="clear" w:color="auto" w:fill="EEEEEE" w:themeFill="background2"/>
          </w:tcPr>
          <w:p w14:paraId="17A399EB" w14:textId="77777777" w:rsidR="009141EF" w:rsidRPr="00230FA4" w:rsidRDefault="009141EF" w:rsidP="00FA6D7F">
            <w:pPr>
              <w:pStyle w:val="Tableheading"/>
              <w:jc w:val="left"/>
              <w:cnfStyle w:val="100000000000" w:firstRow="1" w:lastRow="0" w:firstColumn="0" w:lastColumn="0" w:oddVBand="0" w:evenVBand="0" w:oddHBand="0" w:evenHBand="0" w:firstRowFirstColumn="0" w:firstRowLastColumn="0" w:lastRowFirstColumn="0" w:lastRowLastColumn="0"/>
              <w:rPr>
                <w:b/>
              </w:rPr>
            </w:pPr>
            <w:r>
              <w:rPr>
                <w:b/>
              </w:rPr>
              <w:t>Operational</w:t>
            </w:r>
            <w:r w:rsidRPr="00230FA4">
              <w:rPr>
                <w:b/>
              </w:rPr>
              <w:t xml:space="preserve"> </w:t>
            </w:r>
            <w:r>
              <w:rPr>
                <w:b/>
              </w:rPr>
              <w:t>actions</w:t>
            </w:r>
          </w:p>
        </w:tc>
      </w:tr>
      <w:tr w:rsidR="009141EF" w14:paraId="7CBFDC89" w14:textId="77777777" w:rsidTr="00B114A2">
        <w:trPr>
          <w:cantSplit/>
        </w:trPr>
        <w:tc>
          <w:tcPr>
            <w:cnfStyle w:val="001000000000" w:firstRow="0" w:lastRow="0" w:firstColumn="1" w:lastColumn="0" w:oddVBand="0" w:evenVBand="0" w:oddHBand="0" w:evenHBand="0" w:firstRowFirstColumn="0" w:firstRowLastColumn="0" w:lastRowFirstColumn="0" w:lastRowLastColumn="0"/>
            <w:tcW w:w="2716" w:type="dxa"/>
          </w:tcPr>
          <w:p w14:paraId="1AE109A8" w14:textId="4637CDA5" w:rsidR="00FA79F1" w:rsidRPr="001C7C1B" w:rsidRDefault="009141EF" w:rsidP="00FA6D7F">
            <w:pPr>
              <w:pStyle w:val="TableText"/>
              <w:rPr>
                <w:b w:val="0"/>
                <w:bCs w:val="0"/>
              </w:rPr>
            </w:pPr>
            <w:r>
              <w:t>Organisational capacity</w:t>
            </w:r>
          </w:p>
        </w:tc>
        <w:tc>
          <w:tcPr>
            <w:tcW w:w="10709" w:type="dxa"/>
            <w:tcBorders>
              <w:top w:val="single" w:sz="12" w:space="0" w:color="8CB59F" w:themeColor="accent2" w:themeTint="99"/>
              <w:bottom w:val="single" w:sz="4" w:space="0" w:color="8CB59F" w:themeColor="accent2" w:themeTint="99"/>
            </w:tcBorders>
          </w:tcPr>
          <w:p w14:paraId="10AA41FC" w14:textId="64660575" w:rsidR="009141EF" w:rsidRPr="00854D4D" w:rsidRDefault="009141EF" w:rsidP="009407B7">
            <w:pPr>
              <w:pStyle w:val="TableBullet"/>
              <w:spacing w:before="120"/>
              <w:cnfStyle w:val="000000000000" w:firstRow="0" w:lastRow="0" w:firstColumn="0" w:lastColumn="0" w:oddVBand="0" w:evenVBand="0" w:oddHBand="0" w:evenHBand="0" w:firstRowFirstColumn="0" w:firstRowLastColumn="0" w:lastRowFirstColumn="0" w:lastRowLastColumn="0"/>
            </w:pPr>
            <w:r w:rsidRPr="00854D4D">
              <w:t>Coordinate an evaluation community of practice to build capability and knowledge</w:t>
            </w:r>
          </w:p>
          <w:p w14:paraId="21BC73FC" w14:textId="29651845"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Develop evaluation guidance and tools that fit within the agency’s context including providing practical templates, checklists, and case studies to support staff in integrating evaluation into their work.</w:t>
            </w:r>
          </w:p>
          <w:p w14:paraId="1E654959"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Build foundational skills and knowledge in evaluation across all staff, including specific methods and terminology</w:t>
            </w:r>
          </w:p>
          <w:p w14:paraId="7B7AC15C" w14:textId="137381BD"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Develop short, accessible training on evaluation fundamentals tailored to different roles (</w:t>
            </w:r>
            <w:r w:rsidR="00B114A2" w:rsidRPr="00854D4D">
              <w:t>for example,</w:t>
            </w:r>
            <w:r w:rsidRPr="00854D4D">
              <w:t xml:space="preserve"> policy officers, program managers, analysts).</w:t>
            </w:r>
          </w:p>
          <w:p w14:paraId="31413761" w14:textId="47785B10"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Provide evaluation support and advice to program, policy and service areas</w:t>
            </w:r>
          </w:p>
          <w:p w14:paraId="0610B4B1"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Support staff/teams to join the Evaluation Profession</w:t>
            </w:r>
          </w:p>
          <w:p w14:paraId="0E320B74" w14:textId="61115DDD"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Support staff working in policy and program teams to undertake secondments in evaluation teams</w:t>
            </w:r>
          </w:p>
          <w:p w14:paraId="0390A8EE" w14:textId="7AF93821"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Integrate evaluation skills into staff performance agreements</w:t>
            </w:r>
          </w:p>
          <w:p w14:paraId="065A8DA9"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Establish an intranet page with relevant links, guidance and resources for all staff</w:t>
            </w:r>
          </w:p>
          <w:p w14:paraId="7227D268" w14:textId="1907E002"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Establish a baseline of evaluation literacy across the agency</w:t>
            </w:r>
          </w:p>
        </w:tc>
      </w:tr>
      <w:tr w:rsidR="009141EF" w14:paraId="130EB47E" w14:textId="77777777" w:rsidTr="00B114A2">
        <w:trPr>
          <w:cantSplit/>
        </w:trPr>
        <w:tc>
          <w:tcPr>
            <w:cnfStyle w:val="001000000000" w:firstRow="0" w:lastRow="0" w:firstColumn="1" w:lastColumn="0" w:oddVBand="0" w:evenVBand="0" w:oddHBand="0" w:evenHBand="0" w:firstRowFirstColumn="0" w:firstRowLastColumn="0" w:lastRowFirstColumn="0" w:lastRowLastColumn="0"/>
            <w:tcW w:w="2716" w:type="dxa"/>
          </w:tcPr>
          <w:p w14:paraId="677C5E3E" w14:textId="0A7F94DF" w:rsidR="009141EF" w:rsidRDefault="009141EF" w:rsidP="006D7491">
            <w:pPr>
              <w:pStyle w:val="TableText"/>
              <w:keepNext/>
              <w:keepLines/>
            </w:pPr>
            <w:r>
              <w:lastRenderedPageBreak/>
              <w:t>Data systems</w:t>
            </w:r>
          </w:p>
        </w:tc>
        <w:tc>
          <w:tcPr>
            <w:tcW w:w="10709" w:type="dxa"/>
            <w:tcBorders>
              <w:top w:val="single" w:sz="4" w:space="0" w:color="8CB59F" w:themeColor="accent2" w:themeTint="99"/>
            </w:tcBorders>
          </w:tcPr>
          <w:p w14:paraId="2AEB419A" w14:textId="77777777" w:rsidR="009141EF" w:rsidRPr="00854D4D" w:rsidRDefault="009141EF" w:rsidP="009407B7">
            <w:pPr>
              <w:pStyle w:val="TableBullet"/>
              <w:spacing w:before="120"/>
              <w:cnfStyle w:val="000000000000" w:firstRow="0" w:lastRow="0" w:firstColumn="0" w:lastColumn="0" w:oddVBand="0" w:evenVBand="0" w:oddHBand="0" w:evenHBand="0" w:firstRowFirstColumn="0" w:firstRowLastColumn="0" w:lastRowFirstColumn="0" w:lastRowLastColumn="0"/>
            </w:pPr>
            <w:r w:rsidRPr="00854D4D">
              <w:t>Improve administrative data access and use for evaluation through providing training and supporting staff to access and navigate resources</w:t>
            </w:r>
          </w:p>
          <w:p w14:paraId="19D8757A" w14:textId="578C05A9"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Strengthen staff skills in analysing and using linked data sets such as PLIDA and BLADE</w:t>
            </w:r>
          </w:p>
          <w:p w14:paraId="6AB7EA62"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Develop a language model to understand data from a large program or grantees more efficiently</w:t>
            </w:r>
          </w:p>
          <w:p w14:paraId="35803D76"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Establish relationships with data teams to improve access and use of data for monitoring and evaluation</w:t>
            </w:r>
          </w:p>
          <w:p w14:paraId="32E2DC79"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Hire data champions to support better use of existing data, such as administrative and linked data across the agency</w:t>
            </w:r>
          </w:p>
          <w:p w14:paraId="6FD08B8D"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Develop a process to ensure all grants data is available for use in evaluation</w:t>
            </w:r>
          </w:p>
          <w:p w14:paraId="15C0FA7B" w14:textId="69BDB889"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 xml:space="preserve">Establish routine engagement with data branches and data governance committees to learn how existing data can be utilised for your agency’s evaluations </w:t>
            </w:r>
          </w:p>
          <w:p w14:paraId="5ABCAB91" w14:textId="76DD14AA"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Provide guidance and support for staff on the use of systems and technology to conduct evaluation</w:t>
            </w:r>
          </w:p>
        </w:tc>
      </w:tr>
      <w:tr w:rsidR="009141EF" w14:paraId="2DBFA925" w14:textId="77777777" w:rsidTr="001C7C1B">
        <w:trPr>
          <w:cantSplit/>
        </w:trPr>
        <w:tc>
          <w:tcPr>
            <w:cnfStyle w:val="001000000000" w:firstRow="0" w:lastRow="0" w:firstColumn="1" w:lastColumn="0" w:oddVBand="0" w:evenVBand="0" w:oddHBand="0" w:evenHBand="0" w:firstRowFirstColumn="0" w:firstRowLastColumn="0" w:lastRowFirstColumn="0" w:lastRowLastColumn="0"/>
            <w:tcW w:w="2716" w:type="dxa"/>
          </w:tcPr>
          <w:p w14:paraId="362EFEF2" w14:textId="6C25A6D7" w:rsidR="009141EF" w:rsidRDefault="009141EF" w:rsidP="006E3E8D">
            <w:pPr>
              <w:pStyle w:val="TableText"/>
              <w:spacing w:before="120"/>
            </w:pPr>
            <w:r>
              <w:t xml:space="preserve">Ethics and cultural safety </w:t>
            </w:r>
          </w:p>
        </w:tc>
        <w:tc>
          <w:tcPr>
            <w:tcW w:w="10709" w:type="dxa"/>
          </w:tcPr>
          <w:p w14:paraId="6AF6F2C0" w14:textId="49153490" w:rsidR="009141EF" w:rsidRPr="00854D4D" w:rsidRDefault="009141EF" w:rsidP="009407B7">
            <w:pPr>
              <w:pStyle w:val="TableBullet"/>
              <w:spacing w:before="120"/>
              <w:cnfStyle w:val="000000000000" w:firstRow="0" w:lastRow="0" w:firstColumn="0" w:lastColumn="0" w:oddVBand="0" w:evenVBand="0" w:oddHBand="0" w:evenHBand="0" w:firstRowFirstColumn="0" w:firstRowLastColumn="0" w:lastRowFirstColumn="0" w:lastRowLastColumn="0"/>
            </w:pPr>
            <w:r w:rsidRPr="00854D4D">
              <w:t>Establish a low</w:t>
            </w:r>
            <w:r w:rsidRPr="00854D4D">
              <w:noBreakHyphen/>
              <w:t>risk ethics process to fast</w:t>
            </w:r>
            <w:r w:rsidRPr="00854D4D">
              <w:noBreakHyphen/>
              <w:t>track review of low</w:t>
            </w:r>
            <w:r w:rsidRPr="00854D4D">
              <w:noBreakHyphen/>
              <w:t>risk evaluation</w:t>
            </w:r>
          </w:p>
          <w:p w14:paraId="0EC17ECB" w14:textId="77777777"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Provide resources and training for cultural safety and ethical design in evaluation design and delivery</w:t>
            </w:r>
          </w:p>
          <w:p w14:paraId="6440C1D3" w14:textId="4EA30090"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Promote online training models such as Ethics and Cultural Safety (AIATSIS), which is freely available through APS</w:t>
            </w:r>
            <w:r w:rsidR="000E3AAB" w:rsidRPr="00854D4D">
              <w:t> </w:t>
            </w:r>
            <w:r w:rsidRPr="00854D4D">
              <w:t xml:space="preserve">Learn </w:t>
            </w:r>
          </w:p>
          <w:p w14:paraId="02B67BFF" w14:textId="1111F939" w:rsidR="009141EF" w:rsidRPr="00854D4D" w:rsidRDefault="009141EF" w:rsidP="00854D4D">
            <w:pPr>
              <w:pStyle w:val="TableBullet"/>
              <w:cnfStyle w:val="000000000000" w:firstRow="0" w:lastRow="0" w:firstColumn="0" w:lastColumn="0" w:oddVBand="0" w:evenVBand="0" w:oddHBand="0" w:evenHBand="0" w:firstRowFirstColumn="0" w:firstRowLastColumn="0" w:lastRowFirstColumn="0" w:lastRowLastColumn="0"/>
            </w:pPr>
            <w:r w:rsidRPr="00854D4D">
              <w:t>Design specific training for cultural safety in evaluation in partnership with First Nations and Culturally and Linguistically Diverse people</w:t>
            </w:r>
          </w:p>
        </w:tc>
      </w:tr>
    </w:tbl>
    <w:p w14:paraId="0281DDFB" w14:textId="702BAFDC" w:rsidR="00757A35" w:rsidRDefault="00686303" w:rsidP="00CF40D6">
      <w:pPr>
        <w:pStyle w:val="Heading2"/>
      </w:pPr>
      <w:bookmarkStart w:id="8" w:name="_Toc201065026"/>
      <w:bookmarkStart w:id="9" w:name="_Toc201073532"/>
      <w:bookmarkStart w:id="10" w:name="_Toc201073874"/>
      <w:bookmarkStart w:id="11" w:name="_Toc201074251"/>
      <w:r>
        <w:lastRenderedPageBreak/>
        <w:t xml:space="preserve">Domain </w:t>
      </w:r>
      <w:r w:rsidR="00E37447">
        <w:t>3</w:t>
      </w:r>
      <w:r>
        <w:t xml:space="preserve">: </w:t>
      </w:r>
      <w:r w:rsidR="00757A35">
        <w:t>Design, planning and delivery</w:t>
      </w:r>
      <w:bookmarkEnd w:id="8"/>
      <w:bookmarkEnd w:id="9"/>
      <w:bookmarkEnd w:id="10"/>
      <w:bookmarkEnd w:id="11"/>
      <w:r w:rsidR="00757A35">
        <w:t xml:space="preserve"> </w:t>
      </w:r>
    </w:p>
    <w:tbl>
      <w:tblPr>
        <w:tblStyle w:val="GridTable1Light-Accent2"/>
        <w:tblW w:w="4999" w:type="pct"/>
        <w:tblLook w:val="04A0" w:firstRow="1" w:lastRow="0" w:firstColumn="1" w:lastColumn="0" w:noHBand="0" w:noVBand="1"/>
      </w:tblPr>
      <w:tblGrid>
        <w:gridCol w:w="2716"/>
        <w:gridCol w:w="10709"/>
      </w:tblGrid>
      <w:tr w:rsidR="006B21F5" w:rsidRPr="00583183" w14:paraId="12A67F76" w14:textId="77777777" w:rsidTr="000D0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6" w:type="dxa"/>
            <w:shd w:val="clear" w:color="auto" w:fill="EEEEEE" w:themeFill="background2"/>
          </w:tcPr>
          <w:p w14:paraId="73C55FBC" w14:textId="77777777" w:rsidR="006B21F5" w:rsidRPr="00583183" w:rsidRDefault="006B21F5" w:rsidP="000D06E9">
            <w:pPr>
              <w:pStyle w:val="Tableheading"/>
              <w:jc w:val="left"/>
              <w:rPr>
                <w:b/>
              </w:rPr>
            </w:pPr>
            <w:r w:rsidRPr="00583183">
              <w:rPr>
                <w:b/>
              </w:rPr>
              <w:t>Dimension</w:t>
            </w:r>
            <w:r>
              <w:rPr>
                <w:b/>
              </w:rPr>
              <w:t>s</w:t>
            </w:r>
          </w:p>
        </w:tc>
        <w:tc>
          <w:tcPr>
            <w:tcW w:w="10709" w:type="dxa"/>
            <w:shd w:val="clear" w:color="auto" w:fill="EEEEEE" w:themeFill="background2"/>
          </w:tcPr>
          <w:p w14:paraId="75F6A861" w14:textId="77777777" w:rsidR="006B21F5" w:rsidRPr="00583183" w:rsidRDefault="006B21F5" w:rsidP="000D06E9">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583183">
              <w:rPr>
                <w:b/>
                <w:bCs w:val="0"/>
              </w:rPr>
              <w:t>Strategic actions</w:t>
            </w:r>
          </w:p>
        </w:tc>
      </w:tr>
      <w:tr w:rsidR="006B21F5" w:rsidRPr="008E4A70" w14:paraId="739EE4CB" w14:textId="77777777" w:rsidTr="006B21F5">
        <w:trPr>
          <w:trHeight w:val="2698"/>
        </w:trPr>
        <w:tc>
          <w:tcPr>
            <w:cnfStyle w:val="001000000000" w:firstRow="0" w:lastRow="0" w:firstColumn="1" w:lastColumn="0" w:oddVBand="0" w:evenVBand="0" w:oddHBand="0" w:evenHBand="0" w:firstRowFirstColumn="0" w:firstRowLastColumn="0" w:lastRowFirstColumn="0" w:lastRowLastColumn="0"/>
            <w:tcW w:w="2716" w:type="dxa"/>
          </w:tcPr>
          <w:p w14:paraId="1246289D" w14:textId="77777777" w:rsidR="006B21F5" w:rsidRDefault="006B21F5" w:rsidP="006B21F5">
            <w:pPr>
              <w:pStyle w:val="TableText"/>
              <w:spacing w:before="120"/>
              <w:rPr>
                <w:b w:val="0"/>
                <w:bCs w:val="0"/>
              </w:rPr>
            </w:pPr>
            <w:r>
              <w:t>Prioritisation</w:t>
            </w:r>
          </w:p>
          <w:p w14:paraId="15D351F5" w14:textId="77777777" w:rsidR="006B21F5" w:rsidRDefault="006B21F5" w:rsidP="006B21F5">
            <w:pPr>
              <w:pStyle w:val="TableText"/>
              <w:spacing w:before="120"/>
              <w:rPr>
                <w:b w:val="0"/>
                <w:bCs w:val="0"/>
              </w:rPr>
            </w:pPr>
            <w:r>
              <w:t>Evaluation methods</w:t>
            </w:r>
          </w:p>
          <w:p w14:paraId="57EC9408" w14:textId="3136FD0D" w:rsidR="006B21F5" w:rsidRPr="00B00C14" w:rsidRDefault="006B21F5" w:rsidP="006B21F5">
            <w:pPr>
              <w:pStyle w:val="TableText"/>
              <w:spacing w:before="120"/>
              <w:rPr>
                <w:b w:val="0"/>
                <w:bCs w:val="0"/>
              </w:rPr>
            </w:pPr>
            <w:r>
              <w:t>Resourcing</w:t>
            </w:r>
          </w:p>
        </w:tc>
        <w:tc>
          <w:tcPr>
            <w:tcW w:w="10709" w:type="dxa"/>
          </w:tcPr>
          <w:p w14:paraId="0EF72FA9" w14:textId="77777777" w:rsidR="006B21F5" w:rsidRPr="00854D4D" w:rsidRDefault="006B21F5" w:rsidP="00D10569">
            <w:pPr>
              <w:pStyle w:val="TableBullet"/>
              <w:spacing w:before="120"/>
              <w:cnfStyle w:val="000000000000" w:firstRow="0" w:lastRow="0" w:firstColumn="0" w:lastColumn="0" w:oddVBand="0" w:evenVBand="0" w:oddHBand="0" w:evenHBand="0" w:firstRowFirstColumn="0" w:firstRowLastColumn="0" w:lastRowFirstColumn="0" w:lastRowLastColumn="0"/>
            </w:pPr>
            <w:r w:rsidRPr="00854D4D">
              <w:t xml:space="preserve">Identify evaluation as a core business priority </w:t>
            </w:r>
          </w:p>
          <w:p w14:paraId="3BEC14ED" w14:textId="77777777" w:rsidR="006B21F5" w:rsidRPr="00854D4D" w:rsidRDefault="006B21F5" w:rsidP="00854D4D">
            <w:pPr>
              <w:pStyle w:val="TableBullet"/>
              <w:cnfStyle w:val="000000000000" w:firstRow="0" w:lastRow="0" w:firstColumn="0" w:lastColumn="0" w:oddVBand="0" w:evenVBand="0" w:oddHBand="0" w:evenHBand="0" w:firstRowFirstColumn="0" w:firstRowLastColumn="0" w:lastRowFirstColumn="0" w:lastRowLastColumn="0"/>
            </w:pPr>
            <w:r w:rsidRPr="00854D4D">
              <w:t>Evaluation planning and delivery is required for all policies, programs and services</w:t>
            </w:r>
          </w:p>
          <w:p w14:paraId="6AEB9A37" w14:textId="77777777" w:rsidR="006B21F5" w:rsidRPr="00854D4D" w:rsidRDefault="006B21F5" w:rsidP="00854D4D">
            <w:pPr>
              <w:pStyle w:val="TableBullet"/>
              <w:cnfStyle w:val="000000000000" w:firstRow="0" w:lastRow="0" w:firstColumn="0" w:lastColumn="0" w:oddVBand="0" w:evenVBand="0" w:oddHBand="0" w:evenHBand="0" w:firstRowFirstColumn="0" w:firstRowLastColumn="0" w:lastRowFirstColumn="0" w:lastRowLastColumn="0"/>
            </w:pPr>
            <w:r w:rsidRPr="00854D4D">
              <w:t>Develop principles for the use of fit</w:t>
            </w:r>
            <w:r w:rsidRPr="00854D4D">
              <w:noBreakHyphen/>
              <w:t>for</w:t>
            </w:r>
            <w:r w:rsidRPr="00854D4D">
              <w:noBreakHyphen/>
              <w:t>purpose methods</w:t>
            </w:r>
          </w:p>
          <w:p w14:paraId="6B88332D" w14:textId="77777777" w:rsidR="006B21F5" w:rsidRPr="00854D4D" w:rsidRDefault="006B21F5" w:rsidP="00854D4D">
            <w:pPr>
              <w:pStyle w:val="TableBullet"/>
              <w:cnfStyle w:val="000000000000" w:firstRow="0" w:lastRow="0" w:firstColumn="0" w:lastColumn="0" w:oddVBand="0" w:evenVBand="0" w:oddHBand="0" w:evenHBand="0" w:firstRowFirstColumn="0" w:firstRowLastColumn="0" w:lastRowFirstColumn="0" w:lastRowLastColumn="0"/>
            </w:pPr>
            <w:r w:rsidRPr="00854D4D">
              <w:t xml:space="preserve">Allocate resources with evaluation skills to plan and conduct evaluation </w:t>
            </w:r>
          </w:p>
          <w:p w14:paraId="632047A5" w14:textId="77777777" w:rsidR="006B21F5" w:rsidRPr="00854D4D" w:rsidRDefault="006B21F5" w:rsidP="00854D4D">
            <w:pPr>
              <w:pStyle w:val="TableBullet"/>
              <w:cnfStyle w:val="000000000000" w:firstRow="0" w:lastRow="0" w:firstColumn="0" w:lastColumn="0" w:oddVBand="0" w:evenVBand="0" w:oddHBand="0" w:evenHBand="0" w:firstRowFirstColumn="0" w:firstRowLastColumn="0" w:lastRowFirstColumn="0" w:lastRowLastColumn="0"/>
            </w:pPr>
            <w:r w:rsidRPr="00854D4D">
              <w:t>Establish requirements for evaluation planning and resourcing in the development of New Policy Proposals (NPPs)</w:t>
            </w:r>
          </w:p>
          <w:p w14:paraId="634F488B" w14:textId="68698059" w:rsidR="006B21F5" w:rsidRPr="00854D4D" w:rsidRDefault="006B21F5" w:rsidP="00854D4D">
            <w:pPr>
              <w:pStyle w:val="TableBullet"/>
              <w:cnfStyle w:val="000000000000" w:firstRow="0" w:lastRow="0" w:firstColumn="0" w:lastColumn="0" w:oddVBand="0" w:evenVBand="0" w:oddHBand="0" w:evenHBand="0" w:firstRowFirstColumn="0" w:firstRowLastColumn="0" w:lastRowFirstColumn="0" w:lastRowLastColumn="0"/>
            </w:pPr>
            <w:r w:rsidRPr="00854D4D">
              <w:t>Establish criteria for where investment in evaluation is most valuable for learning, accountability and decision</w:t>
            </w:r>
            <w:r w:rsidRPr="00854D4D">
              <w:noBreakHyphen/>
              <w:t>making</w:t>
            </w:r>
          </w:p>
        </w:tc>
      </w:tr>
      <w:tr w:rsidR="00254757" w:rsidRPr="00230FA4" w14:paraId="7979AACB" w14:textId="77777777" w:rsidTr="00254757">
        <w:tc>
          <w:tcPr>
            <w:cnfStyle w:val="001000000000" w:firstRow="0" w:lastRow="0" w:firstColumn="1" w:lastColumn="0" w:oddVBand="0" w:evenVBand="0" w:oddHBand="0" w:evenHBand="0" w:firstRowFirstColumn="0" w:firstRowLastColumn="0" w:lastRowFirstColumn="0" w:lastRowLastColumn="0"/>
            <w:tcW w:w="2716" w:type="dxa"/>
            <w:shd w:val="clear" w:color="auto" w:fill="EEEEEE" w:themeFill="background2"/>
          </w:tcPr>
          <w:p w14:paraId="3851F296" w14:textId="77777777" w:rsidR="00254757" w:rsidRPr="00230FA4" w:rsidRDefault="00254757" w:rsidP="00517ECE">
            <w:pPr>
              <w:pStyle w:val="Tableheading"/>
              <w:jc w:val="left"/>
              <w:rPr>
                <w:b/>
              </w:rPr>
            </w:pPr>
            <w:r w:rsidRPr="00230FA4">
              <w:rPr>
                <w:b/>
              </w:rPr>
              <w:t>Dimension</w:t>
            </w:r>
          </w:p>
        </w:tc>
        <w:tc>
          <w:tcPr>
            <w:tcW w:w="10709" w:type="dxa"/>
            <w:shd w:val="clear" w:color="auto" w:fill="EEEEEE" w:themeFill="background2"/>
          </w:tcPr>
          <w:p w14:paraId="3AD43172" w14:textId="77777777" w:rsidR="00254757" w:rsidRPr="00230FA4" w:rsidRDefault="00254757" w:rsidP="00517ECE">
            <w:pPr>
              <w:pStyle w:val="Tableheading"/>
              <w:jc w:val="left"/>
              <w:cnfStyle w:val="000000000000" w:firstRow="0" w:lastRow="0" w:firstColumn="0" w:lastColumn="0" w:oddVBand="0" w:evenVBand="0" w:oddHBand="0" w:evenHBand="0" w:firstRowFirstColumn="0" w:firstRowLastColumn="0" w:lastRowFirstColumn="0" w:lastRowLastColumn="0"/>
              <w:rPr>
                <w:b w:val="0"/>
              </w:rPr>
            </w:pPr>
            <w:r>
              <w:t>Operational</w:t>
            </w:r>
            <w:r w:rsidRPr="00230FA4">
              <w:t xml:space="preserve"> </w:t>
            </w:r>
            <w:r>
              <w:t>actions</w:t>
            </w:r>
          </w:p>
        </w:tc>
      </w:tr>
      <w:tr w:rsidR="00254757" w14:paraId="537F897D" w14:textId="77777777" w:rsidTr="00854D4D">
        <w:trPr>
          <w:trHeight w:val="881"/>
        </w:trPr>
        <w:tc>
          <w:tcPr>
            <w:cnfStyle w:val="001000000000" w:firstRow="0" w:lastRow="0" w:firstColumn="1" w:lastColumn="0" w:oddVBand="0" w:evenVBand="0" w:oddHBand="0" w:evenHBand="0" w:firstRowFirstColumn="0" w:firstRowLastColumn="0" w:lastRowFirstColumn="0" w:lastRowLastColumn="0"/>
            <w:tcW w:w="2716" w:type="dxa"/>
          </w:tcPr>
          <w:p w14:paraId="4B9A196B" w14:textId="77777777" w:rsidR="00254757" w:rsidRDefault="00254757" w:rsidP="00517ECE">
            <w:pPr>
              <w:pStyle w:val="TableText"/>
              <w:rPr>
                <w:b w:val="0"/>
                <w:bCs w:val="0"/>
              </w:rPr>
            </w:pPr>
            <w:r>
              <w:t>Prioritisation</w:t>
            </w:r>
          </w:p>
          <w:p w14:paraId="71CDF875" w14:textId="77777777" w:rsidR="00254757" w:rsidRPr="006B21F5" w:rsidRDefault="00254757" w:rsidP="00517ECE">
            <w:pPr>
              <w:rPr>
                <w:rFonts w:asciiTheme="majorHAnsi" w:hAnsiTheme="majorHAnsi" w:cstheme="majorHAnsi"/>
                <w:b w:val="0"/>
                <w:bCs w:val="0"/>
                <w:sz w:val="24"/>
                <w:szCs w:val="24"/>
              </w:rPr>
            </w:pPr>
          </w:p>
        </w:tc>
        <w:tc>
          <w:tcPr>
            <w:tcW w:w="10709" w:type="dxa"/>
          </w:tcPr>
          <w:p w14:paraId="05C19180" w14:textId="77777777" w:rsidR="00254757" w:rsidRPr="00854D4D" w:rsidRDefault="00254757" w:rsidP="00D10569">
            <w:pPr>
              <w:pStyle w:val="TableBullet"/>
              <w:spacing w:before="120" w:line="240" w:lineRule="auto"/>
              <w:cnfStyle w:val="000000000000" w:firstRow="0" w:lastRow="0" w:firstColumn="0" w:lastColumn="0" w:oddVBand="0" w:evenVBand="0" w:oddHBand="0" w:evenHBand="0" w:firstRowFirstColumn="0" w:firstRowLastColumn="0" w:lastRowFirstColumn="0" w:lastRowLastColumn="0"/>
            </w:pPr>
            <w:r w:rsidRPr="00854D4D">
              <w:t>Build evaluation into the governance of policies, programs and services</w:t>
            </w:r>
          </w:p>
          <w:p w14:paraId="6DF78BAD" w14:textId="77777777" w:rsidR="00254757" w:rsidRPr="00854D4D" w:rsidRDefault="00254757" w:rsidP="00DF482F">
            <w:pPr>
              <w:pStyle w:val="TableBullet"/>
              <w:spacing w:line="240" w:lineRule="auto"/>
              <w:cnfStyle w:val="000000000000" w:firstRow="0" w:lastRow="0" w:firstColumn="0" w:lastColumn="0" w:oddVBand="0" w:evenVBand="0" w:oddHBand="0" w:evenHBand="0" w:firstRowFirstColumn="0" w:firstRowLastColumn="0" w:lastRowFirstColumn="0" w:lastRowLastColumn="0"/>
            </w:pPr>
            <w:r w:rsidRPr="00854D4D">
              <w:t xml:space="preserve">Establish program logic and/or theory of change as requirements to accompany program design and implementation </w:t>
            </w:r>
          </w:p>
          <w:p w14:paraId="4CB6642F" w14:textId="77777777" w:rsidR="00254757" w:rsidRPr="00854D4D" w:rsidRDefault="00254757" w:rsidP="00DF482F">
            <w:pPr>
              <w:pStyle w:val="TableBullet"/>
              <w:spacing w:line="240" w:lineRule="auto"/>
              <w:cnfStyle w:val="000000000000" w:firstRow="0" w:lastRow="0" w:firstColumn="0" w:lastColumn="0" w:oddVBand="0" w:evenVBand="0" w:oddHBand="0" w:evenHBand="0" w:firstRowFirstColumn="0" w:firstRowLastColumn="0" w:lastRowFirstColumn="0" w:lastRowLastColumn="0"/>
            </w:pPr>
            <w:r w:rsidRPr="00854D4D">
              <w:t xml:space="preserve">Define minimum expectations for program logic and evaluation inclusion in programs, policies and services </w:t>
            </w:r>
          </w:p>
          <w:p w14:paraId="0C2E2E21" w14:textId="77777777" w:rsidR="00254757" w:rsidRPr="00854D4D" w:rsidRDefault="00254757" w:rsidP="00DF482F">
            <w:pPr>
              <w:pStyle w:val="TableBullet"/>
              <w:spacing w:line="240" w:lineRule="auto"/>
              <w:cnfStyle w:val="000000000000" w:firstRow="0" w:lastRow="0" w:firstColumn="0" w:lastColumn="0" w:oddVBand="0" w:evenVBand="0" w:oddHBand="0" w:evenHBand="0" w:firstRowFirstColumn="0" w:firstRowLastColumn="0" w:lastRowFirstColumn="0" w:lastRowLastColumn="0"/>
            </w:pPr>
            <w:r w:rsidRPr="00854D4D">
              <w:t>Undertake routine monitoring and evaluation of programs to inform progress towards outcomes</w:t>
            </w:r>
          </w:p>
          <w:p w14:paraId="62AC4D4D" w14:textId="77777777" w:rsidR="00254757" w:rsidRPr="00854D4D" w:rsidRDefault="00254757" w:rsidP="00DF482F">
            <w:pPr>
              <w:pStyle w:val="TableBullet"/>
              <w:spacing w:line="240" w:lineRule="auto"/>
              <w:cnfStyle w:val="000000000000" w:firstRow="0" w:lastRow="0" w:firstColumn="0" w:lastColumn="0" w:oddVBand="0" w:evenVBand="0" w:oddHBand="0" w:evenHBand="0" w:firstRowFirstColumn="0" w:firstRowLastColumn="0" w:lastRowFirstColumn="0" w:lastRowLastColumn="0"/>
            </w:pPr>
            <w:r w:rsidRPr="00854D4D">
              <w:t>Use high</w:t>
            </w:r>
            <w:r w:rsidRPr="00854D4D">
              <w:noBreakHyphen/>
              <w:t>visibility, strategically important projects to model best practice evaluation (to inspire broader adoption)</w:t>
            </w:r>
          </w:p>
          <w:p w14:paraId="071E6E59" w14:textId="77777777" w:rsidR="00254757" w:rsidRPr="00854D4D" w:rsidRDefault="00254757" w:rsidP="00DF482F">
            <w:pPr>
              <w:pStyle w:val="TableBullet"/>
              <w:spacing w:line="240" w:lineRule="auto"/>
              <w:cnfStyle w:val="000000000000" w:firstRow="0" w:lastRow="0" w:firstColumn="0" w:lastColumn="0" w:oddVBand="0" w:evenVBand="0" w:oddHBand="0" w:evenHBand="0" w:firstRowFirstColumn="0" w:firstRowLastColumn="0" w:lastRowFirstColumn="0" w:lastRowLastColumn="0"/>
            </w:pPr>
            <w:r w:rsidRPr="00854D4D">
              <w:t>Evaluation is included in annual business planning processes</w:t>
            </w:r>
          </w:p>
          <w:p w14:paraId="357C0AF9" w14:textId="77777777" w:rsidR="00254757" w:rsidRPr="00854D4D" w:rsidRDefault="00254757" w:rsidP="00DF482F">
            <w:pPr>
              <w:pStyle w:val="TableBullet"/>
              <w:spacing w:line="240" w:lineRule="auto"/>
              <w:cnfStyle w:val="000000000000" w:firstRow="0" w:lastRow="0" w:firstColumn="0" w:lastColumn="0" w:oddVBand="0" w:evenVBand="0" w:oddHBand="0" w:evenHBand="0" w:firstRowFirstColumn="0" w:firstRowLastColumn="0" w:lastRowFirstColumn="0" w:lastRowLastColumn="0"/>
            </w:pPr>
            <w:r w:rsidRPr="00854D4D">
              <w:t>Establish monitoring and evaluation plans for existing programs in scope for future evaluation activities</w:t>
            </w:r>
          </w:p>
          <w:p w14:paraId="72BDC699" w14:textId="77777777" w:rsidR="00254757" w:rsidRPr="00854D4D" w:rsidRDefault="00254757" w:rsidP="00DF482F">
            <w:pPr>
              <w:pStyle w:val="TableBullet"/>
              <w:spacing w:line="240" w:lineRule="auto"/>
              <w:cnfStyle w:val="000000000000" w:firstRow="0" w:lastRow="0" w:firstColumn="0" w:lastColumn="0" w:oddVBand="0" w:evenVBand="0" w:oddHBand="0" w:evenHBand="0" w:firstRowFirstColumn="0" w:firstRowLastColumn="0" w:lastRowFirstColumn="0" w:lastRowLastColumn="0"/>
            </w:pPr>
            <w:r w:rsidRPr="00854D4D">
              <w:t>Develop a standard operating procedure outlining how to undertake evaluation in</w:t>
            </w:r>
            <w:r w:rsidRPr="00854D4D">
              <w:noBreakHyphen/>
              <w:t>house</w:t>
            </w:r>
          </w:p>
          <w:p w14:paraId="7578DB1B" w14:textId="510A8E9F" w:rsidR="00254757" w:rsidRPr="00854D4D" w:rsidRDefault="00254757" w:rsidP="00DF482F">
            <w:pPr>
              <w:pStyle w:val="TableBullet"/>
              <w:spacing w:after="0" w:line="240" w:lineRule="auto"/>
              <w:cnfStyle w:val="000000000000" w:firstRow="0" w:lastRow="0" w:firstColumn="0" w:lastColumn="0" w:oddVBand="0" w:evenVBand="0" w:oddHBand="0" w:evenHBand="0" w:firstRowFirstColumn="0" w:firstRowLastColumn="0" w:lastRowFirstColumn="0" w:lastRowLastColumn="0"/>
            </w:pPr>
            <w:r w:rsidRPr="00854D4D">
              <w:t>Create compelling case studies to demonstrate how evaluation improves outcomes, informs decisions and</w:t>
            </w:r>
            <w:r w:rsidR="00090D5F" w:rsidRPr="00854D4D">
              <w:t> </w:t>
            </w:r>
            <w:r w:rsidRPr="00854D4D">
              <w:t>builds</w:t>
            </w:r>
            <w:r w:rsidR="00090D5F" w:rsidRPr="00854D4D">
              <w:t> </w:t>
            </w:r>
            <w:r w:rsidRPr="00854D4D">
              <w:t>trust</w:t>
            </w:r>
          </w:p>
          <w:p w14:paraId="387AA102" w14:textId="77777777" w:rsidR="00254757" w:rsidRPr="00854D4D" w:rsidRDefault="00254757" w:rsidP="00854D4D">
            <w:pPr>
              <w:pStyle w:val="TableBullet"/>
              <w:cnfStyle w:val="000000000000" w:firstRow="0" w:lastRow="0" w:firstColumn="0" w:lastColumn="0" w:oddVBand="0" w:evenVBand="0" w:oddHBand="0" w:evenHBand="0" w:firstRowFirstColumn="0" w:firstRowLastColumn="0" w:lastRowFirstColumn="0" w:lastRowLastColumn="0"/>
            </w:pPr>
            <w:r w:rsidRPr="00854D4D">
              <w:t>Prioritise evaluations based on strategic risk, investment size, and public impact</w:t>
            </w:r>
          </w:p>
        </w:tc>
      </w:tr>
    </w:tbl>
    <w:p w14:paraId="0D64BBE9" w14:textId="77777777" w:rsidR="006B21F5" w:rsidRPr="006B21F5" w:rsidRDefault="006B21F5" w:rsidP="006B21F5"/>
    <w:p w14:paraId="5986052D" w14:textId="77777777" w:rsidR="00254757" w:rsidRDefault="00254757"/>
    <w:tbl>
      <w:tblPr>
        <w:tblStyle w:val="GridTable1Light-Accent2"/>
        <w:tblW w:w="4999" w:type="pct"/>
        <w:tblLook w:val="04A0" w:firstRow="1" w:lastRow="0" w:firstColumn="1" w:lastColumn="0" w:noHBand="0" w:noVBand="1"/>
      </w:tblPr>
      <w:tblGrid>
        <w:gridCol w:w="2716"/>
        <w:gridCol w:w="10709"/>
      </w:tblGrid>
      <w:tr w:rsidR="006B21F5" w14:paraId="56298B19" w14:textId="77777777" w:rsidTr="000141E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716" w:type="dxa"/>
            <w:shd w:val="clear" w:color="auto" w:fill="EEEEEE" w:themeFill="background2"/>
          </w:tcPr>
          <w:p w14:paraId="1BA58D34" w14:textId="77777777" w:rsidR="006B21F5" w:rsidRPr="00230FA4" w:rsidRDefault="006B21F5" w:rsidP="00FD1040">
            <w:pPr>
              <w:pStyle w:val="Tableheading"/>
              <w:jc w:val="left"/>
              <w:rPr>
                <w:b/>
              </w:rPr>
            </w:pPr>
            <w:r w:rsidRPr="00230FA4">
              <w:rPr>
                <w:b/>
              </w:rPr>
              <w:t>Dimension</w:t>
            </w:r>
          </w:p>
        </w:tc>
        <w:tc>
          <w:tcPr>
            <w:tcW w:w="10709" w:type="dxa"/>
            <w:shd w:val="clear" w:color="auto" w:fill="EEEEEE" w:themeFill="background2"/>
          </w:tcPr>
          <w:p w14:paraId="1D300481" w14:textId="77777777" w:rsidR="006B21F5" w:rsidRPr="00230FA4" w:rsidRDefault="006B21F5" w:rsidP="00FD1040">
            <w:pPr>
              <w:pStyle w:val="Tableheading"/>
              <w:jc w:val="left"/>
              <w:cnfStyle w:val="100000000000" w:firstRow="1" w:lastRow="0" w:firstColumn="0" w:lastColumn="0" w:oddVBand="0" w:evenVBand="0" w:oddHBand="0" w:evenHBand="0" w:firstRowFirstColumn="0" w:firstRowLastColumn="0" w:lastRowFirstColumn="0" w:lastRowLastColumn="0"/>
              <w:rPr>
                <w:b/>
              </w:rPr>
            </w:pPr>
            <w:r>
              <w:rPr>
                <w:b/>
              </w:rPr>
              <w:t>Operational</w:t>
            </w:r>
            <w:r w:rsidRPr="00230FA4">
              <w:rPr>
                <w:b/>
              </w:rPr>
              <w:t xml:space="preserve"> </w:t>
            </w:r>
            <w:r>
              <w:rPr>
                <w:b/>
              </w:rPr>
              <w:t>actions</w:t>
            </w:r>
          </w:p>
        </w:tc>
      </w:tr>
      <w:tr w:rsidR="006B21F5" w14:paraId="25F559AB" w14:textId="77777777" w:rsidTr="000141EA">
        <w:trPr>
          <w:cantSplit/>
        </w:trPr>
        <w:tc>
          <w:tcPr>
            <w:cnfStyle w:val="001000000000" w:firstRow="0" w:lastRow="0" w:firstColumn="1" w:lastColumn="0" w:oddVBand="0" w:evenVBand="0" w:oddHBand="0" w:evenHBand="0" w:firstRowFirstColumn="0" w:firstRowLastColumn="0" w:lastRowFirstColumn="0" w:lastRowLastColumn="0"/>
            <w:tcW w:w="2716" w:type="dxa"/>
          </w:tcPr>
          <w:p w14:paraId="7C0680E7" w14:textId="7BE91E6C" w:rsidR="006B21F5" w:rsidRPr="007434D7" w:rsidRDefault="006B21F5" w:rsidP="007434D7">
            <w:pPr>
              <w:pStyle w:val="TableText"/>
              <w:rPr>
                <w:bCs w:val="0"/>
              </w:rPr>
            </w:pPr>
            <w:r>
              <w:t>Evaluation methods</w:t>
            </w:r>
          </w:p>
          <w:p w14:paraId="65C764B6" w14:textId="77777777" w:rsidR="006B21F5" w:rsidRPr="004D567D" w:rsidRDefault="006B21F5" w:rsidP="00AA0F1D">
            <w:pPr>
              <w:rPr>
                <w:b w:val="0"/>
                <w:bCs w:val="0"/>
              </w:rPr>
            </w:pPr>
          </w:p>
        </w:tc>
        <w:tc>
          <w:tcPr>
            <w:tcW w:w="10709" w:type="dxa"/>
          </w:tcPr>
          <w:p w14:paraId="7BAE6FAC" w14:textId="0CD25124" w:rsidR="006B21F5" w:rsidRPr="00D10569" w:rsidRDefault="006B21F5" w:rsidP="00D10569">
            <w:pPr>
              <w:pStyle w:val="TableBullet"/>
              <w:spacing w:before="120"/>
              <w:cnfStyle w:val="000000000000" w:firstRow="0" w:lastRow="0" w:firstColumn="0" w:lastColumn="0" w:oddVBand="0" w:evenVBand="0" w:oddHBand="0" w:evenHBand="0" w:firstRowFirstColumn="0" w:firstRowLastColumn="0" w:lastRowFirstColumn="0" w:lastRowLastColumn="0"/>
            </w:pPr>
            <w:r w:rsidRPr="00D10569">
              <w:t>Provide resources and training for staff to plan, commission and use evidence from a variety of evaluation methods, especially impact evaluation</w:t>
            </w:r>
          </w:p>
          <w:p w14:paraId="5FDF7F38" w14:textId="538E14B3"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Resource evaluation hardware/software to support data management, monitoring and reporting</w:t>
            </w:r>
          </w:p>
          <w:p w14:paraId="12A7CC41" w14:textId="39DC4FD5"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 xml:space="preserve">Develop partnerships with evaluation and data units, which supports them to meet regularly </w:t>
            </w:r>
          </w:p>
          <w:p w14:paraId="565CBC64" w14:textId="5ED83269"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Hire staff with evaluation expertise in a variety of methods, including impact evaluation</w:t>
            </w:r>
          </w:p>
          <w:p w14:paraId="24EC2B02" w14:textId="163BB406"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Use external experts to advise on evaluation methodologies, especially impact evaluation methods</w:t>
            </w:r>
          </w:p>
          <w:p w14:paraId="6F2CD507" w14:textId="4DC2F0B2"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Embed short, structured reflection sessions after major initiatives or evaluations.</w:t>
            </w:r>
          </w:p>
        </w:tc>
      </w:tr>
      <w:tr w:rsidR="006B21F5" w14:paraId="5BB69D9F" w14:textId="77777777" w:rsidTr="000141EA">
        <w:trPr>
          <w:cantSplit/>
        </w:trPr>
        <w:tc>
          <w:tcPr>
            <w:cnfStyle w:val="001000000000" w:firstRow="0" w:lastRow="0" w:firstColumn="1" w:lastColumn="0" w:oddVBand="0" w:evenVBand="0" w:oddHBand="0" w:evenHBand="0" w:firstRowFirstColumn="0" w:firstRowLastColumn="0" w:lastRowFirstColumn="0" w:lastRowLastColumn="0"/>
            <w:tcW w:w="2716" w:type="dxa"/>
          </w:tcPr>
          <w:p w14:paraId="507DACCB" w14:textId="099E0D25" w:rsidR="006B21F5" w:rsidRPr="007434D7" w:rsidRDefault="006B21F5" w:rsidP="007434D7">
            <w:pPr>
              <w:pStyle w:val="TableText"/>
              <w:rPr>
                <w:bCs w:val="0"/>
              </w:rPr>
            </w:pPr>
            <w:r>
              <w:t>Resourcing</w:t>
            </w:r>
          </w:p>
        </w:tc>
        <w:tc>
          <w:tcPr>
            <w:tcW w:w="10709" w:type="dxa"/>
          </w:tcPr>
          <w:p w14:paraId="0FBDB8AD" w14:textId="4D8E81F7" w:rsidR="006B21F5" w:rsidRPr="00D10569" w:rsidRDefault="006B21F5" w:rsidP="00D10569">
            <w:pPr>
              <w:pStyle w:val="TableBullet"/>
              <w:spacing w:before="120"/>
              <w:cnfStyle w:val="000000000000" w:firstRow="0" w:lastRow="0" w:firstColumn="0" w:lastColumn="0" w:oddVBand="0" w:evenVBand="0" w:oddHBand="0" w:evenHBand="0" w:firstRowFirstColumn="0" w:firstRowLastColumn="0" w:lastRowFirstColumn="0" w:lastRowLastColumn="0"/>
            </w:pPr>
            <w:r w:rsidRPr="00D10569">
              <w:t>Recruit evaluation staff/champions to strengthen evaluation design, planning and delivery</w:t>
            </w:r>
          </w:p>
          <w:p w14:paraId="5239CE15" w14:textId="0E47CDC5"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Develop a system to prioritise program evaluation funding</w:t>
            </w:r>
          </w:p>
          <w:p w14:paraId="365C6E98" w14:textId="324443B9"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Develop clear guidance to embed evaluation into New Policy Proposals drafted by the agency</w:t>
            </w:r>
          </w:p>
          <w:p w14:paraId="3180A576" w14:textId="3E110F68"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Dedicate specific budget to evaluation</w:t>
            </w:r>
          </w:p>
          <w:p w14:paraId="45EE22B7" w14:textId="46746153"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Allocate a percentage of funding to evaluation activities for projects over a threshold</w:t>
            </w:r>
          </w:p>
        </w:tc>
      </w:tr>
    </w:tbl>
    <w:p w14:paraId="00A639C0" w14:textId="07A1306A" w:rsidR="00757A35" w:rsidRDefault="00BA37EC" w:rsidP="00BA37EC">
      <w:pPr>
        <w:pStyle w:val="Heading2"/>
      </w:pPr>
      <w:bookmarkStart w:id="12" w:name="_Toc201065027"/>
      <w:bookmarkStart w:id="13" w:name="_Toc201073533"/>
      <w:bookmarkStart w:id="14" w:name="_Toc201073875"/>
      <w:bookmarkStart w:id="15" w:name="_Toc201074252"/>
      <w:r>
        <w:lastRenderedPageBreak/>
        <w:t xml:space="preserve">Domain </w:t>
      </w:r>
      <w:r w:rsidR="00E37447">
        <w:t>4</w:t>
      </w:r>
      <w:r>
        <w:t xml:space="preserve">: </w:t>
      </w:r>
      <w:r w:rsidR="00757A35">
        <w:t>Evaluation use</w:t>
      </w:r>
      <w:bookmarkEnd w:id="12"/>
      <w:bookmarkEnd w:id="13"/>
      <w:bookmarkEnd w:id="14"/>
      <w:bookmarkEnd w:id="15"/>
    </w:p>
    <w:tbl>
      <w:tblPr>
        <w:tblStyle w:val="GridTable1Light-Accent2"/>
        <w:tblW w:w="4999" w:type="pct"/>
        <w:tblLook w:val="04A0" w:firstRow="1" w:lastRow="0" w:firstColumn="1" w:lastColumn="0" w:noHBand="0" w:noVBand="1"/>
      </w:tblPr>
      <w:tblGrid>
        <w:gridCol w:w="2716"/>
        <w:gridCol w:w="10709"/>
      </w:tblGrid>
      <w:tr w:rsidR="006B21F5" w:rsidRPr="00583183" w14:paraId="7E88A0CB" w14:textId="77777777" w:rsidTr="000D06E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6" w:type="dxa"/>
            <w:shd w:val="clear" w:color="auto" w:fill="EEEEEE" w:themeFill="background2"/>
          </w:tcPr>
          <w:p w14:paraId="1D2B0B7C" w14:textId="77777777" w:rsidR="006B21F5" w:rsidRPr="00583183" w:rsidRDefault="006B21F5" w:rsidP="000D06E9">
            <w:pPr>
              <w:pStyle w:val="Tableheading"/>
              <w:jc w:val="left"/>
              <w:rPr>
                <w:b/>
              </w:rPr>
            </w:pPr>
            <w:r w:rsidRPr="00583183">
              <w:rPr>
                <w:b/>
              </w:rPr>
              <w:t>Dimension</w:t>
            </w:r>
            <w:r>
              <w:rPr>
                <w:b/>
              </w:rPr>
              <w:t>s</w:t>
            </w:r>
          </w:p>
        </w:tc>
        <w:tc>
          <w:tcPr>
            <w:tcW w:w="10709" w:type="dxa"/>
            <w:shd w:val="clear" w:color="auto" w:fill="EEEEEE" w:themeFill="background2"/>
          </w:tcPr>
          <w:p w14:paraId="1764511E" w14:textId="77777777" w:rsidR="006B21F5" w:rsidRPr="00583183" w:rsidRDefault="006B21F5" w:rsidP="000D06E9">
            <w:pPr>
              <w:pStyle w:val="Tableheading"/>
              <w:jc w:val="left"/>
              <w:cnfStyle w:val="100000000000" w:firstRow="1" w:lastRow="0" w:firstColumn="0" w:lastColumn="0" w:oddVBand="0" w:evenVBand="0" w:oddHBand="0" w:evenHBand="0" w:firstRowFirstColumn="0" w:firstRowLastColumn="0" w:lastRowFirstColumn="0" w:lastRowLastColumn="0"/>
              <w:rPr>
                <w:b/>
                <w:bCs w:val="0"/>
              </w:rPr>
            </w:pPr>
            <w:r w:rsidRPr="00583183">
              <w:rPr>
                <w:b/>
                <w:bCs w:val="0"/>
              </w:rPr>
              <w:t>Strategic actions</w:t>
            </w:r>
          </w:p>
        </w:tc>
      </w:tr>
      <w:tr w:rsidR="006B21F5" w:rsidRPr="008E4A70" w14:paraId="32F5B31C" w14:textId="77777777" w:rsidTr="006B21F5">
        <w:trPr>
          <w:trHeight w:val="1847"/>
        </w:trPr>
        <w:tc>
          <w:tcPr>
            <w:cnfStyle w:val="001000000000" w:firstRow="0" w:lastRow="0" w:firstColumn="1" w:lastColumn="0" w:oddVBand="0" w:evenVBand="0" w:oddHBand="0" w:evenHBand="0" w:firstRowFirstColumn="0" w:firstRowLastColumn="0" w:lastRowFirstColumn="0" w:lastRowLastColumn="0"/>
            <w:tcW w:w="2716" w:type="dxa"/>
          </w:tcPr>
          <w:p w14:paraId="17FC1D31" w14:textId="77777777" w:rsidR="006B21F5" w:rsidRDefault="006B21F5" w:rsidP="000D06E9">
            <w:pPr>
              <w:pStyle w:val="TableText"/>
              <w:spacing w:before="120"/>
              <w:rPr>
                <w:b w:val="0"/>
                <w:bCs w:val="0"/>
              </w:rPr>
            </w:pPr>
            <w:r>
              <w:t>Design</w:t>
            </w:r>
          </w:p>
          <w:p w14:paraId="07ADC720" w14:textId="77777777" w:rsidR="006B21F5" w:rsidRDefault="006B21F5" w:rsidP="000D06E9">
            <w:pPr>
              <w:pStyle w:val="TableText"/>
              <w:spacing w:before="120"/>
              <w:rPr>
                <w:b w:val="0"/>
                <w:bCs w:val="0"/>
              </w:rPr>
            </w:pPr>
            <w:r>
              <w:t>Decision making</w:t>
            </w:r>
          </w:p>
          <w:p w14:paraId="26282C33" w14:textId="707965FE" w:rsidR="006B21F5" w:rsidRPr="00B00C14" w:rsidRDefault="006B21F5" w:rsidP="000D06E9">
            <w:pPr>
              <w:pStyle w:val="TableText"/>
              <w:spacing w:before="120"/>
              <w:rPr>
                <w:b w:val="0"/>
                <w:bCs w:val="0"/>
              </w:rPr>
            </w:pPr>
            <w:r>
              <w:t>Evaluation translation</w:t>
            </w:r>
          </w:p>
        </w:tc>
        <w:tc>
          <w:tcPr>
            <w:tcW w:w="10709" w:type="dxa"/>
          </w:tcPr>
          <w:p w14:paraId="503012E1" w14:textId="77777777" w:rsidR="006B21F5" w:rsidRPr="00D10569" w:rsidRDefault="006B21F5" w:rsidP="00D10569">
            <w:pPr>
              <w:pStyle w:val="TableBullet"/>
              <w:spacing w:before="120"/>
              <w:cnfStyle w:val="000000000000" w:firstRow="0" w:lastRow="0" w:firstColumn="0" w:lastColumn="0" w:oddVBand="0" w:evenVBand="0" w:oddHBand="0" w:evenHBand="0" w:firstRowFirstColumn="0" w:firstRowLastColumn="0" w:lastRowFirstColumn="0" w:lastRowLastColumn="0"/>
            </w:pPr>
            <w:r w:rsidRPr="00D10569">
              <w:t>Communicate the need for evaluation evidence to be used to inform program design and decision making</w:t>
            </w:r>
          </w:p>
          <w:p w14:paraId="5F51235E" w14:textId="77777777"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Determine appropriate policy or governance requirements that support sharing and using evaluation evidence with relevant internal and external stakeholders</w:t>
            </w:r>
          </w:p>
          <w:p w14:paraId="3FD6EAAD" w14:textId="46C6C0FD"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Identify knowledge brokering approaches that build relationships with the research community outside of government</w:t>
            </w:r>
          </w:p>
        </w:tc>
      </w:tr>
    </w:tbl>
    <w:p w14:paraId="658B4DFE" w14:textId="77777777" w:rsidR="006B21F5" w:rsidRDefault="006B21F5" w:rsidP="006B21F5"/>
    <w:tbl>
      <w:tblPr>
        <w:tblStyle w:val="GridTable1Light-Accent2"/>
        <w:tblW w:w="4999" w:type="pct"/>
        <w:tblLook w:val="04A0" w:firstRow="1" w:lastRow="0" w:firstColumn="1" w:lastColumn="0" w:noHBand="0" w:noVBand="1"/>
      </w:tblPr>
      <w:tblGrid>
        <w:gridCol w:w="2716"/>
        <w:gridCol w:w="10709"/>
      </w:tblGrid>
      <w:tr w:rsidR="006B21F5" w14:paraId="2A6389A1" w14:textId="77777777" w:rsidTr="009D52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16" w:type="dxa"/>
            <w:shd w:val="clear" w:color="auto" w:fill="EEEEEE" w:themeFill="background2"/>
          </w:tcPr>
          <w:p w14:paraId="5E516F37" w14:textId="77777777" w:rsidR="006B21F5" w:rsidRPr="00230FA4" w:rsidRDefault="006B21F5" w:rsidP="00DA6781">
            <w:pPr>
              <w:pStyle w:val="Tableheading"/>
              <w:jc w:val="left"/>
              <w:rPr>
                <w:b/>
              </w:rPr>
            </w:pPr>
            <w:r w:rsidRPr="00230FA4">
              <w:rPr>
                <w:b/>
              </w:rPr>
              <w:t>Dimension</w:t>
            </w:r>
          </w:p>
        </w:tc>
        <w:tc>
          <w:tcPr>
            <w:tcW w:w="10709" w:type="dxa"/>
            <w:shd w:val="clear" w:color="auto" w:fill="EEEEEE" w:themeFill="background2"/>
          </w:tcPr>
          <w:p w14:paraId="108A72D2" w14:textId="77777777" w:rsidR="006B21F5" w:rsidRPr="00230FA4" w:rsidRDefault="006B21F5" w:rsidP="00DA6781">
            <w:pPr>
              <w:pStyle w:val="Tableheading"/>
              <w:jc w:val="left"/>
              <w:cnfStyle w:val="100000000000" w:firstRow="1" w:lastRow="0" w:firstColumn="0" w:lastColumn="0" w:oddVBand="0" w:evenVBand="0" w:oddHBand="0" w:evenHBand="0" w:firstRowFirstColumn="0" w:firstRowLastColumn="0" w:lastRowFirstColumn="0" w:lastRowLastColumn="0"/>
              <w:rPr>
                <w:b/>
              </w:rPr>
            </w:pPr>
            <w:r>
              <w:rPr>
                <w:b/>
              </w:rPr>
              <w:t>Operational</w:t>
            </w:r>
            <w:r w:rsidRPr="00230FA4">
              <w:rPr>
                <w:b/>
              </w:rPr>
              <w:t xml:space="preserve"> </w:t>
            </w:r>
            <w:r>
              <w:rPr>
                <w:b/>
              </w:rPr>
              <w:t>actions</w:t>
            </w:r>
          </w:p>
        </w:tc>
      </w:tr>
      <w:tr w:rsidR="006B21F5" w14:paraId="110B3F6A" w14:textId="77777777" w:rsidTr="006B21F5">
        <w:tc>
          <w:tcPr>
            <w:cnfStyle w:val="001000000000" w:firstRow="0" w:lastRow="0" w:firstColumn="1" w:lastColumn="0" w:oddVBand="0" w:evenVBand="0" w:oddHBand="0" w:evenHBand="0" w:firstRowFirstColumn="0" w:firstRowLastColumn="0" w:lastRowFirstColumn="0" w:lastRowLastColumn="0"/>
            <w:tcW w:w="2716" w:type="dxa"/>
          </w:tcPr>
          <w:p w14:paraId="67C89B59" w14:textId="77777777" w:rsidR="006B21F5" w:rsidRDefault="006B21F5" w:rsidP="00DA6781">
            <w:pPr>
              <w:pStyle w:val="TableText"/>
              <w:rPr>
                <w:bCs w:val="0"/>
              </w:rPr>
            </w:pPr>
            <w:r>
              <w:t>Design</w:t>
            </w:r>
          </w:p>
          <w:p w14:paraId="47A3A6D3" w14:textId="7EF7B8F6" w:rsidR="006B21F5" w:rsidRPr="009F5996" w:rsidRDefault="006B21F5" w:rsidP="00AA0F1D">
            <w:pPr>
              <w:rPr>
                <w:b w:val="0"/>
                <w:bCs w:val="0"/>
              </w:rPr>
            </w:pPr>
          </w:p>
        </w:tc>
        <w:tc>
          <w:tcPr>
            <w:tcW w:w="10709" w:type="dxa"/>
          </w:tcPr>
          <w:p w14:paraId="6A59B30A" w14:textId="32CE610B" w:rsidR="006B21F5" w:rsidRPr="00D10569" w:rsidRDefault="006B21F5" w:rsidP="00D10569">
            <w:pPr>
              <w:pStyle w:val="TableBullet"/>
              <w:spacing w:before="120"/>
              <w:cnfStyle w:val="000000000000" w:firstRow="0" w:lastRow="0" w:firstColumn="0" w:lastColumn="0" w:oddVBand="0" w:evenVBand="0" w:oddHBand="0" w:evenHBand="0" w:firstRowFirstColumn="0" w:firstRowLastColumn="0" w:lastRowFirstColumn="0" w:lastRowLastColumn="0"/>
            </w:pPr>
            <w:r w:rsidRPr="00D10569">
              <w:t>Establish requirements for all staff to use evaluation evidence (where possible) to inform program design</w:t>
            </w:r>
          </w:p>
          <w:p w14:paraId="538E6641" w14:textId="597B79E3"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Deliver training to policy and program staff to demonstrate how evaluation evidence can be used to inform design, and to help staff assess the quality and relevance of evaluation evidence for their policy problem</w:t>
            </w:r>
          </w:p>
          <w:p w14:paraId="4A148A52" w14:textId="776BA395"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Share insights internally (and externally where appropriate) to build a culture of transparency and improvement.</w:t>
            </w:r>
          </w:p>
        </w:tc>
      </w:tr>
      <w:tr w:rsidR="006B21F5" w14:paraId="5C6C2B35" w14:textId="77777777" w:rsidTr="006B21F5">
        <w:tc>
          <w:tcPr>
            <w:cnfStyle w:val="001000000000" w:firstRow="0" w:lastRow="0" w:firstColumn="1" w:lastColumn="0" w:oddVBand="0" w:evenVBand="0" w:oddHBand="0" w:evenHBand="0" w:firstRowFirstColumn="0" w:firstRowLastColumn="0" w:lastRowFirstColumn="0" w:lastRowLastColumn="0"/>
            <w:tcW w:w="2716" w:type="dxa"/>
          </w:tcPr>
          <w:p w14:paraId="778C6DE4" w14:textId="0E358A14" w:rsidR="006B21F5" w:rsidRDefault="006B21F5" w:rsidP="00E96FD8">
            <w:pPr>
              <w:pStyle w:val="TableText"/>
              <w:rPr>
                <w:b w:val="0"/>
                <w:bCs w:val="0"/>
              </w:rPr>
            </w:pPr>
            <w:r>
              <w:t>Decision making</w:t>
            </w:r>
          </w:p>
          <w:p w14:paraId="6160C05B" w14:textId="77777777" w:rsidR="006B21F5" w:rsidRPr="004D567D" w:rsidRDefault="006B21F5" w:rsidP="00AA0F1D">
            <w:pPr>
              <w:rPr>
                <w:b w:val="0"/>
                <w:bCs w:val="0"/>
              </w:rPr>
            </w:pPr>
          </w:p>
        </w:tc>
        <w:tc>
          <w:tcPr>
            <w:tcW w:w="10709" w:type="dxa"/>
          </w:tcPr>
          <w:p w14:paraId="2E70487D" w14:textId="77777777" w:rsidR="006B21F5" w:rsidRPr="00D10569" w:rsidRDefault="006B21F5" w:rsidP="00D10569">
            <w:pPr>
              <w:pStyle w:val="TableBullet"/>
              <w:spacing w:before="120"/>
              <w:cnfStyle w:val="000000000000" w:firstRow="0" w:lastRow="0" w:firstColumn="0" w:lastColumn="0" w:oddVBand="0" w:evenVBand="0" w:oddHBand="0" w:evenHBand="0" w:firstRowFirstColumn="0" w:firstRowLastColumn="0" w:lastRowFirstColumn="0" w:lastRowLastColumn="0"/>
            </w:pPr>
            <w:r w:rsidRPr="00D10569">
              <w:t>Consistently share evaluations with decision makers</w:t>
            </w:r>
          </w:p>
          <w:p w14:paraId="1591151B" w14:textId="1B4D3E33"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Communicate evaluation findings to leaders, including ministerial offices</w:t>
            </w:r>
          </w:p>
          <w:p w14:paraId="75471029" w14:textId="5917F68E"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Establish an internal evaluation portal where staff and leaders can access evaluation evidence to support decision making</w:t>
            </w:r>
          </w:p>
          <w:p w14:paraId="17882124" w14:textId="67837CA3"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 xml:space="preserve">Engage leaders in evaluation from the beginning, providing progress updates on key findings and recommendations </w:t>
            </w:r>
          </w:p>
        </w:tc>
      </w:tr>
      <w:tr w:rsidR="006B21F5" w14:paraId="71718E4C" w14:textId="77777777" w:rsidTr="006B21F5">
        <w:tc>
          <w:tcPr>
            <w:cnfStyle w:val="001000000000" w:firstRow="0" w:lastRow="0" w:firstColumn="1" w:lastColumn="0" w:oddVBand="0" w:evenVBand="0" w:oddHBand="0" w:evenHBand="0" w:firstRowFirstColumn="0" w:firstRowLastColumn="0" w:lastRowFirstColumn="0" w:lastRowLastColumn="0"/>
            <w:tcW w:w="2716" w:type="dxa"/>
          </w:tcPr>
          <w:p w14:paraId="3CC274E2" w14:textId="0EF81C82" w:rsidR="006B21F5" w:rsidRDefault="006B21F5" w:rsidP="00863A5C">
            <w:pPr>
              <w:pStyle w:val="TableText"/>
              <w:keepNext/>
              <w:keepLines/>
            </w:pPr>
            <w:r>
              <w:lastRenderedPageBreak/>
              <w:t>Evidence translation</w:t>
            </w:r>
          </w:p>
        </w:tc>
        <w:tc>
          <w:tcPr>
            <w:tcW w:w="10709" w:type="dxa"/>
          </w:tcPr>
          <w:p w14:paraId="33F36095" w14:textId="77777777" w:rsidR="00571953" w:rsidRPr="00D10569" w:rsidRDefault="006B21F5" w:rsidP="00D10569">
            <w:pPr>
              <w:pStyle w:val="TableBullet"/>
              <w:spacing w:before="120"/>
              <w:cnfStyle w:val="000000000000" w:firstRow="0" w:lastRow="0" w:firstColumn="0" w:lastColumn="0" w:oddVBand="0" w:evenVBand="0" w:oddHBand="0" w:evenHBand="0" w:firstRowFirstColumn="0" w:firstRowLastColumn="0" w:lastRowFirstColumn="0" w:lastRowLastColumn="0"/>
            </w:pPr>
            <w:r w:rsidRPr="00D10569">
              <w:t>Build strong partnerships with external stakeholders including research institutes and academics to share and utilise relevant evidence</w:t>
            </w:r>
          </w:p>
          <w:p w14:paraId="0D1BF45F" w14:textId="718C71B7"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 xml:space="preserve">Contribute to the </w:t>
            </w:r>
            <w:hyperlink r:id="rId13" w:history="1">
              <w:r w:rsidRPr="00D10569">
                <w:rPr>
                  <w:rStyle w:val="Hyperlink"/>
                </w:rPr>
                <w:t>Australian Policy Online</w:t>
              </w:r>
            </w:hyperlink>
            <w:r w:rsidRPr="00D10569">
              <w:t xml:space="preserve"> (APO) evaluation library by making evaluation reports publicly available </w:t>
            </w:r>
          </w:p>
          <w:p w14:paraId="4027A04A" w14:textId="6BB3A8EE"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 xml:space="preserve">Establish governance or advisory groups with policy and research stakeholders to ensure the utilisation and translation of evidence </w:t>
            </w:r>
          </w:p>
          <w:p w14:paraId="10DC2EA5" w14:textId="77777777"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Identify requirements to publish evaluation online as a default</w:t>
            </w:r>
          </w:p>
          <w:p w14:paraId="1312A281" w14:textId="77777777"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 xml:space="preserve">Work with key stakeholders to frequently share evaluation findings </w:t>
            </w:r>
          </w:p>
          <w:p w14:paraId="0B26FAD6" w14:textId="046F55AD" w:rsidR="006B21F5" w:rsidRPr="00D10569" w:rsidRDefault="006B21F5" w:rsidP="00D10569">
            <w:pPr>
              <w:pStyle w:val="TableBullet"/>
              <w:cnfStyle w:val="000000000000" w:firstRow="0" w:lastRow="0" w:firstColumn="0" w:lastColumn="0" w:oddVBand="0" w:evenVBand="0" w:oddHBand="0" w:evenHBand="0" w:firstRowFirstColumn="0" w:firstRowLastColumn="0" w:lastRowFirstColumn="0" w:lastRowLastColumn="0"/>
            </w:pPr>
            <w:r w:rsidRPr="00D10569">
              <w:t>Regularly update agency evaluation homepage and/or newsletters with recent reports</w:t>
            </w:r>
          </w:p>
        </w:tc>
      </w:tr>
    </w:tbl>
    <w:p w14:paraId="2339143A" w14:textId="77777777" w:rsidR="00757A35" w:rsidRDefault="00757A35" w:rsidP="00757A35">
      <w:pPr>
        <w:pStyle w:val="Bullet"/>
        <w:numPr>
          <w:ilvl w:val="0"/>
          <w:numId w:val="0"/>
        </w:numPr>
        <w:ind w:left="520" w:hanging="520"/>
      </w:pPr>
    </w:p>
    <w:p w14:paraId="5976CBB9" w14:textId="5CB46675" w:rsidR="002143B8" w:rsidRPr="002143B8" w:rsidRDefault="002143B8" w:rsidP="004449FB">
      <w:pPr>
        <w:spacing w:before="0" w:after="0"/>
        <w:sectPr w:rsidR="002143B8" w:rsidRPr="002143B8" w:rsidSect="00BF3274">
          <w:headerReference w:type="first" r:id="rId14"/>
          <w:footerReference w:type="first" r:id="rId15"/>
          <w:pgSz w:w="16840" w:h="11907" w:orient="landscape" w:code="9"/>
          <w:pgMar w:top="1701" w:right="1701" w:bottom="1701" w:left="1701" w:header="567" w:footer="425" w:gutter="0"/>
          <w:cols w:space="340"/>
          <w:titlePg/>
          <w:docGrid w:linePitch="360"/>
        </w:sectPr>
      </w:pPr>
    </w:p>
    <w:p w14:paraId="352053F7" w14:textId="62DC51DA" w:rsidR="00D4320E" w:rsidRPr="006A0FBD" w:rsidRDefault="00D4320E" w:rsidP="00D4320E">
      <w:pPr>
        <w:pStyle w:val="Heading2"/>
      </w:pPr>
      <w:bookmarkStart w:id="16" w:name="_Toc204251130"/>
      <w:r>
        <w:rPr>
          <w:rStyle w:val="Heading2Char"/>
        </w:rPr>
        <w:lastRenderedPageBreak/>
        <w:t xml:space="preserve">Appendix </w:t>
      </w:r>
      <w:r w:rsidR="00E85171">
        <w:rPr>
          <w:rStyle w:val="Heading2Char"/>
        </w:rPr>
        <w:t>A</w:t>
      </w:r>
      <w:r>
        <w:rPr>
          <w:rStyle w:val="Heading2Char"/>
        </w:rPr>
        <w:t xml:space="preserve">: </w:t>
      </w:r>
      <w:r w:rsidRPr="006A0FBD">
        <w:rPr>
          <w:rStyle w:val="Heading2Char"/>
        </w:rPr>
        <w:t>Evaluation Maturity Action Plan template</w:t>
      </w:r>
      <w:bookmarkEnd w:id="16"/>
    </w:p>
    <w:p w14:paraId="3441FB34" w14:textId="4D351C47" w:rsidR="00D4320E" w:rsidRDefault="00D4320E" w:rsidP="00D02911">
      <w:r w:rsidRPr="00E73752">
        <w:t xml:space="preserve">Use the </w:t>
      </w:r>
      <w:r w:rsidRPr="00D02911">
        <w:t>action</w:t>
      </w:r>
      <w:r w:rsidRPr="00E73752">
        <w:t xml:space="preserve"> plan template to identify what the top three priorities are for your evaluation maturity action plan</w:t>
      </w:r>
      <w:r>
        <w:t>. Use your evaluation maturity results, your agency</w:t>
      </w:r>
      <w:r w:rsidR="00A42575">
        <w:t>’</w:t>
      </w:r>
      <w:r>
        <w:t>s corporate, annual and strategic plans and other relevant information to identify the three highest priorities.</w:t>
      </w:r>
    </w:p>
    <w:p w14:paraId="0596392D" w14:textId="22820B0D" w:rsidR="00D4320E" w:rsidRPr="00B2692C" w:rsidRDefault="00D4320E" w:rsidP="00D02911">
      <w:pPr>
        <w:pStyle w:val="Heading3"/>
        <w:rPr>
          <w:i/>
          <w:iCs/>
        </w:rPr>
      </w:pPr>
      <w:r w:rsidRPr="00B2692C">
        <w:t> </w:t>
      </w:r>
      <w:r w:rsidRPr="00023BBB">
        <w:t xml:space="preserve">Table </w:t>
      </w:r>
      <w:r w:rsidRPr="00023BBB">
        <w:rPr>
          <w:i/>
          <w:iCs/>
        </w:rPr>
        <w:fldChar w:fldCharType="begin"/>
      </w:r>
      <w:r w:rsidRPr="00023BBB">
        <w:instrText xml:space="preserve"> SEQ Table \* ARABIC </w:instrText>
      </w:r>
      <w:r w:rsidRPr="00023BBB">
        <w:rPr>
          <w:i/>
          <w:iCs/>
        </w:rPr>
        <w:fldChar w:fldCharType="separate"/>
      </w:r>
      <w:r w:rsidR="00742BCB">
        <w:rPr>
          <w:noProof/>
        </w:rPr>
        <w:t>1</w:t>
      </w:r>
      <w:r w:rsidRPr="00023BBB">
        <w:rPr>
          <w:i/>
          <w:iCs/>
        </w:rPr>
        <w:fldChar w:fldCharType="end"/>
      </w:r>
      <w:r w:rsidRPr="00023BBB">
        <w:t xml:space="preserve">: </w:t>
      </w:r>
      <w:r w:rsidR="00D4232F">
        <w:t>A</w:t>
      </w:r>
      <w:r w:rsidRPr="00023BBB">
        <w:t>ction plan template example</w:t>
      </w:r>
    </w:p>
    <w:tbl>
      <w:tblPr>
        <w:tblStyle w:val="GridTable2-Accent2"/>
        <w:tblW w:w="5002" w:type="pct"/>
        <w:tblLook w:val="04A0" w:firstRow="1" w:lastRow="0" w:firstColumn="1" w:lastColumn="0" w:noHBand="0" w:noVBand="1"/>
      </w:tblPr>
      <w:tblGrid>
        <w:gridCol w:w="1423"/>
        <w:gridCol w:w="1322"/>
        <w:gridCol w:w="1554"/>
        <w:gridCol w:w="1870"/>
        <w:gridCol w:w="1799"/>
        <w:gridCol w:w="1944"/>
        <w:gridCol w:w="1902"/>
        <w:gridCol w:w="1627"/>
      </w:tblGrid>
      <w:tr w:rsidR="00584BF0" w14:paraId="52D15C0A" w14:textId="77777777" w:rsidTr="00584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shd w:val="clear" w:color="auto" w:fill="EEEEEE" w:themeFill="background2"/>
          </w:tcPr>
          <w:p w14:paraId="450FB95A" w14:textId="77777777" w:rsidR="00584BF0" w:rsidRDefault="00584BF0" w:rsidP="00D02911">
            <w:pPr>
              <w:pStyle w:val="TableText"/>
            </w:pPr>
          </w:p>
        </w:tc>
        <w:tc>
          <w:tcPr>
            <w:tcW w:w="1322" w:type="dxa"/>
            <w:shd w:val="clear" w:color="auto" w:fill="EEEEEE" w:themeFill="background2"/>
          </w:tcPr>
          <w:p w14:paraId="0746791B" w14:textId="796D0894" w:rsidR="00584BF0" w:rsidRPr="00356CFD" w:rsidRDefault="00584BF0" w:rsidP="00D02911">
            <w:pPr>
              <w:pStyle w:val="Tabletext0"/>
              <w:cnfStyle w:val="100000000000" w:firstRow="1" w:lastRow="0" w:firstColumn="0" w:lastColumn="0" w:oddVBand="0" w:evenVBand="0" w:oddHBand="0" w:evenHBand="0" w:firstRowFirstColumn="0" w:firstRowLastColumn="0" w:lastRowFirstColumn="0" w:lastRowLastColumn="0"/>
            </w:pPr>
            <w:r w:rsidRPr="00D02911">
              <w:rPr>
                <w:bCs w:val="0"/>
              </w:rPr>
              <w:t>Priority action</w:t>
            </w:r>
          </w:p>
        </w:tc>
        <w:tc>
          <w:tcPr>
            <w:tcW w:w="1554" w:type="dxa"/>
            <w:shd w:val="clear" w:color="auto" w:fill="EEEEEE" w:themeFill="background2"/>
          </w:tcPr>
          <w:p w14:paraId="35A0B842" w14:textId="37A4ED21" w:rsidR="00584BF0" w:rsidRPr="00356CFD" w:rsidRDefault="00584BF0" w:rsidP="00D02911">
            <w:pPr>
              <w:pStyle w:val="Tabletext0"/>
              <w:cnfStyle w:val="100000000000" w:firstRow="1" w:lastRow="0" w:firstColumn="0" w:lastColumn="0" w:oddVBand="0" w:evenVBand="0" w:oddHBand="0" w:evenHBand="0" w:firstRowFirstColumn="0" w:firstRowLastColumn="0" w:lastRowFirstColumn="0" w:lastRowLastColumn="0"/>
            </w:pPr>
            <w:r>
              <w:rPr>
                <w:b w:val="0"/>
              </w:rPr>
              <w:t>J</w:t>
            </w:r>
            <w:r w:rsidRPr="00D02911">
              <w:rPr>
                <w:bCs w:val="0"/>
              </w:rPr>
              <w:t>ustification</w:t>
            </w:r>
          </w:p>
        </w:tc>
        <w:tc>
          <w:tcPr>
            <w:tcW w:w="1870" w:type="dxa"/>
            <w:shd w:val="clear" w:color="auto" w:fill="EEEEEE" w:themeFill="background2"/>
          </w:tcPr>
          <w:p w14:paraId="71C97F56" w14:textId="25297A88" w:rsidR="00584BF0" w:rsidRPr="00356CFD" w:rsidRDefault="00584BF0" w:rsidP="00D02911">
            <w:pPr>
              <w:pStyle w:val="Tabletext0"/>
              <w:cnfStyle w:val="100000000000" w:firstRow="1" w:lastRow="0" w:firstColumn="0" w:lastColumn="0" w:oddVBand="0" w:evenVBand="0" w:oddHBand="0" w:evenHBand="0" w:firstRowFirstColumn="0" w:firstRowLastColumn="0" w:lastRowFirstColumn="0" w:lastRowLastColumn="0"/>
            </w:pPr>
            <w:r w:rsidRPr="00D02911">
              <w:rPr>
                <w:bCs w:val="0"/>
              </w:rPr>
              <w:t>Activities</w:t>
            </w:r>
          </w:p>
        </w:tc>
        <w:tc>
          <w:tcPr>
            <w:tcW w:w="1799" w:type="dxa"/>
            <w:shd w:val="clear" w:color="auto" w:fill="EEEEEE" w:themeFill="background2"/>
          </w:tcPr>
          <w:p w14:paraId="5A26EB65" w14:textId="789C4E77" w:rsidR="00584BF0" w:rsidRPr="00356CFD" w:rsidRDefault="00584BF0" w:rsidP="00D02911">
            <w:pPr>
              <w:pStyle w:val="Tabletext0"/>
              <w:cnfStyle w:val="100000000000" w:firstRow="1" w:lastRow="0" w:firstColumn="0" w:lastColumn="0" w:oddVBand="0" w:evenVBand="0" w:oddHBand="0" w:evenHBand="0" w:firstRowFirstColumn="0" w:firstRowLastColumn="0" w:lastRowFirstColumn="0" w:lastRowLastColumn="0"/>
            </w:pPr>
            <w:r w:rsidRPr="00D02911">
              <w:rPr>
                <w:bCs w:val="0"/>
              </w:rPr>
              <w:t>Resources</w:t>
            </w:r>
          </w:p>
        </w:tc>
        <w:tc>
          <w:tcPr>
            <w:tcW w:w="1944" w:type="dxa"/>
            <w:shd w:val="clear" w:color="auto" w:fill="EEEEEE" w:themeFill="background2"/>
          </w:tcPr>
          <w:p w14:paraId="222163ED" w14:textId="611D3765" w:rsidR="00584BF0" w:rsidRPr="00356CFD" w:rsidRDefault="00584BF0" w:rsidP="00D02911">
            <w:pPr>
              <w:pStyle w:val="Tabletext0"/>
              <w:cnfStyle w:val="100000000000" w:firstRow="1" w:lastRow="0" w:firstColumn="0" w:lastColumn="0" w:oddVBand="0" w:evenVBand="0" w:oddHBand="0" w:evenHBand="0" w:firstRowFirstColumn="0" w:firstRowLastColumn="0" w:lastRowFirstColumn="0" w:lastRowLastColumn="0"/>
            </w:pPr>
            <w:r w:rsidRPr="00D02911">
              <w:rPr>
                <w:bCs w:val="0"/>
              </w:rPr>
              <w:t>Whom</w:t>
            </w:r>
          </w:p>
        </w:tc>
        <w:tc>
          <w:tcPr>
            <w:tcW w:w="1902" w:type="dxa"/>
            <w:shd w:val="clear" w:color="auto" w:fill="EEEEEE" w:themeFill="background2"/>
          </w:tcPr>
          <w:p w14:paraId="76033397" w14:textId="1F7DEA91" w:rsidR="00584BF0" w:rsidRPr="00356CFD" w:rsidRDefault="00584BF0" w:rsidP="00D02911">
            <w:pPr>
              <w:pStyle w:val="Tabletext0"/>
              <w:cnfStyle w:val="100000000000" w:firstRow="1" w:lastRow="0" w:firstColumn="0" w:lastColumn="0" w:oddVBand="0" w:evenVBand="0" w:oddHBand="0" w:evenHBand="0" w:firstRowFirstColumn="0" w:firstRowLastColumn="0" w:lastRowFirstColumn="0" w:lastRowLastColumn="0"/>
            </w:pPr>
            <w:r w:rsidRPr="00D02911">
              <w:rPr>
                <w:bCs w:val="0"/>
              </w:rPr>
              <w:t>Timeframe</w:t>
            </w:r>
          </w:p>
        </w:tc>
        <w:tc>
          <w:tcPr>
            <w:tcW w:w="1627" w:type="dxa"/>
            <w:shd w:val="clear" w:color="auto" w:fill="EEEEEE" w:themeFill="background2"/>
          </w:tcPr>
          <w:p w14:paraId="73DF2668" w14:textId="171F9528" w:rsidR="00584BF0" w:rsidRPr="00356CFD" w:rsidRDefault="00584BF0" w:rsidP="00D02911">
            <w:pPr>
              <w:pStyle w:val="Tabletext0"/>
              <w:cnfStyle w:val="100000000000" w:firstRow="1" w:lastRow="0" w:firstColumn="0" w:lastColumn="0" w:oddVBand="0" w:evenVBand="0" w:oddHBand="0" w:evenHBand="0" w:firstRowFirstColumn="0" w:firstRowLastColumn="0" w:lastRowFirstColumn="0" w:lastRowLastColumn="0"/>
            </w:pPr>
            <w:r w:rsidRPr="00D02911">
              <w:rPr>
                <w:bCs w:val="0"/>
              </w:rPr>
              <w:t>Approval</w:t>
            </w:r>
          </w:p>
        </w:tc>
      </w:tr>
      <w:tr w:rsidR="0053228D" w14:paraId="11EA4F70" w14:textId="77777777" w:rsidTr="00584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3" w:type="dxa"/>
          </w:tcPr>
          <w:p w14:paraId="2DD9CFA0" w14:textId="0E060DE8" w:rsidR="00D4320E" w:rsidRPr="00BF6921" w:rsidRDefault="007D528A" w:rsidP="00D02911">
            <w:pPr>
              <w:pStyle w:val="TableText"/>
            </w:pPr>
            <w:r>
              <w:t>Guidance questions</w:t>
            </w:r>
          </w:p>
        </w:tc>
        <w:tc>
          <w:tcPr>
            <w:tcW w:w="1322" w:type="dxa"/>
          </w:tcPr>
          <w:p w14:paraId="17FF0159" w14:textId="77777777" w:rsidR="00D4320E" w:rsidRPr="00356CFD" w:rsidRDefault="00D4320E" w:rsidP="00D02911">
            <w:pPr>
              <w:pStyle w:val="Tabletext0"/>
              <w:cnfStyle w:val="000000100000" w:firstRow="0" w:lastRow="0" w:firstColumn="0" w:lastColumn="0" w:oddVBand="0" w:evenVBand="0" w:oddHBand="1" w:evenHBand="0" w:firstRowFirstColumn="0" w:firstRowLastColumn="0" w:lastRowFirstColumn="0" w:lastRowLastColumn="0"/>
            </w:pPr>
            <w:r w:rsidRPr="00356CFD">
              <w:t>What is the key action?</w:t>
            </w:r>
          </w:p>
        </w:tc>
        <w:tc>
          <w:tcPr>
            <w:tcW w:w="1554" w:type="dxa"/>
          </w:tcPr>
          <w:p w14:paraId="2CE36D1A" w14:textId="77777777" w:rsidR="00D4320E" w:rsidRPr="00356CFD" w:rsidRDefault="00D4320E" w:rsidP="00D02911">
            <w:pPr>
              <w:pStyle w:val="Tabletext0"/>
              <w:cnfStyle w:val="000000100000" w:firstRow="0" w:lastRow="0" w:firstColumn="0" w:lastColumn="0" w:oddVBand="0" w:evenVBand="0" w:oddHBand="1" w:evenHBand="0" w:firstRowFirstColumn="0" w:firstRowLastColumn="0" w:lastRowFirstColumn="0" w:lastRowLastColumn="0"/>
            </w:pPr>
            <w:r w:rsidRPr="00356CFD">
              <w:t>Why is it a priority?</w:t>
            </w:r>
          </w:p>
        </w:tc>
        <w:tc>
          <w:tcPr>
            <w:tcW w:w="1870" w:type="dxa"/>
          </w:tcPr>
          <w:p w14:paraId="2BDD5A02" w14:textId="47A03FDC" w:rsidR="0053228D" w:rsidRPr="00356CFD" w:rsidRDefault="00D4320E" w:rsidP="00D02911">
            <w:pPr>
              <w:pStyle w:val="Tabletext0"/>
              <w:cnfStyle w:val="000000100000" w:firstRow="0" w:lastRow="0" w:firstColumn="0" w:lastColumn="0" w:oddVBand="0" w:evenVBand="0" w:oddHBand="1" w:evenHBand="0" w:firstRowFirstColumn="0" w:firstRowLastColumn="0" w:lastRowFirstColumn="0" w:lastRowLastColumn="0"/>
            </w:pPr>
            <w:r w:rsidRPr="00356CFD">
              <w:t>What activities will be undertaken to achieve this?</w:t>
            </w:r>
          </w:p>
        </w:tc>
        <w:tc>
          <w:tcPr>
            <w:tcW w:w="1799" w:type="dxa"/>
          </w:tcPr>
          <w:p w14:paraId="65D2D737" w14:textId="77777777" w:rsidR="00D4320E" w:rsidRPr="00356CFD" w:rsidRDefault="00D4320E" w:rsidP="00D02911">
            <w:pPr>
              <w:pStyle w:val="Tabletext0"/>
              <w:cnfStyle w:val="000000100000" w:firstRow="0" w:lastRow="0" w:firstColumn="0" w:lastColumn="0" w:oddVBand="0" w:evenVBand="0" w:oddHBand="1" w:evenHBand="0" w:firstRowFirstColumn="0" w:firstRowLastColumn="0" w:lastRowFirstColumn="0" w:lastRowLastColumn="0"/>
            </w:pPr>
            <w:r w:rsidRPr="00356CFD">
              <w:t>What resources are required?</w:t>
            </w:r>
          </w:p>
        </w:tc>
        <w:tc>
          <w:tcPr>
            <w:tcW w:w="1944" w:type="dxa"/>
          </w:tcPr>
          <w:p w14:paraId="649746AC" w14:textId="77777777" w:rsidR="00D4320E" w:rsidRPr="00356CFD" w:rsidRDefault="00D4320E" w:rsidP="00D02911">
            <w:pPr>
              <w:pStyle w:val="Tabletext0"/>
              <w:cnfStyle w:val="000000100000" w:firstRow="0" w:lastRow="0" w:firstColumn="0" w:lastColumn="0" w:oddVBand="0" w:evenVBand="0" w:oddHBand="1" w:evenHBand="0" w:firstRowFirstColumn="0" w:firstRowLastColumn="0" w:lastRowFirstColumn="0" w:lastRowLastColumn="0"/>
            </w:pPr>
            <w:r w:rsidRPr="00356CFD">
              <w:t>Who is responsible for coordinating this action?</w:t>
            </w:r>
          </w:p>
        </w:tc>
        <w:tc>
          <w:tcPr>
            <w:tcW w:w="1902" w:type="dxa"/>
          </w:tcPr>
          <w:p w14:paraId="1A7F31B1" w14:textId="77777777" w:rsidR="00D4320E" w:rsidRPr="00356CFD" w:rsidRDefault="00D4320E" w:rsidP="00D02911">
            <w:pPr>
              <w:pStyle w:val="Tabletext0"/>
              <w:cnfStyle w:val="000000100000" w:firstRow="0" w:lastRow="0" w:firstColumn="0" w:lastColumn="0" w:oddVBand="0" w:evenVBand="0" w:oddHBand="1" w:evenHBand="0" w:firstRowFirstColumn="0" w:firstRowLastColumn="0" w:lastRowFirstColumn="0" w:lastRowLastColumn="0"/>
            </w:pPr>
            <w:r w:rsidRPr="00356CFD">
              <w:t>When will this action be achieved?</w:t>
            </w:r>
          </w:p>
        </w:tc>
        <w:tc>
          <w:tcPr>
            <w:tcW w:w="1627" w:type="dxa"/>
          </w:tcPr>
          <w:p w14:paraId="1CA21AC9" w14:textId="77777777" w:rsidR="00D4320E" w:rsidRPr="00356CFD" w:rsidRDefault="00D4320E" w:rsidP="00D02911">
            <w:pPr>
              <w:pStyle w:val="Tabletext0"/>
              <w:cnfStyle w:val="000000100000" w:firstRow="0" w:lastRow="0" w:firstColumn="0" w:lastColumn="0" w:oddVBand="0" w:evenVBand="0" w:oddHBand="1" w:evenHBand="0" w:firstRowFirstColumn="0" w:firstRowLastColumn="0" w:lastRowFirstColumn="0" w:lastRowLastColumn="0"/>
            </w:pPr>
            <w:r w:rsidRPr="00356CFD">
              <w:t>Which senior leader needs to approve this?</w:t>
            </w:r>
          </w:p>
        </w:tc>
      </w:tr>
      <w:tr w:rsidR="00D02911" w14:paraId="7AE9791B" w14:textId="77777777" w:rsidTr="00584BF0">
        <w:trPr>
          <w:trHeight w:val="1134"/>
        </w:trPr>
        <w:tc>
          <w:tcPr>
            <w:cnfStyle w:val="001000000000" w:firstRow="0" w:lastRow="0" w:firstColumn="1" w:lastColumn="0" w:oddVBand="0" w:evenVBand="0" w:oddHBand="0" w:evenHBand="0" w:firstRowFirstColumn="0" w:firstRowLastColumn="0" w:lastRowFirstColumn="0" w:lastRowLastColumn="0"/>
            <w:tcW w:w="1423" w:type="dxa"/>
          </w:tcPr>
          <w:p w14:paraId="649CD522" w14:textId="09E759DF" w:rsidR="00D02911" w:rsidRDefault="00D02911" w:rsidP="00D02911">
            <w:pPr>
              <w:pStyle w:val="TableText"/>
            </w:pPr>
            <w:r>
              <w:t>Priority 1</w:t>
            </w:r>
          </w:p>
        </w:tc>
        <w:tc>
          <w:tcPr>
            <w:tcW w:w="1322" w:type="dxa"/>
          </w:tcPr>
          <w:p w14:paraId="6FA964F2"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554" w:type="dxa"/>
          </w:tcPr>
          <w:p w14:paraId="509291D2"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870" w:type="dxa"/>
          </w:tcPr>
          <w:p w14:paraId="21F11383"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799" w:type="dxa"/>
          </w:tcPr>
          <w:p w14:paraId="3886437C"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944" w:type="dxa"/>
          </w:tcPr>
          <w:p w14:paraId="11D7BD0C"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902" w:type="dxa"/>
          </w:tcPr>
          <w:p w14:paraId="1C7C3666"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627" w:type="dxa"/>
          </w:tcPr>
          <w:p w14:paraId="643FB401"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r>
      <w:tr w:rsidR="00D02911" w14:paraId="68B00064" w14:textId="77777777" w:rsidTr="00584BF0">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1423" w:type="dxa"/>
          </w:tcPr>
          <w:p w14:paraId="445AAD3C" w14:textId="7A02D22F" w:rsidR="00D02911" w:rsidRDefault="00D02911" w:rsidP="00D02911">
            <w:pPr>
              <w:pStyle w:val="TableText"/>
            </w:pPr>
            <w:r>
              <w:t>Priority 2</w:t>
            </w:r>
          </w:p>
        </w:tc>
        <w:tc>
          <w:tcPr>
            <w:tcW w:w="1322" w:type="dxa"/>
          </w:tcPr>
          <w:p w14:paraId="65B4AE16" w14:textId="77777777" w:rsidR="00D02911" w:rsidRPr="00356CFD" w:rsidRDefault="00D02911" w:rsidP="00D02911">
            <w:pPr>
              <w:pStyle w:val="Tabletext0"/>
              <w:cnfStyle w:val="000000100000" w:firstRow="0" w:lastRow="0" w:firstColumn="0" w:lastColumn="0" w:oddVBand="0" w:evenVBand="0" w:oddHBand="1" w:evenHBand="0" w:firstRowFirstColumn="0" w:firstRowLastColumn="0" w:lastRowFirstColumn="0" w:lastRowLastColumn="0"/>
            </w:pPr>
          </w:p>
        </w:tc>
        <w:tc>
          <w:tcPr>
            <w:tcW w:w="1554" w:type="dxa"/>
          </w:tcPr>
          <w:p w14:paraId="5F877348" w14:textId="77777777" w:rsidR="00D02911" w:rsidRPr="00356CFD" w:rsidRDefault="00D02911" w:rsidP="00D02911">
            <w:pPr>
              <w:pStyle w:val="Tabletext0"/>
              <w:cnfStyle w:val="000000100000" w:firstRow="0" w:lastRow="0" w:firstColumn="0" w:lastColumn="0" w:oddVBand="0" w:evenVBand="0" w:oddHBand="1" w:evenHBand="0" w:firstRowFirstColumn="0" w:firstRowLastColumn="0" w:lastRowFirstColumn="0" w:lastRowLastColumn="0"/>
            </w:pPr>
          </w:p>
        </w:tc>
        <w:tc>
          <w:tcPr>
            <w:tcW w:w="1870" w:type="dxa"/>
          </w:tcPr>
          <w:p w14:paraId="6A5E8392" w14:textId="77777777" w:rsidR="00D02911" w:rsidRPr="00356CFD" w:rsidRDefault="00D02911" w:rsidP="00D02911">
            <w:pPr>
              <w:pStyle w:val="Tabletext0"/>
              <w:cnfStyle w:val="000000100000" w:firstRow="0" w:lastRow="0" w:firstColumn="0" w:lastColumn="0" w:oddVBand="0" w:evenVBand="0" w:oddHBand="1" w:evenHBand="0" w:firstRowFirstColumn="0" w:firstRowLastColumn="0" w:lastRowFirstColumn="0" w:lastRowLastColumn="0"/>
            </w:pPr>
          </w:p>
        </w:tc>
        <w:tc>
          <w:tcPr>
            <w:tcW w:w="1799" w:type="dxa"/>
          </w:tcPr>
          <w:p w14:paraId="46EA5FE4" w14:textId="77777777" w:rsidR="00D02911" w:rsidRPr="00356CFD" w:rsidRDefault="00D02911" w:rsidP="00D02911">
            <w:pPr>
              <w:pStyle w:val="Tabletext0"/>
              <w:cnfStyle w:val="000000100000" w:firstRow="0" w:lastRow="0" w:firstColumn="0" w:lastColumn="0" w:oddVBand="0" w:evenVBand="0" w:oddHBand="1" w:evenHBand="0" w:firstRowFirstColumn="0" w:firstRowLastColumn="0" w:lastRowFirstColumn="0" w:lastRowLastColumn="0"/>
            </w:pPr>
          </w:p>
        </w:tc>
        <w:tc>
          <w:tcPr>
            <w:tcW w:w="1944" w:type="dxa"/>
          </w:tcPr>
          <w:p w14:paraId="286D7E3A" w14:textId="77777777" w:rsidR="00D02911" w:rsidRPr="00356CFD" w:rsidRDefault="00D02911" w:rsidP="00D02911">
            <w:pPr>
              <w:pStyle w:val="Tabletext0"/>
              <w:cnfStyle w:val="000000100000" w:firstRow="0" w:lastRow="0" w:firstColumn="0" w:lastColumn="0" w:oddVBand="0" w:evenVBand="0" w:oddHBand="1" w:evenHBand="0" w:firstRowFirstColumn="0" w:firstRowLastColumn="0" w:lastRowFirstColumn="0" w:lastRowLastColumn="0"/>
            </w:pPr>
          </w:p>
        </w:tc>
        <w:tc>
          <w:tcPr>
            <w:tcW w:w="1902" w:type="dxa"/>
          </w:tcPr>
          <w:p w14:paraId="0B904D17" w14:textId="77777777" w:rsidR="00D02911" w:rsidRPr="00356CFD" w:rsidRDefault="00D02911" w:rsidP="00D02911">
            <w:pPr>
              <w:pStyle w:val="Tabletext0"/>
              <w:cnfStyle w:val="000000100000" w:firstRow="0" w:lastRow="0" w:firstColumn="0" w:lastColumn="0" w:oddVBand="0" w:evenVBand="0" w:oddHBand="1" w:evenHBand="0" w:firstRowFirstColumn="0" w:firstRowLastColumn="0" w:lastRowFirstColumn="0" w:lastRowLastColumn="0"/>
            </w:pPr>
          </w:p>
        </w:tc>
        <w:tc>
          <w:tcPr>
            <w:tcW w:w="1627" w:type="dxa"/>
          </w:tcPr>
          <w:p w14:paraId="39EA32EA" w14:textId="77777777" w:rsidR="00D02911" w:rsidRPr="00356CFD" w:rsidRDefault="00D02911" w:rsidP="00D02911">
            <w:pPr>
              <w:pStyle w:val="Tabletext0"/>
              <w:cnfStyle w:val="000000100000" w:firstRow="0" w:lastRow="0" w:firstColumn="0" w:lastColumn="0" w:oddVBand="0" w:evenVBand="0" w:oddHBand="1" w:evenHBand="0" w:firstRowFirstColumn="0" w:firstRowLastColumn="0" w:lastRowFirstColumn="0" w:lastRowLastColumn="0"/>
            </w:pPr>
          </w:p>
        </w:tc>
      </w:tr>
      <w:tr w:rsidR="00D02911" w14:paraId="44853400" w14:textId="77777777" w:rsidTr="00584BF0">
        <w:trPr>
          <w:trHeight w:val="1134"/>
        </w:trPr>
        <w:tc>
          <w:tcPr>
            <w:cnfStyle w:val="001000000000" w:firstRow="0" w:lastRow="0" w:firstColumn="1" w:lastColumn="0" w:oddVBand="0" w:evenVBand="0" w:oddHBand="0" w:evenHBand="0" w:firstRowFirstColumn="0" w:firstRowLastColumn="0" w:lastRowFirstColumn="0" w:lastRowLastColumn="0"/>
            <w:tcW w:w="1423" w:type="dxa"/>
          </w:tcPr>
          <w:p w14:paraId="6FD17C52" w14:textId="5FAD23DB" w:rsidR="00D02911" w:rsidRDefault="00D02911" w:rsidP="00D02911">
            <w:pPr>
              <w:pStyle w:val="TableText"/>
            </w:pPr>
            <w:r>
              <w:t>Priority 3</w:t>
            </w:r>
          </w:p>
        </w:tc>
        <w:tc>
          <w:tcPr>
            <w:tcW w:w="1322" w:type="dxa"/>
          </w:tcPr>
          <w:p w14:paraId="529B38FE"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554" w:type="dxa"/>
          </w:tcPr>
          <w:p w14:paraId="27E654FF"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870" w:type="dxa"/>
          </w:tcPr>
          <w:p w14:paraId="4A57839E"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799" w:type="dxa"/>
          </w:tcPr>
          <w:p w14:paraId="1A611B18"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944" w:type="dxa"/>
          </w:tcPr>
          <w:p w14:paraId="1A592144"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902" w:type="dxa"/>
          </w:tcPr>
          <w:p w14:paraId="685DF45C"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c>
          <w:tcPr>
            <w:tcW w:w="1627" w:type="dxa"/>
          </w:tcPr>
          <w:p w14:paraId="77745246" w14:textId="77777777" w:rsidR="00D02911" w:rsidRPr="00356CFD" w:rsidRDefault="00D02911" w:rsidP="00D02911">
            <w:pPr>
              <w:pStyle w:val="Tabletext0"/>
              <w:cnfStyle w:val="000000000000" w:firstRow="0" w:lastRow="0" w:firstColumn="0" w:lastColumn="0" w:oddVBand="0" w:evenVBand="0" w:oddHBand="0" w:evenHBand="0" w:firstRowFirstColumn="0" w:firstRowLastColumn="0" w:lastRowFirstColumn="0" w:lastRowLastColumn="0"/>
            </w:pPr>
          </w:p>
        </w:tc>
      </w:tr>
    </w:tbl>
    <w:p w14:paraId="70B6E589" w14:textId="77777777" w:rsidR="00D02911" w:rsidRPr="00D02911" w:rsidRDefault="00D02911" w:rsidP="00D02911">
      <w:bookmarkStart w:id="17" w:name="_Toc213149469"/>
      <w:r>
        <w:br w:type="page"/>
      </w:r>
    </w:p>
    <w:p w14:paraId="75A8A23D" w14:textId="58B69D21" w:rsidR="009F6DB7" w:rsidRDefault="009F6DB7" w:rsidP="009F6DB7">
      <w:pPr>
        <w:pStyle w:val="Heading2"/>
      </w:pPr>
      <w:r>
        <w:lastRenderedPageBreak/>
        <w:t xml:space="preserve">Appendix </w:t>
      </w:r>
      <w:r w:rsidR="00E85171">
        <w:t>B</w:t>
      </w:r>
      <w:r>
        <w:t>: Example approaches to action planning</w:t>
      </w:r>
      <w:bookmarkEnd w:id="17"/>
      <w:r>
        <w:t xml:space="preserve"> </w:t>
      </w:r>
    </w:p>
    <w:p w14:paraId="6164FA17" w14:textId="4A93A159" w:rsidR="009F6DB7" w:rsidRDefault="009F6DB7" w:rsidP="009F6DB7">
      <w:r>
        <w:t>From February to June</w:t>
      </w:r>
      <w:r w:rsidR="00581CD6">
        <w:t> </w:t>
      </w:r>
      <w:r>
        <w:t>2025, ten agencies piloted the Evaluation Maturity Model and came up with different approaches to develop action plans.</w:t>
      </w:r>
      <w:r w:rsidR="002230F7">
        <w:br/>
      </w:r>
      <w:r>
        <w:t>These approaches are outlined below and demonstrate how action planning can be undertaken in different ways depending on your context.</w:t>
      </w:r>
    </w:p>
    <w:p w14:paraId="280D30C7" w14:textId="4F3A2777" w:rsidR="00AC6906" w:rsidRPr="00A42575" w:rsidRDefault="00AC6906" w:rsidP="00A42575">
      <w:pPr>
        <w:pStyle w:val="Heading3"/>
      </w:pPr>
      <w:r w:rsidRPr="00B85D05">
        <w:t xml:space="preserve">Figure </w:t>
      </w:r>
      <w:r>
        <w:t>1</w:t>
      </w:r>
      <w:r w:rsidRPr="00B85D05">
        <w:t>: Different approaches to action planning</w:t>
      </w:r>
    </w:p>
    <w:p w14:paraId="2E589B5F" w14:textId="64CEAE00" w:rsidR="00194AA9" w:rsidRPr="00E73752" w:rsidRDefault="00B060C2" w:rsidP="00554FD2">
      <w:r w:rsidRPr="009267AE">
        <w:rPr>
          <w:noProof/>
        </w:rPr>
        <w:drawing>
          <wp:inline distT="0" distB="0" distL="0" distR="0" wp14:anchorId="5378FC77" wp14:editId="7CF35B7B">
            <wp:extent cx="8441915" cy="3926542"/>
            <wp:effectExtent l="0" t="0" r="0" b="0"/>
            <wp:docPr id="928433719" name="Picture 1" descr="This diagram maps out different approaches agencies have undertaken to develop an action plan. It aims to provide some ideas and inspiration for other teams who are undertaking the maturity model for the first time.&#10;The figure includes four headings at the top, from left to right these are ‘methods’, ‘process’, ‘deliverables’, ‘approval.’&#10;Horizontally, along the left-hand side of the diagram there are three rows under the headings that include ‘approach one’, ‘approach two’ and ‘approach three.’&#10;• Approach one starts by listing the methods undertaken: coordination team leads analysis of results and coordination team runs focus group discussions with teams&#10;• This then links to the process: Coordination team validates results and priorities with each team&#10;• Which then leads to the deliverable: Each team develops its own action plan&#10;• Which then finishes with the approval: Action plans are sent to senior leaders for endorsement&#10;Approach two and three follow the same linked logic.&#10;Approach two:&#10;• Method - Evaluation unit analyses the results and aligns results with agency strategic goals&#10;• Process - Eval unit identifies a list of actions aligned to maturity results&#10;• Deliverable – Eval unit develops an evaluation strategy with key maturity actions&#10;• Approval - Evaluation strategy is sent to senior leadership for endorsement&#10;Approach three:&#10;• Method - Evaluation unit analyses the results and aligns results with agency strategic goals&#10;• Process - Eval unit cross-checks the results with their existing action plan or strategy&#10;• Deliverable – Eval unit validates and adapts their action plan in line with maturity results&#10;• Approval - Revised action plan is sent to senior leadership for endorsemen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433719" name="Picture 1" descr="This diagram maps out different approaches agencies have undertaken to develop an action plan. It aims to provide some ideas and inspiration for other teams who are undertaking the maturity model for the first time.&#10;The figure includes four headings at the top, from left to right these are ‘methods’, ‘process’, ‘deliverables’, ‘approval.’&#10;Horizontally, along the left-hand side of the diagram there are three rows under the headings that include ‘approach one’, ‘approach two’ and ‘approach three.’&#10;• Approach one starts by listing the methods undertaken: coordination team leads analysis of results and coordination team runs focus group discussions with teams&#10;• This then links to the process: Coordination team validates results and priorities with each team&#10;• Which then leads to the deliverable: Each team develops its own action plan&#10;• Which then finishes with the approval: Action plans are sent to senior leaders for endorsement&#10;Approach two and three follow the same linked logic.&#10;Approach two:&#10;• Method - Evaluation unit analyses the results and aligns results with agency strategic goals&#10;• Process - Eval unit identifies a list of actions aligned to maturity results&#10;• Deliverable – Eval unit develops an evaluation strategy with key maturity actions&#10;• Approval - Evaluation strategy is sent to senior leadership for endorsement&#10;Approach three:&#10;• Method - Evaluation unit analyses the results and aligns results with agency strategic goals&#10;• Process - Eval unit cross-checks the results with their existing action plan or strategy&#10;• Deliverable – Eval unit validates and adapts their action plan in line with maturity results&#10;• Approval - Revised action plan is sent to senior leadership for endorsement&#10;&#10;"/>
                    <pic:cNvPicPr/>
                  </pic:nvPicPr>
                  <pic:blipFill>
                    <a:blip r:embed="rId16"/>
                    <a:stretch>
                      <a:fillRect/>
                    </a:stretch>
                  </pic:blipFill>
                  <pic:spPr>
                    <a:xfrm>
                      <a:off x="0" y="0"/>
                      <a:ext cx="8443545" cy="3927300"/>
                    </a:xfrm>
                    <a:prstGeom prst="rect">
                      <a:avLst/>
                    </a:prstGeom>
                  </pic:spPr>
                </pic:pic>
              </a:graphicData>
            </a:graphic>
          </wp:inline>
        </w:drawing>
      </w:r>
    </w:p>
    <w:sectPr w:rsidR="00194AA9" w:rsidRPr="00E73752" w:rsidSect="00C45A8E">
      <w:headerReference w:type="first" r:id="rId17"/>
      <w:pgSz w:w="16838" w:h="11906" w:orient="landscape"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FD11C" w14:textId="77777777" w:rsidR="003D3D4C" w:rsidRDefault="003D3D4C" w:rsidP="00886BC4">
      <w:r>
        <w:separator/>
      </w:r>
    </w:p>
    <w:p w14:paraId="3FC5D844" w14:textId="77777777" w:rsidR="003D3D4C" w:rsidRDefault="003D3D4C"/>
    <w:p w14:paraId="24069247" w14:textId="77777777" w:rsidR="003D3D4C" w:rsidRDefault="003D3D4C"/>
  </w:endnote>
  <w:endnote w:type="continuationSeparator" w:id="0">
    <w:p w14:paraId="7FC9880C" w14:textId="77777777" w:rsidR="003D3D4C" w:rsidRDefault="003D3D4C" w:rsidP="00886BC4">
      <w:r>
        <w:continuationSeparator/>
      </w:r>
    </w:p>
    <w:p w14:paraId="71752AE5" w14:textId="77777777" w:rsidR="003D3D4C" w:rsidRDefault="003D3D4C"/>
    <w:p w14:paraId="36FB7AD1" w14:textId="77777777" w:rsidR="003D3D4C" w:rsidRDefault="003D3D4C"/>
  </w:endnote>
  <w:endnote w:type="continuationNotice" w:id="1">
    <w:p w14:paraId="64530BE8" w14:textId="77777777" w:rsidR="003D3D4C" w:rsidRDefault="003D3D4C"/>
    <w:p w14:paraId="60FCABF4" w14:textId="77777777" w:rsidR="003D3D4C" w:rsidRDefault="003D3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6137" w14:textId="1A6D1507" w:rsidR="00DB1785" w:rsidRPr="00AD1C36" w:rsidRDefault="00AD1C36" w:rsidP="00BD599E">
    <w:pPr>
      <w:pStyle w:val="Footer"/>
      <w:tabs>
        <w:tab w:val="clear" w:pos="8640"/>
        <w:tab w:val="right" w:pos="13325"/>
      </w:tabs>
      <w:ind w:left="1021"/>
      <w:jc w:val="right"/>
    </w:pPr>
    <w:r w:rsidRPr="005A7C00">
      <w:rPr>
        <w:noProof/>
        <w:color w:val="FFFFFF" w:themeColor="background1"/>
      </w:rPr>
      <w:drawing>
        <wp:anchor distT="0" distB="0" distL="114300" distR="114300" simplePos="0" relativeHeight="251675658" behindDoc="1" locked="0" layoutInCell="1" allowOverlap="1" wp14:anchorId="152B061D" wp14:editId="28DA655C">
          <wp:simplePos x="0" y="0"/>
          <wp:positionH relativeFrom="column">
            <wp:posOffset>-1058545</wp:posOffset>
          </wp:positionH>
          <wp:positionV relativeFrom="paragraph">
            <wp:posOffset>-247650</wp:posOffset>
          </wp:positionV>
          <wp:extent cx="10652199" cy="824400"/>
          <wp:effectExtent l="0" t="0" r="0" b="0"/>
          <wp:wrapNone/>
          <wp:docPr id="211955802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58022"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2199" cy="824400"/>
                  </a:xfrm>
                  <a:prstGeom prst="rect">
                    <a:avLst/>
                  </a:prstGeom>
                </pic:spPr>
              </pic:pic>
            </a:graphicData>
          </a:graphic>
        </wp:anchor>
      </w:drawing>
    </w:r>
    <w:r w:rsidRPr="005A7C00">
      <w:rPr>
        <w:noProof/>
        <w:color w:val="FFFFFF" w:themeColor="background1"/>
      </w:rPr>
      <w:drawing>
        <wp:anchor distT="0" distB="0" distL="114300" distR="114300" simplePos="0" relativeHeight="251674634" behindDoc="1" locked="0" layoutInCell="1" allowOverlap="1" wp14:anchorId="52D2270E" wp14:editId="77F79E2C">
          <wp:simplePos x="0" y="0"/>
          <wp:positionH relativeFrom="page">
            <wp:align>right</wp:align>
          </wp:positionH>
          <wp:positionV relativeFrom="page">
            <wp:posOffset>9877425</wp:posOffset>
          </wp:positionV>
          <wp:extent cx="15116175" cy="824230"/>
          <wp:effectExtent l="0" t="0" r="0" b="0"/>
          <wp:wrapNone/>
          <wp:docPr id="283766304" name="Picture 283766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766304" name="Picture 28376630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116175" cy="824230"/>
                  </a:xfrm>
                  <a:prstGeom prst="rect">
                    <a:avLst/>
                  </a:prstGeom>
                </pic:spPr>
              </pic:pic>
            </a:graphicData>
          </a:graphic>
          <wp14:sizeRelH relativeFrom="margin">
            <wp14:pctWidth>0</wp14:pctWidth>
          </wp14:sizeRelH>
          <wp14:sizeRelV relativeFrom="margin">
            <wp14:pctHeight>0</wp14:pctHeight>
          </wp14:sizeRelV>
        </wp:anchor>
      </w:drawing>
    </w:r>
    <w:r w:rsidRPr="005A7C00">
      <w:rPr>
        <w:color w:val="FFFFFF" w:themeColor="background1"/>
      </w:rPr>
      <w:t>evaluation.treasury.gov.au</w:t>
    </w:r>
    <w:r>
      <w:rPr>
        <w:color w:val="FFFFFF" w:themeColor="background1"/>
      </w:rPr>
      <w:tab/>
    </w:r>
    <w:r>
      <w:rPr>
        <w:color w:val="FFFFFF" w:themeColor="background1"/>
      </w:rPr>
      <w:tab/>
    </w:r>
    <w:r w:rsidRPr="005A7C00">
      <w:rPr>
        <w:color w:val="FFFFFF" w:themeColor="background1"/>
      </w:rPr>
      <w:t xml:space="preserve">Last updated: </w:t>
    </w:r>
    <w:r w:rsidRPr="005A7C00">
      <w:rPr>
        <w:color w:val="FFFFFF" w:themeColor="background1"/>
      </w:rPr>
      <w:fldChar w:fldCharType="begin"/>
    </w:r>
    <w:r w:rsidRPr="005A7C00">
      <w:rPr>
        <w:color w:val="FFFFFF" w:themeColor="background1"/>
      </w:rPr>
      <w:instrText xml:space="preserve"> SAVEDATE  \@ "d MMMM yyyy"  \* MERGEFORMAT </w:instrText>
    </w:r>
    <w:r w:rsidRPr="005A7C00">
      <w:rPr>
        <w:color w:val="FFFFFF" w:themeColor="background1"/>
      </w:rPr>
      <w:fldChar w:fldCharType="separate"/>
    </w:r>
    <w:r w:rsidR="00E10B49">
      <w:rPr>
        <w:noProof/>
        <w:color w:val="FFFFFF" w:themeColor="background1"/>
      </w:rPr>
      <w:t>21 November 2025</w:t>
    </w:r>
    <w:r w:rsidRPr="005A7C00">
      <w:rPr>
        <w:color w:val="FFFFFF" w:themeColor="background1"/>
      </w:rPr>
      <w:fldChar w:fldCharType="end"/>
    </w:r>
    <w:r w:rsidRPr="005A7C00">
      <w:rPr>
        <w:color w:val="FFFFFF" w:themeColor="background1"/>
      </w:rPr>
      <w:t xml:space="preserve"> | </w:t>
    </w:r>
    <w:r w:rsidRPr="00E212F3">
      <w:rPr>
        <w:rStyle w:val="Strong"/>
      </w:rPr>
      <w:fldChar w:fldCharType="begin"/>
    </w:r>
    <w:r w:rsidRPr="00E212F3">
      <w:rPr>
        <w:rStyle w:val="Strong"/>
      </w:rPr>
      <w:instrText xml:space="preserve"> PAGE   \* MERGEFORMAT </w:instrText>
    </w:r>
    <w:r w:rsidRPr="00E212F3">
      <w:rPr>
        <w:rStyle w:val="Strong"/>
      </w:rPr>
      <w:fldChar w:fldCharType="separate"/>
    </w:r>
    <w:r w:rsidRPr="00E212F3">
      <w:rPr>
        <w:rStyle w:val="Strong"/>
      </w:rPr>
      <w:t>2</w:t>
    </w:r>
    <w:r w:rsidRPr="00E212F3">
      <w:rPr>
        <w:rStyle w:val="Stron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582C" w14:textId="2C7B4EBA" w:rsidR="00A15DB7" w:rsidRPr="00AD1C36" w:rsidRDefault="00AD1C36" w:rsidP="00347416">
    <w:pPr>
      <w:pStyle w:val="Footer"/>
      <w:tabs>
        <w:tab w:val="clear" w:pos="8640"/>
        <w:tab w:val="right" w:pos="13325"/>
      </w:tabs>
      <w:ind w:left="1021"/>
      <w:jc w:val="right"/>
    </w:pPr>
    <w:r w:rsidRPr="005A7C00">
      <w:rPr>
        <w:noProof/>
        <w:color w:val="FFFFFF" w:themeColor="background1"/>
      </w:rPr>
      <w:drawing>
        <wp:anchor distT="0" distB="0" distL="114300" distR="114300" simplePos="0" relativeHeight="251672586" behindDoc="1" locked="0" layoutInCell="1" allowOverlap="1" wp14:anchorId="45087D3E" wp14:editId="61DE38F1">
          <wp:simplePos x="0" y="0"/>
          <wp:positionH relativeFrom="column">
            <wp:posOffset>-1058545</wp:posOffset>
          </wp:positionH>
          <wp:positionV relativeFrom="paragraph">
            <wp:posOffset>-247650</wp:posOffset>
          </wp:positionV>
          <wp:extent cx="10652199" cy="824400"/>
          <wp:effectExtent l="0" t="0" r="0" b="0"/>
          <wp:wrapNone/>
          <wp:docPr id="31595021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950215"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2199" cy="824400"/>
                  </a:xfrm>
                  <a:prstGeom prst="rect">
                    <a:avLst/>
                  </a:prstGeom>
                </pic:spPr>
              </pic:pic>
            </a:graphicData>
          </a:graphic>
        </wp:anchor>
      </w:drawing>
    </w:r>
    <w:r w:rsidRPr="005A7C00">
      <w:rPr>
        <w:noProof/>
        <w:color w:val="FFFFFF" w:themeColor="background1"/>
      </w:rPr>
      <w:drawing>
        <wp:anchor distT="0" distB="0" distL="114300" distR="114300" simplePos="0" relativeHeight="251671562" behindDoc="1" locked="0" layoutInCell="1" allowOverlap="1" wp14:anchorId="73ADDA45" wp14:editId="55BC0F53">
          <wp:simplePos x="0" y="0"/>
          <wp:positionH relativeFrom="page">
            <wp:align>right</wp:align>
          </wp:positionH>
          <wp:positionV relativeFrom="page">
            <wp:posOffset>9877425</wp:posOffset>
          </wp:positionV>
          <wp:extent cx="15116175" cy="824230"/>
          <wp:effectExtent l="0" t="0" r="0" b="0"/>
          <wp:wrapNone/>
          <wp:docPr id="1786533021" name="Picture 17865330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33021" name="Picture 178653302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116175" cy="824230"/>
                  </a:xfrm>
                  <a:prstGeom prst="rect">
                    <a:avLst/>
                  </a:prstGeom>
                </pic:spPr>
              </pic:pic>
            </a:graphicData>
          </a:graphic>
          <wp14:sizeRelH relativeFrom="margin">
            <wp14:pctWidth>0</wp14:pctWidth>
          </wp14:sizeRelH>
          <wp14:sizeRelV relativeFrom="margin">
            <wp14:pctHeight>0</wp14:pctHeight>
          </wp14:sizeRelV>
        </wp:anchor>
      </w:drawing>
    </w:r>
    <w:r w:rsidRPr="005A7C00">
      <w:rPr>
        <w:color w:val="FFFFFF" w:themeColor="background1"/>
      </w:rPr>
      <w:t>evaluation.treasury.gov.au</w:t>
    </w:r>
    <w:r>
      <w:rPr>
        <w:color w:val="FFFFFF" w:themeColor="background1"/>
      </w:rPr>
      <w:tab/>
    </w:r>
    <w:r>
      <w:rPr>
        <w:color w:val="FFFFFF" w:themeColor="background1"/>
      </w:rPr>
      <w:tab/>
    </w:r>
    <w:r w:rsidRPr="005A7C00">
      <w:rPr>
        <w:color w:val="FFFFFF" w:themeColor="background1"/>
      </w:rPr>
      <w:t xml:space="preserve">Last updated: </w:t>
    </w:r>
    <w:r w:rsidRPr="005A7C00">
      <w:rPr>
        <w:color w:val="FFFFFF" w:themeColor="background1"/>
      </w:rPr>
      <w:fldChar w:fldCharType="begin"/>
    </w:r>
    <w:r w:rsidRPr="005A7C00">
      <w:rPr>
        <w:color w:val="FFFFFF" w:themeColor="background1"/>
      </w:rPr>
      <w:instrText xml:space="preserve"> SAVEDATE  \@ "d MMMM yyyy"  \* MERGEFORMAT </w:instrText>
    </w:r>
    <w:r w:rsidRPr="005A7C00">
      <w:rPr>
        <w:color w:val="FFFFFF" w:themeColor="background1"/>
      </w:rPr>
      <w:fldChar w:fldCharType="separate"/>
    </w:r>
    <w:r w:rsidR="00E10B49">
      <w:rPr>
        <w:noProof/>
        <w:color w:val="FFFFFF" w:themeColor="background1"/>
      </w:rPr>
      <w:t>21 November 2025</w:t>
    </w:r>
    <w:r w:rsidRPr="005A7C00">
      <w:rPr>
        <w:color w:val="FFFFFF" w:themeColor="background1"/>
      </w:rPr>
      <w:fldChar w:fldCharType="end"/>
    </w:r>
    <w:r w:rsidRPr="005A7C00">
      <w:rPr>
        <w:color w:val="FFFFFF" w:themeColor="background1"/>
      </w:rPr>
      <w:t xml:space="preserve"> | </w:t>
    </w:r>
    <w:r w:rsidRPr="00E212F3">
      <w:rPr>
        <w:rStyle w:val="Strong"/>
      </w:rPr>
      <w:fldChar w:fldCharType="begin"/>
    </w:r>
    <w:r w:rsidRPr="00E212F3">
      <w:rPr>
        <w:rStyle w:val="Strong"/>
      </w:rPr>
      <w:instrText xml:space="preserve"> PAGE   \* MERGEFORMAT </w:instrText>
    </w:r>
    <w:r w:rsidRPr="00E212F3">
      <w:rPr>
        <w:rStyle w:val="Strong"/>
      </w:rPr>
      <w:fldChar w:fldCharType="separate"/>
    </w:r>
    <w:r w:rsidRPr="00E212F3">
      <w:rPr>
        <w:rStyle w:val="Strong"/>
      </w:rPr>
      <w:t>2</w:t>
    </w:r>
    <w:r w:rsidRPr="00E212F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4C7C" w14:textId="333DD27B" w:rsidR="00300C95" w:rsidRPr="004449FB" w:rsidRDefault="00462C22" w:rsidP="00291F10">
    <w:pPr>
      <w:pStyle w:val="Footer"/>
      <w:tabs>
        <w:tab w:val="clear" w:pos="4320"/>
        <w:tab w:val="clear" w:pos="8640"/>
        <w:tab w:val="center" w:pos="7938"/>
      </w:tabs>
      <w:jc w:val="right"/>
      <w:rPr>
        <w:color w:val="FFFFFF" w:themeColor="background1"/>
      </w:rPr>
    </w:pPr>
    <w:r w:rsidRPr="005A7C00">
      <w:rPr>
        <w:noProof/>
        <w:color w:val="FFFFFF" w:themeColor="background1"/>
      </w:rPr>
      <w:drawing>
        <wp:anchor distT="0" distB="0" distL="114300" distR="114300" simplePos="0" relativeHeight="251658240" behindDoc="1" locked="0" layoutInCell="1" allowOverlap="1" wp14:anchorId="60DB1665" wp14:editId="1F74199B">
          <wp:simplePos x="0" y="0"/>
          <wp:positionH relativeFrom="page">
            <wp:align>left</wp:align>
          </wp:positionH>
          <wp:positionV relativeFrom="page">
            <wp:posOffset>9877425</wp:posOffset>
          </wp:positionV>
          <wp:extent cx="7541895" cy="824230"/>
          <wp:effectExtent l="0" t="0" r="0" b="0"/>
          <wp:wrapNone/>
          <wp:docPr id="1214504193" name="Picture 12145041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04193" name="Picture 121450419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1895" cy="824230"/>
                  </a:xfrm>
                  <a:prstGeom prst="rect">
                    <a:avLst/>
                  </a:prstGeom>
                </pic:spPr>
              </pic:pic>
            </a:graphicData>
          </a:graphic>
          <wp14:sizeRelH relativeFrom="margin">
            <wp14:pctWidth>0</wp14:pctWidth>
          </wp14:sizeRelH>
          <wp14:sizeRelV relativeFrom="margin">
            <wp14:pctHeight>0</wp14:pctHeight>
          </wp14:sizeRelV>
        </wp:anchor>
      </w:drawing>
    </w:r>
    <w:r w:rsidR="00A32C73" w:rsidRPr="005A7C00">
      <w:rPr>
        <w:color w:val="FFFFFF" w:themeColor="background1"/>
      </w:rPr>
      <w:t>evaluation.treasury.gov.au</w:t>
    </w:r>
    <w:r w:rsidR="00A32C73" w:rsidRPr="005A7C00">
      <w:rPr>
        <w:color w:val="FFFFFF" w:themeColor="background1"/>
      </w:rPr>
      <w:tab/>
      <w:t xml:space="preserve">Last updated: </w:t>
    </w:r>
    <w:r w:rsidR="00A32C73" w:rsidRPr="005A7C00">
      <w:rPr>
        <w:color w:val="FFFFFF" w:themeColor="background1"/>
      </w:rPr>
      <w:fldChar w:fldCharType="begin"/>
    </w:r>
    <w:r w:rsidR="00A32C73" w:rsidRPr="005A7C00">
      <w:rPr>
        <w:color w:val="FFFFFF" w:themeColor="background1"/>
      </w:rPr>
      <w:instrText xml:space="preserve"> SAVEDATE  \@ "d MMMM yyyy"  \* MERGEFORMAT </w:instrText>
    </w:r>
    <w:r w:rsidR="00A32C73" w:rsidRPr="005A7C00">
      <w:rPr>
        <w:color w:val="FFFFFF" w:themeColor="background1"/>
      </w:rPr>
      <w:fldChar w:fldCharType="separate"/>
    </w:r>
    <w:r w:rsidR="00E10B49">
      <w:rPr>
        <w:noProof/>
        <w:color w:val="FFFFFF" w:themeColor="background1"/>
      </w:rPr>
      <w:t>21 November 2025</w:t>
    </w:r>
    <w:r w:rsidR="00A32C73" w:rsidRPr="005A7C00">
      <w:rPr>
        <w:color w:val="FFFFFF" w:themeColor="background1"/>
      </w:rPr>
      <w:fldChar w:fldCharType="end"/>
    </w:r>
    <w:r w:rsidR="00A32C73" w:rsidRPr="005A7C00">
      <w:rPr>
        <w:color w:val="FFFFFF" w:themeColor="background1"/>
      </w:rPr>
      <w:t xml:space="preserve"> | </w:t>
    </w:r>
    <w:r w:rsidR="00A32C73" w:rsidRPr="00E212F3">
      <w:rPr>
        <w:rStyle w:val="Strong"/>
      </w:rPr>
      <w:fldChar w:fldCharType="begin"/>
    </w:r>
    <w:r w:rsidR="00A32C73" w:rsidRPr="00E212F3">
      <w:rPr>
        <w:rStyle w:val="Strong"/>
      </w:rPr>
      <w:instrText xml:space="preserve"> PAGE   \* MERGEFORMAT </w:instrText>
    </w:r>
    <w:r w:rsidR="00A32C73" w:rsidRPr="00E212F3">
      <w:rPr>
        <w:rStyle w:val="Strong"/>
      </w:rPr>
      <w:fldChar w:fldCharType="separate"/>
    </w:r>
    <w:r w:rsidR="00A32C73" w:rsidRPr="00E212F3">
      <w:rPr>
        <w:rStyle w:val="Strong"/>
      </w:rPr>
      <w:t>2</w:t>
    </w:r>
    <w:r w:rsidR="00A32C73" w:rsidRPr="00E212F3">
      <w:rPr>
        <w:rStyle w:val="Strong"/>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62DB" w14:textId="27BE832E" w:rsidR="00D42D78" w:rsidRPr="004449FB" w:rsidRDefault="00557BC9" w:rsidP="00347416">
    <w:pPr>
      <w:pStyle w:val="Footer"/>
      <w:tabs>
        <w:tab w:val="clear" w:pos="8640"/>
        <w:tab w:val="right" w:pos="13325"/>
      </w:tabs>
      <w:ind w:left="1021"/>
      <w:jc w:val="right"/>
    </w:pPr>
    <w:r w:rsidRPr="005A7C00">
      <w:rPr>
        <w:noProof/>
        <w:color w:val="FFFFFF" w:themeColor="background1"/>
      </w:rPr>
      <w:drawing>
        <wp:anchor distT="0" distB="0" distL="114300" distR="114300" simplePos="0" relativeHeight="251659274" behindDoc="1" locked="0" layoutInCell="1" allowOverlap="1" wp14:anchorId="77E34D23" wp14:editId="3151700E">
          <wp:simplePos x="0" y="0"/>
          <wp:positionH relativeFrom="column">
            <wp:posOffset>-1058545</wp:posOffset>
          </wp:positionH>
          <wp:positionV relativeFrom="paragraph">
            <wp:posOffset>-247650</wp:posOffset>
          </wp:positionV>
          <wp:extent cx="10652199" cy="824400"/>
          <wp:effectExtent l="0" t="0" r="0" b="0"/>
          <wp:wrapNone/>
          <wp:docPr id="4290622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0622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52199" cy="824400"/>
                  </a:xfrm>
                  <a:prstGeom prst="rect">
                    <a:avLst/>
                  </a:prstGeom>
                </pic:spPr>
              </pic:pic>
            </a:graphicData>
          </a:graphic>
        </wp:anchor>
      </w:drawing>
    </w:r>
    <w:r w:rsidR="00D42D78" w:rsidRPr="005A7C00">
      <w:rPr>
        <w:noProof/>
        <w:color w:val="FFFFFF" w:themeColor="background1"/>
      </w:rPr>
      <w:drawing>
        <wp:anchor distT="0" distB="0" distL="114300" distR="114300" simplePos="0" relativeHeight="251658250" behindDoc="1" locked="0" layoutInCell="1" allowOverlap="1" wp14:anchorId="52403E81" wp14:editId="168F6AC5">
          <wp:simplePos x="0" y="0"/>
          <wp:positionH relativeFrom="page">
            <wp:align>right</wp:align>
          </wp:positionH>
          <wp:positionV relativeFrom="page">
            <wp:posOffset>9877425</wp:posOffset>
          </wp:positionV>
          <wp:extent cx="15116175" cy="824230"/>
          <wp:effectExtent l="0" t="0" r="0" b="0"/>
          <wp:wrapNone/>
          <wp:docPr id="148601416" name="Picture 1486014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01416" name="Picture 1486014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116175" cy="824230"/>
                  </a:xfrm>
                  <a:prstGeom prst="rect">
                    <a:avLst/>
                  </a:prstGeom>
                </pic:spPr>
              </pic:pic>
            </a:graphicData>
          </a:graphic>
          <wp14:sizeRelH relativeFrom="margin">
            <wp14:pctWidth>0</wp14:pctWidth>
          </wp14:sizeRelH>
          <wp14:sizeRelV relativeFrom="margin">
            <wp14:pctHeight>0</wp14:pctHeight>
          </wp14:sizeRelV>
        </wp:anchor>
      </w:drawing>
    </w:r>
    <w:r w:rsidR="00D42D78" w:rsidRPr="005A7C00">
      <w:rPr>
        <w:color w:val="FFFFFF" w:themeColor="background1"/>
      </w:rPr>
      <w:t>evaluation.treasury.gov.au</w:t>
    </w:r>
    <w:r w:rsidR="00AB21A5">
      <w:rPr>
        <w:color w:val="FFFFFF" w:themeColor="background1"/>
      </w:rPr>
      <w:tab/>
    </w:r>
    <w:r w:rsidR="005A7C00">
      <w:rPr>
        <w:color w:val="FFFFFF" w:themeColor="background1"/>
      </w:rPr>
      <w:tab/>
    </w:r>
    <w:r w:rsidR="00D42D78" w:rsidRPr="005A7C00">
      <w:rPr>
        <w:color w:val="FFFFFF" w:themeColor="background1"/>
      </w:rPr>
      <w:t xml:space="preserve">Last updated: </w:t>
    </w:r>
    <w:r w:rsidR="00D42D78" w:rsidRPr="005A7C00">
      <w:rPr>
        <w:color w:val="FFFFFF" w:themeColor="background1"/>
      </w:rPr>
      <w:fldChar w:fldCharType="begin"/>
    </w:r>
    <w:r w:rsidR="00D42D78" w:rsidRPr="005A7C00">
      <w:rPr>
        <w:color w:val="FFFFFF" w:themeColor="background1"/>
      </w:rPr>
      <w:instrText xml:space="preserve"> SAVEDATE  \@ "d MMMM yyyy"  \* MERGEFORMAT </w:instrText>
    </w:r>
    <w:r w:rsidR="00D42D78" w:rsidRPr="005A7C00">
      <w:rPr>
        <w:color w:val="FFFFFF" w:themeColor="background1"/>
      </w:rPr>
      <w:fldChar w:fldCharType="separate"/>
    </w:r>
    <w:r w:rsidR="00E10B49">
      <w:rPr>
        <w:noProof/>
        <w:color w:val="FFFFFF" w:themeColor="background1"/>
      </w:rPr>
      <w:t>21 November 2025</w:t>
    </w:r>
    <w:r w:rsidR="00D42D78" w:rsidRPr="005A7C00">
      <w:rPr>
        <w:color w:val="FFFFFF" w:themeColor="background1"/>
      </w:rPr>
      <w:fldChar w:fldCharType="end"/>
    </w:r>
    <w:r w:rsidR="00D42D78" w:rsidRPr="005A7C00">
      <w:rPr>
        <w:color w:val="FFFFFF" w:themeColor="background1"/>
      </w:rPr>
      <w:t xml:space="preserve"> |</w:t>
    </w:r>
    <w:r w:rsidR="00D42D78" w:rsidRPr="00E212F3">
      <w:rPr>
        <w:color w:val="FFFFFF" w:themeColor="background1"/>
      </w:rPr>
      <w:t xml:space="preserve"> </w:t>
    </w:r>
    <w:r w:rsidR="00D42D78" w:rsidRPr="00E212F3">
      <w:rPr>
        <w:rStyle w:val="Strong"/>
      </w:rPr>
      <w:fldChar w:fldCharType="begin"/>
    </w:r>
    <w:r w:rsidR="00D42D78" w:rsidRPr="00E212F3">
      <w:rPr>
        <w:rStyle w:val="Strong"/>
      </w:rPr>
      <w:instrText xml:space="preserve"> PAGE   \* MERGEFORMAT </w:instrText>
    </w:r>
    <w:r w:rsidR="00D42D78" w:rsidRPr="00E212F3">
      <w:rPr>
        <w:rStyle w:val="Strong"/>
      </w:rPr>
      <w:fldChar w:fldCharType="separate"/>
    </w:r>
    <w:r w:rsidR="00D42D78" w:rsidRPr="00E212F3">
      <w:rPr>
        <w:rStyle w:val="Strong"/>
      </w:rPr>
      <w:t>2</w:t>
    </w:r>
    <w:r w:rsidR="00D42D78" w:rsidRPr="00E212F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B7A9" w14:textId="77777777" w:rsidR="003D3D4C" w:rsidRDefault="003D3D4C" w:rsidP="00886BC4">
      <w:r>
        <w:separator/>
      </w:r>
    </w:p>
  </w:footnote>
  <w:footnote w:type="continuationSeparator" w:id="0">
    <w:p w14:paraId="6DC10B5E" w14:textId="77777777" w:rsidR="003D3D4C" w:rsidRDefault="003D3D4C" w:rsidP="00886BC4">
      <w:r>
        <w:continuationSeparator/>
      </w:r>
    </w:p>
    <w:p w14:paraId="21DDFCB4" w14:textId="77777777" w:rsidR="003D3D4C" w:rsidRDefault="003D3D4C"/>
    <w:p w14:paraId="5C343A10" w14:textId="77777777" w:rsidR="003D3D4C" w:rsidRDefault="003D3D4C"/>
  </w:footnote>
  <w:footnote w:type="continuationNotice" w:id="1">
    <w:p w14:paraId="70D9B76D" w14:textId="77777777" w:rsidR="003D3D4C" w:rsidRDefault="003D3D4C"/>
    <w:p w14:paraId="6B5ECB2E" w14:textId="77777777" w:rsidR="003D3D4C" w:rsidRDefault="003D3D4C"/>
  </w:footnote>
  <w:footnote w:id="2">
    <w:p w14:paraId="3EB42719" w14:textId="77777777" w:rsidR="001115D6" w:rsidRDefault="001115D6" w:rsidP="001115D6">
      <w:pPr>
        <w:pStyle w:val="FootnoteText"/>
      </w:pPr>
      <w:r w:rsidRPr="008A2CD1">
        <w:rPr>
          <w:rStyle w:val="FootnoteReference"/>
          <w:vertAlign w:val="baseline"/>
        </w:rPr>
        <w:footnoteRef/>
      </w:r>
      <w:r w:rsidRPr="007A673D">
        <w:rPr>
          <w:rStyle w:val="FootnoteReference"/>
          <w:vertAlign w:val="baseline"/>
        </w:rPr>
        <w:t xml:space="preserve"> </w:t>
      </w:r>
      <w:r>
        <w:tab/>
      </w:r>
      <w:r w:rsidRPr="007A673D">
        <w:rPr>
          <w:rStyle w:val="FootnoteReference"/>
          <w:vertAlign w:val="baseline"/>
        </w:rPr>
        <w:t>The term program is used throughout this document as a generic term. It could refer to any type of program, project, policy, strategy, intervention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DBDD" w14:textId="241335EF" w:rsidR="00DB1785" w:rsidRDefault="00742BCB">
    <w:pPr>
      <w:pStyle w:val="Header"/>
    </w:pPr>
    <w:fldSimple w:instr=" STYLEREF  &quot;Fact sheet title&quot;  \* MERGEFORMAT ">
      <w:r w:rsidR="00E10B49">
        <w:rPr>
          <w:noProof/>
        </w:rPr>
        <w:t>Commonwealth Evaluation Maturity Model – Action Bank</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C386" w14:textId="6153D885" w:rsidR="006D3EE7" w:rsidRPr="007F53C0" w:rsidRDefault="00742BCB" w:rsidP="007F53C0">
    <w:pPr>
      <w:pStyle w:val="Header"/>
    </w:pPr>
    <w:fldSimple w:instr=" STYLEREF  &quot;Fact sheet title&quot;  \* MERGEFORMAT ">
      <w:r w:rsidR="00E10B49">
        <w:rPr>
          <w:noProof/>
        </w:rPr>
        <w:t>Commonwealth Evaluation Maturity Model – Action Bank</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11C2" w14:textId="684A220E" w:rsidR="00300C95" w:rsidRDefault="009C5436">
    <w:pPr>
      <w:pStyle w:val="Header"/>
    </w:pPr>
    <w:r>
      <w:rPr>
        <w:noProof/>
      </w:rPr>
      <w:drawing>
        <wp:anchor distT="0" distB="0" distL="114300" distR="114300" simplePos="0" relativeHeight="251658243" behindDoc="1" locked="0" layoutInCell="1" allowOverlap="0" wp14:anchorId="67153853" wp14:editId="7F095577">
          <wp:simplePos x="0" y="0"/>
          <wp:positionH relativeFrom="page">
            <wp:align>left</wp:align>
          </wp:positionH>
          <wp:positionV relativeFrom="page">
            <wp:posOffset>14605</wp:posOffset>
          </wp:positionV>
          <wp:extent cx="7541949" cy="2686050"/>
          <wp:effectExtent l="0" t="0" r="0" b="0"/>
          <wp:wrapNone/>
          <wp:docPr id="1649814225" name="Picture 1649814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3593" cy="2686636"/>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F8734" w14:textId="0634820C" w:rsidR="00462C22" w:rsidRDefault="00742BCB">
    <w:pPr>
      <w:pStyle w:val="Header"/>
    </w:pPr>
    <w:fldSimple w:instr=" STYLEREF  &quot;Fact sheet title&quot;  \* MERGEFORMAT ">
      <w:r w:rsidR="00E10B49">
        <w:rPr>
          <w:noProof/>
        </w:rPr>
        <w:t>Commonwealth Evaluation Maturity Model – Action Bank</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C733F" w14:textId="14E817C9" w:rsidR="00C45A8E" w:rsidRDefault="00C45A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A9053D"/>
    <w:multiLevelType w:val="hybridMultilevel"/>
    <w:tmpl w:val="B84813F4"/>
    <w:lvl w:ilvl="0" w:tplc="D55CB0E6">
      <w:start w:val="1"/>
      <w:numFmt w:val="bullet"/>
      <w:lvlText w:val="•"/>
      <w:lvlJc w:val="left"/>
      <w:pPr>
        <w:ind w:left="360" w:hanging="360"/>
      </w:pPr>
      <w:rPr>
        <w:rFonts w:ascii="Arial" w:hAnsi="Arial" w:hint="default"/>
        <w:b w:val="0"/>
        <w:bCs w:val="0"/>
        <w:i w:val="0"/>
        <w:iCs w:val="0"/>
        <w:caps w:val="0"/>
        <w:strike w:val="0"/>
        <w:dstrike w:val="0"/>
        <w:vanish w:val="0"/>
        <w:color w:val="EEEEEE" w:themeColor="background2"/>
        <w:spacing w:val="0"/>
        <w:kern w:val="0"/>
        <w:position w:val="0"/>
        <w:sz w:val="26"/>
        <w:u w:val="none" w:color="000000" w:themeColor="text1"/>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4" w15:restartNumberingAfterBreak="0">
    <w:nsid w:val="2E5A60A1"/>
    <w:multiLevelType w:val="hybridMultilevel"/>
    <w:tmpl w:val="21B69344"/>
    <w:lvl w:ilvl="0" w:tplc="DC88FA1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9CE7BC1"/>
    <w:multiLevelType w:val="multilevel"/>
    <w:tmpl w:val="42BCA62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60" w:hanging="360"/>
      </w:pPr>
    </w:lvl>
  </w:abstractNum>
  <w:abstractNum w:abstractNumId="1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6B5224"/>
    <w:multiLevelType w:val="multilevel"/>
    <w:tmpl w:val="00CCCD3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2"/>
  </w:num>
  <w:num w:numId="2" w16cid:durableId="792334275">
    <w:abstractNumId w:val="19"/>
  </w:num>
  <w:num w:numId="3" w16cid:durableId="2016758713">
    <w:abstractNumId w:val="11"/>
  </w:num>
  <w:num w:numId="4" w16cid:durableId="1463116887">
    <w:abstractNumId w:val="17"/>
  </w:num>
  <w:num w:numId="5" w16cid:durableId="1521821963">
    <w:abstractNumId w:val="10"/>
  </w:num>
  <w:num w:numId="6" w16cid:durableId="93408877">
    <w:abstractNumId w:val="17"/>
  </w:num>
  <w:num w:numId="7" w16cid:durableId="860510218">
    <w:abstractNumId w:val="17"/>
  </w:num>
  <w:num w:numId="8" w16cid:durableId="1706102033">
    <w:abstractNumId w:val="14"/>
  </w:num>
  <w:num w:numId="9" w16cid:durableId="194268924">
    <w:abstractNumId w:val="16"/>
  </w:num>
  <w:num w:numId="10" w16cid:durableId="462625690">
    <w:abstractNumId w:val="18"/>
  </w:num>
  <w:num w:numId="11" w16cid:durableId="1080833930">
    <w:abstractNumId w:val="13"/>
  </w:num>
  <w:num w:numId="12" w16cid:durableId="1645507674">
    <w:abstractNumId w:val="7"/>
  </w:num>
  <w:num w:numId="13" w16cid:durableId="695547246">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4407382">
    <w:abstractNumId w:val="15"/>
  </w:num>
  <w:num w:numId="15" w16cid:durableId="984508152">
    <w:abstractNumId w:val="9"/>
  </w:num>
  <w:num w:numId="16" w16cid:durableId="458031404">
    <w:abstractNumId w:val="6"/>
  </w:num>
  <w:num w:numId="17" w16cid:durableId="472214361">
    <w:abstractNumId w:val="5"/>
  </w:num>
  <w:num w:numId="18" w16cid:durableId="62416810">
    <w:abstractNumId w:val="4"/>
  </w:num>
  <w:num w:numId="19" w16cid:durableId="520556781">
    <w:abstractNumId w:val="8"/>
  </w:num>
  <w:num w:numId="20" w16cid:durableId="241915760">
    <w:abstractNumId w:val="3"/>
  </w:num>
  <w:num w:numId="21" w16cid:durableId="1615288521">
    <w:abstractNumId w:val="2"/>
  </w:num>
  <w:num w:numId="22" w16cid:durableId="259028629">
    <w:abstractNumId w:val="1"/>
  </w:num>
  <w:num w:numId="23" w16cid:durableId="411658734">
    <w:abstractNumId w:val="0"/>
  </w:num>
  <w:num w:numId="24" w16cid:durableId="65753401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3E7BC1"/>
    <w:rsid w:val="000014AC"/>
    <w:rsid w:val="000037FE"/>
    <w:rsid w:val="000047B0"/>
    <w:rsid w:val="00004DBE"/>
    <w:rsid w:val="00004FA6"/>
    <w:rsid w:val="00005278"/>
    <w:rsid w:val="000115B1"/>
    <w:rsid w:val="00011D2F"/>
    <w:rsid w:val="00012106"/>
    <w:rsid w:val="000136BC"/>
    <w:rsid w:val="000141EA"/>
    <w:rsid w:val="00015052"/>
    <w:rsid w:val="00015155"/>
    <w:rsid w:val="00015FCE"/>
    <w:rsid w:val="00016487"/>
    <w:rsid w:val="00016670"/>
    <w:rsid w:val="00016B6C"/>
    <w:rsid w:val="00020397"/>
    <w:rsid w:val="00020AFB"/>
    <w:rsid w:val="00020E09"/>
    <w:rsid w:val="0002151A"/>
    <w:rsid w:val="0002207F"/>
    <w:rsid w:val="00022093"/>
    <w:rsid w:val="00024E6A"/>
    <w:rsid w:val="000338DA"/>
    <w:rsid w:val="00033942"/>
    <w:rsid w:val="00034C86"/>
    <w:rsid w:val="00035040"/>
    <w:rsid w:val="000408E1"/>
    <w:rsid w:val="00040A03"/>
    <w:rsid w:val="000421F9"/>
    <w:rsid w:val="000424C2"/>
    <w:rsid w:val="000433CC"/>
    <w:rsid w:val="00043847"/>
    <w:rsid w:val="00043B82"/>
    <w:rsid w:val="00043F7F"/>
    <w:rsid w:val="00044051"/>
    <w:rsid w:val="00044D73"/>
    <w:rsid w:val="00045C24"/>
    <w:rsid w:val="00046455"/>
    <w:rsid w:val="00047440"/>
    <w:rsid w:val="00052FE2"/>
    <w:rsid w:val="0005515D"/>
    <w:rsid w:val="0005523C"/>
    <w:rsid w:val="00056416"/>
    <w:rsid w:val="00057F30"/>
    <w:rsid w:val="000603B1"/>
    <w:rsid w:val="00060C76"/>
    <w:rsid w:val="00061121"/>
    <w:rsid w:val="00061A0C"/>
    <w:rsid w:val="00061D5F"/>
    <w:rsid w:val="00061EA6"/>
    <w:rsid w:val="00062B0B"/>
    <w:rsid w:val="00062BEE"/>
    <w:rsid w:val="00062CBB"/>
    <w:rsid w:val="00063DBA"/>
    <w:rsid w:val="00067661"/>
    <w:rsid w:val="00067DE1"/>
    <w:rsid w:val="00067E65"/>
    <w:rsid w:val="000703D0"/>
    <w:rsid w:val="00070D57"/>
    <w:rsid w:val="000724E6"/>
    <w:rsid w:val="000738B5"/>
    <w:rsid w:val="000753CE"/>
    <w:rsid w:val="000755BF"/>
    <w:rsid w:val="00077C5C"/>
    <w:rsid w:val="00077D27"/>
    <w:rsid w:val="00081AC7"/>
    <w:rsid w:val="0008255E"/>
    <w:rsid w:val="000854C7"/>
    <w:rsid w:val="00085BE6"/>
    <w:rsid w:val="000861BD"/>
    <w:rsid w:val="000867F2"/>
    <w:rsid w:val="000872AB"/>
    <w:rsid w:val="00090C7D"/>
    <w:rsid w:val="00090D5F"/>
    <w:rsid w:val="00091F59"/>
    <w:rsid w:val="00092AB4"/>
    <w:rsid w:val="0009372F"/>
    <w:rsid w:val="00097B76"/>
    <w:rsid w:val="000A0AFC"/>
    <w:rsid w:val="000A1575"/>
    <w:rsid w:val="000A1761"/>
    <w:rsid w:val="000A2325"/>
    <w:rsid w:val="000A2521"/>
    <w:rsid w:val="000A32DD"/>
    <w:rsid w:val="000A3AE5"/>
    <w:rsid w:val="000A4D2D"/>
    <w:rsid w:val="000A5EE0"/>
    <w:rsid w:val="000A6A15"/>
    <w:rsid w:val="000A6F9B"/>
    <w:rsid w:val="000A7A94"/>
    <w:rsid w:val="000B1EC3"/>
    <w:rsid w:val="000B2C0C"/>
    <w:rsid w:val="000B3C90"/>
    <w:rsid w:val="000B53DF"/>
    <w:rsid w:val="000B6C63"/>
    <w:rsid w:val="000C02C9"/>
    <w:rsid w:val="000C08AC"/>
    <w:rsid w:val="000C13AA"/>
    <w:rsid w:val="000C5B76"/>
    <w:rsid w:val="000C7152"/>
    <w:rsid w:val="000D2846"/>
    <w:rsid w:val="000D2FA3"/>
    <w:rsid w:val="000D33F2"/>
    <w:rsid w:val="000D4652"/>
    <w:rsid w:val="000D68A4"/>
    <w:rsid w:val="000D7D2F"/>
    <w:rsid w:val="000E14E8"/>
    <w:rsid w:val="000E324C"/>
    <w:rsid w:val="000E3AAB"/>
    <w:rsid w:val="000E6008"/>
    <w:rsid w:val="000E64D7"/>
    <w:rsid w:val="000E678E"/>
    <w:rsid w:val="000E69C8"/>
    <w:rsid w:val="000F2493"/>
    <w:rsid w:val="000F2562"/>
    <w:rsid w:val="000F2EDE"/>
    <w:rsid w:val="000F2F8C"/>
    <w:rsid w:val="000F33C9"/>
    <w:rsid w:val="000F7210"/>
    <w:rsid w:val="00101B80"/>
    <w:rsid w:val="00102238"/>
    <w:rsid w:val="00105EBE"/>
    <w:rsid w:val="001060CD"/>
    <w:rsid w:val="001061CD"/>
    <w:rsid w:val="00107A2F"/>
    <w:rsid w:val="001115D6"/>
    <w:rsid w:val="00112352"/>
    <w:rsid w:val="00112A61"/>
    <w:rsid w:val="00113265"/>
    <w:rsid w:val="00113A3C"/>
    <w:rsid w:val="00113B73"/>
    <w:rsid w:val="001145FD"/>
    <w:rsid w:val="00115B2E"/>
    <w:rsid w:val="0011628E"/>
    <w:rsid w:val="00117526"/>
    <w:rsid w:val="00117DDD"/>
    <w:rsid w:val="00126CEA"/>
    <w:rsid w:val="00126D32"/>
    <w:rsid w:val="001274C5"/>
    <w:rsid w:val="00131EAC"/>
    <w:rsid w:val="00132C3E"/>
    <w:rsid w:val="00133501"/>
    <w:rsid w:val="001344DE"/>
    <w:rsid w:val="001363E7"/>
    <w:rsid w:val="001369FC"/>
    <w:rsid w:val="001376CC"/>
    <w:rsid w:val="00137ED2"/>
    <w:rsid w:val="00140697"/>
    <w:rsid w:val="00140F47"/>
    <w:rsid w:val="001412DE"/>
    <w:rsid w:val="001414F0"/>
    <w:rsid w:val="0014178A"/>
    <w:rsid w:val="00142EB9"/>
    <w:rsid w:val="001437EF"/>
    <w:rsid w:val="00143ED9"/>
    <w:rsid w:val="00144673"/>
    <w:rsid w:val="00144B84"/>
    <w:rsid w:val="0014579C"/>
    <w:rsid w:val="00146435"/>
    <w:rsid w:val="00146F22"/>
    <w:rsid w:val="00152AFD"/>
    <w:rsid w:val="00155781"/>
    <w:rsid w:val="00160C1E"/>
    <w:rsid w:val="00164951"/>
    <w:rsid w:val="00166A45"/>
    <w:rsid w:val="00167F36"/>
    <w:rsid w:val="00170798"/>
    <w:rsid w:val="00170FFE"/>
    <w:rsid w:val="0017283D"/>
    <w:rsid w:val="00172C9B"/>
    <w:rsid w:val="00173BD1"/>
    <w:rsid w:val="00173DB6"/>
    <w:rsid w:val="00174954"/>
    <w:rsid w:val="00175F1D"/>
    <w:rsid w:val="0017638F"/>
    <w:rsid w:val="001771CB"/>
    <w:rsid w:val="001801EA"/>
    <w:rsid w:val="0018180B"/>
    <w:rsid w:val="00182268"/>
    <w:rsid w:val="00182D3C"/>
    <w:rsid w:val="00182E9E"/>
    <w:rsid w:val="00183F40"/>
    <w:rsid w:val="0018471F"/>
    <w:rsid w:val="00184FE1"/>
    <w:rsid w:val="0018518C"/>
    <w:rsid w:val="00185ED7"/>
    <w:rsid w:val="001868A4"/>
    <w:rsid w:val="0018780B"/>
    <w:rsid w:val="00187E23"/>
    <w:rsid w:val="00190678"/>
    <w:rsid w:val="001908A1"/>
    <w:rsid w:val="00190D7B"/>
    <w:rsid w:val="001912BE"/>
    <w:rsid w:val="00192367"/>
    <w:rsid w:val="001929D8"/>
    <w:rsid w:val="00192F3E"/>
    <w:rsid w:val="00194AA9"/>
    <w:rsid w:val="00196E5D"/>
    <w:rsid w:val="00197414"/>
    <w:rsid w:val="001A038E"/>
    <w:rsid w:val="001A1193"/>
    <w:rsid w:val="001A1980"/>
    <w:rsid w:val="001A36BA"/>
    <w:rsid w:val="001A5155"/>
    <w:rsid w:val="001A5543"/>
    <w:rsid w:val="001A5D2A"/>
    <w:rsid w:val="001A5DCC"/>
    <w:rsid w:val="001A722C"/>
    <w:rsid w:val="001B0736"/>
    <w:rsid w:val="001B1CF0"/>
    <w:rsid w:val="001B1CF4"/>
    <w:rsid w:val="001B35FD"/>
    <w:rsid w:val="001B3A29"/>
    <w:rsid w:val="001B52AF"/>
    <w:rsid w:val="001B540E"/>
    <w:rsid w:val="001C12D8"/>
    <w:rsid w:val="001C27C9"/>
    <w:rsid w:val="001C4B69"/>
    <w:rsid w:val="001C4C64"/>
    <w:rsid w:val="001C5117"/>
    <w:rsid w:val="001C64BC"/>
    <w:rsid w:val="001C68D8"/>
    <w:rsid w:val="001C78AE"/>
    <w:rsid w:val="001C79C7"/>
    <w:rsid w:val="001C7C1B"/>
    <w:rsid w:val="001D28F3"/>
    <w:rsid w:val="001D2B55"/>
    <w:rsid w:val="001D2D5E"/>
    <w:rsid w:val="001D3BC2"/>
    <w:rsid w:val="001D41AB"/>
    <w:rsid w:val="001D45A4"/>
    <w:rsid w:val="001E0168"/>
    <w:rsid w:val="001E1F35"/>
    <w:rsid w:val="001E31A1"/>
    <w:rsid w:val="001E483F"/>
    <w:rsid w:val="001E5063"/>
    <w:rsid w:val="001E5140"/>
    <w:rsid w:val="001E5623"/>
    <w:rsid w:val="001E6DC2"/>
    <w:rsid w:val="001E73EE"/>
    <w:rsid w:val="001E7840"/>
    <w:rsid w:val="001E7CF5"/>
    <w:rsid w:val="001F2A0A"/>
    <w:rsid w:val="001F50DA"/>
    <w:rsid w:val="001F53BE"/>
    <w:rsid w:val="001F593C"/>
    <w:rsid w:val="001F6270"/>
    <w:rsid w:val="001F643F"/>
    <w:rsid w:val="001F7B14"/>
    <w:rsid w:val="002017F1"/>
    <w:rsid w:val="00201C6C"/>
    <w:rsid w:val="00203245"/>
    <w:rsid w:val="002042FA"/>
    <w:rsid w:val="00205F44"/>
    <w:rsid w:val="0020770C"/>
    <w:rsid w:val="002105F8"/>
    <w:rsid w:val="00211DB5"/>
    <w:rsid w:val="00211F6E"/>
    <w:rsid w:val="00213189"/>
    <w:rsid w:val="002136AE"/>
    <w:rsid w:val="002143B8"/>
    <w:rsid w:val="00215EE7"/>
    <w:rsid w:val="00216D39"/>
    <w:rsid w:val="00216EDD"/>
    <w:rsid w:val="00220765"/>
    <w:rsid w:val="002230F7"/>
    <w:rsid w:val="00223D87"/>
    <w:rsid w:val="002249F9"/>
    <w:rsid w:val="00226195"/>
    <w:rsid w:val="002268AB"/>
    <w:rsid w:val="002268EB"/>
    <w:rsid w:val="00226A79"/>
    <w:rsid w:val="00226C0E"/>
    <w:rsid w:val="00226F00"/>
    <w:rsid w:val="0022749C"/>
    <w:rsid w:val="00227C77"/>
    <w:rsid w:val="00227DB1"/>
    <w:rsid w:val="00230FA4"/>
    <w:rsid w:val="0023180F"/>
    <w:rsid w:val="00231C68"/>
    <w:rsid w:val="00233887"/>
    <w:rsid w:val="00233A88"/>
    <w:rsid w:val="00233DDF"/>
    <w:rsid w:val="00236BC6"/>
    <w:rsid w:val="00241B9A"/>
    <w:rsid w:val="0024226F"/>
    <w:rsid w:val="00242357"/>
    <w:rsid w:val="00245342"/>
    <w:rsid w:val="002462BD"/>
    <w:rsid w:val="00246B03"/>
    <w:rsid w:val="002519F9"/>
    <w:rsid w:val="002537F8"/>
    <w:rsid w:val="00253913"/>
    <w:rsid w:val="00254757"/>
    <w:rsid w:val="00257360"/>
    <w:rsid w:val="002573F0"/>
    <w:rsid w:val="00260712"/>
    <w:rsid w:val="00260ABE"/>
    <w:rsid w:val="00261172"/>
    <w:rsid w:val="00261525"/>
    <w:rsid w:val="00263339"/>
    <w:rsid w:val="00263B57"/>
    <w:rsid w:val="00263CCA"/>
    <w:rsid w:val="00265010"/>
    <w:rsid w:val="002652D6"/>
    <w:rsid w:val="0026561C"/>
    <w:rsid w:val="00265EEF"/>
    <w:rsid w:val="0026652E"/>
    <w:rsid w:val="00267AF0"/>
    <w:rsid w:val="00276B57"/>
    <w:rsid w:val="00277011"/>
    <w:rsid w:val="002809F6"/>
    <w:rsid w:val="00281F88"/>
    <w:rsid w:val="002829A7"/>
    <w:rsid w:val="00283303"/>
    <w:rsid w:val="00286134"/>
    <w:rsid w:val="00287F32"/>
    <w:rsid w:val="00290BC4"/>
    <w:rsid w:val="0029134D"/>
    <w:rsid w:val="00291F10"/>
    <w:rsid w:val="00292E4F"/>
    <w:rsid w:val="00294144"/>
    <w:rsid w:val="00295DBB"/>
    <w:rsid w:val="002978C8"/>
    <w:rsid w:val="002A0B32"/>
    <w:rsid w:val="002A1294"/>
    <w:rsid w:val="002A1989"/>
    <w:rsid w:val="002A1DAA"/>
    <w:rsid w:val="002A26C6"/>
    <w:rsid w:val="002A4B83"/>
    <w:rsid w:val="002A6430"/>
    <w:rsid w:val="002A6B3D"/>
    <w:rsid w:val="002A6F9B"/>
    <w:rsid w:val="002A79C5"/>
    <w:rsid w:val="002B1F1D"/>
    <w:rsid w:val="002B2CA6"/>
    <w:rsid w:val="002C0939"/>
    <w:rsid w:val="002C26D9"/>
    <w:rsid w:val="002C4046"/>
    <w:rsid w:val="002C4A4C"/>
    <w:rsid w:val="002C5B73"/>
    <w:rsid w:val="002C7A84"/>
    <w:rsid w:val="002C7E96"/>
    <w:rsid w:val="002D0166"/>
    <w:rsid w:val="002D1827"/>
    <w:rsid w:val="002D3735"/>
    <w:rsid w:val="002D49D1"/>
    <w:rsid w:val="002D66BD"/>
    <w:rsid w:val="002D6D61"/>
    <w:rsid w:val="002D7C79"/>
    <w:rsid w:val="002E0041"/>
    <w:rsid w:val="002E592D"/>
    <w:rsid w:val="002E6D47"/>
    <w:rsid w:val="002F102D"/>
    <w:rsid w:val="002F1833"/>
    <w:rsid w:val="002F1E24"/>
    <w:rsid w:val="002F2194"/>
    <w:rsid w:val="002F33D6"/>
    <w:rsid w:val="002F3487"/>
    <w:rsid w:val="002F417B"/>
    <w:rsid w:val="002F42DA"/>
    <w:rsid w:val="002F4A6C"/>
    <w:rsid w:val="002F5908"/>
    <w:rsid w:val="002F629E"/>
    <w:rsid w:val="002F6ADC"/>
    <w:rsid w:val="002F7F92"/>
    <w:rsid w:val="00300158"/>
    <w:rsid w:val="003002D5"/>
    <w:rsid w:val="00300C95"/>
    <w:rsid w:val="00304FBD"/>
    <w:rsid w:val="003054A8"/>
    <w:rsid w:val="00305926"/>
    <w:rsid w:val="00306770"/>
    <w:rsid w:val="00307D0A"/>
    <w:rsid w:val="00307DA3"/>
    <w:rsid w:val="00307F6B"/>
    <w:rsid w:val="00310814"/>
    <w:rsid w:val="00311E6B"/>
    <w:rsid w:val="0031212C"/>
    <w:rsid w:val="00312AB2"/>
    <w:rsid w:val="00313E17"/>
    <w:rsid w:val="00314784"/>
    <w:rsid w:val="00315078"/>
    <w:rsid w:val="00316413"/>
    <w:rsid w:val="00316930"/>
    <w:rsid w:val="00320B3F"/>
    <w:rsid w:val="00321B42"/>
    <w:rsid w:val="00327D31"/>
    <w:rsid w:val="003305CA"/>
    <w:rsid w:val="00331B3E"/>
    <w:rsid w:val="003336C8"/>
    <w:rsid w:val="00333CF8"/>
    <w:rsid w:val="00335C82"/>
    <w:rsid w:val="003366AE"/>
    <w:rsid w:val="003374A8"/>
    <w:rsid w:val="00337D54"/>
    <w:rsid w:val="0034064A"/>
    <w:rsid w:val="003409CA"/>
    <w:rsid w:val="00340DB2"/>
    <w:rsid w:val="00342F5C"/>
    <w:rsid w:val="00343729"/>
    <w:rsid w:val="00344034"/>
    <w:rsid w:val="0034564D"/>
    <w:rsid w:val="00347416"/>
    <w:rsid w:val="00351E51"/>
    <w:rsid w:val="00352179"/>
    <w:rsid w:val="0035327F"/>
    <w:rsid w:val="00353390"/>
    <w:rsid w:val="00353684"/>
    <w:rsid w:val="0035477B"/>
    <w:rsid w:val="00355855"/>
    <w:rsid w:val="0035644E"/>
    <w:rsid w:val="00356CFD"/>
    <w:rsid w:val="0035750B"/>
    <w:rsid w:val="00357842"/>
    <w:rsid w:val="00357CE8"/>
    <w:rsid w:val="00360F14"/>
    <w:rsid w:val="00361174"/>
    <w:rsid w:val="0036282A"/>
    <w:rsid w:val="00363627"/>
    <w:rsid w:val="0036492B"/>
    <w:rsid w:val="00364DD3"/>
    <w:rsid w:val="003663DF"/>
    <w:rsid w:val="003664BD"/>
    <w:rsid w:val="00367554"/>
    <w:rsid w:val="0037185C"/>
    <w:rsid w:val="0037217C"/>
    <w:rsid w:val="003726E5"/>
    <w:rsid w:val="00372AC1"/>
    <w:rsid w:val="00374850"/>
    <w:rsid w:val="003749FD"/>
    <w:rsid w:val="00375A88"/>
    <w:rsid w:val="0037649B"/>
    <w:rsid w:val="0037650C"/>
    <w:rsid w:val="003768B5"/>
    <w:rsid w:val="0037731D"/>
    <w:rsid w:val="00377C35"/>
    <w:rsid w:val="003802F4"/>
    <w:rsid w:val="00380342"/>
    <w:rsid w:val="003804F5"/>
    <w:rsid w:val="003811D1"/>
    <w:rsid w:val="00382B65"/>
    <w:rsid w:val="003831AB"/>
    <w:rsid w:val="00386B90"/>
    <w:rsid w:val="00386DEE"/>
    <w:rsid w:val="00390C06"/>
    <w:rsid w:val="00390C10"/>
    <w:rsid w:val="00390D83"/>
    <w:rsid w:val="00391549"/>
    <w:rsid w:val="00391D62"/>
    <w:rsid w:val="003925DD"/>
    <w:rsid w:val="00394792"/>
    <w:rsid w:val="00394A39"/>
    <w:rsid w:val="00395D3E"/>
    <w:rsid w:val="003A0D19"/>
    <w:rsid w:val="003A3BCF"/>
    <w:rsid w:val="003A60DC"/>
    <w:rsid w:val="003A63D1"/>
    <w:rsid w:val="003A6AD1"/>
    <w:rsid w:val="003A78DF"/>
    <w:rsid w:val="003B09F5"/>
    <w:rsid w:val="003B0C3C"/>
    <w:rsid w:val="003B3C79"/>
    <w:rsid w:val="003B5D42"/>
    <w:rsid w:val="003B6424"/>
    <w:rsid w:val="003B6B29"/>
    <w:rsid w:val="003B6B99"/>
    <w:rsid w:val="003B6D6E"/>
    <w:rsid w:val="003C0478"/>
    <w:rsid w:val="003C047D"/>
    <w:rsid w:val="003C0733"/>
    <w:rsid w:val="003C1EF7"/>
    <w:rsid w:val="003C3A43"/>
    <w:rsid w:val="003C4689"/>
    <w:rsid w:val="003C4F86"/>
    <w:rsid w:val="003C5311"/>
    <w:rsid w:val="003C76E4"/>
    <w:rsid w:val="003C76EC"/>
    <w:rsid w:val="003C789B"/>
    <w:rsid w:val="003D09FB"/>
    <w:rsid w:val="003D0BC9"/>
    <w:rsid w:val="003D2EC1"/>
    <w:rsid w:val="003D3D4C"/>
    <w:rsid w:val="003D545D"/>
    <w:rsid w:val="003D70C2"/>
    <w:rsid w:val="003E037D"/>
    <w:rsid w:val="003E0FF1"/>
    <w:rsid w:val="003E1285"/>
    <w:rsid w:val="003E1EF3"/>
    <w:rsid w:val="003E26C5"/>
    <w:rsid w:val="003E41AB"/>
    <w:rsid w:val="003E4404"/>
    <w:rsid w:val="003E6E61"/>
    <w:rsid w:val="003E77B8"/>
    <w:rsid w:val="003E7BC1"/>
    <w:rsid w:val="003F0703"/>
    <w:rsid w:val="003F0BDF"/>
    <w:rsid w:val="003F2E2F"/>
    <w:rsid w:val="003F3F8F"/>
    <w:rsid w:val="003F424B"/>
    <w:rsid w:val="003F4277"/>
    <w:rsid w:val="003F4557"/>
    <w:rsid w:val="003F54CF"/>
    <w:rsid w:val="003F5E2C"/>
    <w:rsid w:val="00400607"/>
    <w:rsid w:val="0040391B"/>
    <w:rsid w:val="00403DDB"/>
    <w:rsid w:val="00404F55"/>
    <w:rsid w:val="00406B8E"/>
    <w:rsid w:val="00407333"/>
    <w:rsid w:val="0041046C"/>
    <w:rsid w:val="00411C0B"/>
    <w:rsid w:val="00411C28"/>
    <w:rsid w:val="0041520F"/>
    <w:rsid w:val="00416D7B"/>
    <w:rsid w:val="00417529"/>
    <w:rsid w:val="004175FB"/>
    <w:rsid w:val="00420198"/>
    <w:rsid w:val="00420A5D"/>
    <w:rsid w:val="00421F5D"/>
    <w:rsid w:val="00422E72"/>
    <w:rsid w:val="004237DA"/>
    <w:rsid w:val="00423C5A"/>
    <w:rsid w:val="004249C7"/>
    <w:rsid w:val="00425E05"/>
    <w:rsid w:val="0042601F"/>
    <w:rsid w:val="00426524"/>
    <w:rsid w:val="00430314"/>
    <w:rsid w:val="00431140"/>
    <w:rsid w:val="0043366A"/>
    <w:rsid w:val="0043415F"/>
    <w:rsid w:val="00435A9A"/>
    <w:rsid w:val="0044124B"/>
    <w:rsid w:val="0044134D"/>
    <w:rsid w:val="004413A6"/>
    <w:rsid w:val="0044189A"/>
    <w:rsid w:val="00442C7E"/>
    <w:rsid w:val="00442D28"/>
    <w:rsid w:val="00442DF9"/>
    <w:rsid w:val="004449FB"/>
    <w:rsid w:val="00444A67"/>
    <w:rsid w:val="00444C36"/>
    <w:rsid w:val="004450E2"/>
    <w:rsid w:val="00446763"/>
    <w:rsid w:val="00447A69"/>
    <w:rsid w:val="00450CCE"/>
    <w:rsid w:val="004514AA"/>
    <w:rsid w:val="00452025"/>
    <w:rsid w:val="004542B7"/>
    <w:rsid w:val="004546DC"/>
    <w:rsid w:val="004570BD"/>
    <w:rsid w:val="00460898"/>
    <w:rsid w:val="00462C22"/>
    <w:rsid w:val="00462D8B"/>
    <w:rsid w:val="0046339F"/>
    <w:rsid w:val="0046343C"/>
    <w:rsid w:val="00463639"/>
    <w:rsid w:val="00463D4E"/>
    <w:rsid w:val="0046465F"/>
    <w:rsid w:val="00464E78"/>
    <w:rsid w:val="00464F7E"/>
    <w:rsid w:val="00467EA9"/>
    <w:rsid w:val="00470BA0"/>
    <w:rsid w:val="0047507F"/>
    <w:rsid w:val="00475B34"/>
    <w:rsid w:val="00476E03"/>
    <w:rsid w:val="00477439"/>
    <w:rsid w:val="00477509"/>
    <w:rsid w:val="004803B9"/>
    <w:rsid w:val="00481001"/>
    <w:rsid w:val="00482D06"/>
    <w:rsid w:val="00482F00"/>
    <w:rsid w:val="0048307A"/>
    <w:rsid w:val="004840A6"/>
    <w:rsid w:val="00484854"/>
    <w:rsid w:val="00485A3D"/>
    <w:rsid w:val="00486732"/>
    <w:rsid w:val="00486B7C"/>
    <w:rsid w:val="00486D2F"/>
    <w:rsid w:val="004908CC"/>
    <w:rsid w:val="00490C62"/>
    <w:rsid w:val="0049170C"/>
    <w:rsid w:val="0049172C"/>
    <w:rsid w:val="00493E29"/>
    <w:rsid w:val="00495E4F"/>
    <w:rsid w:val="00495F72"/>
    <w:rsid w:val="00496135"/>
    <w:rsid w:val="004961B5"/>
    <w:rsid w:val="0049673E"/>
    <w:rsid w:val="00496C34"/>
    <w:rsid w:val="004977E7"/>
    <w:rsid w:val="00497FB2"/>
    <w:rsid w:val="004A0F56"/>
    <w:rsid w:val="004A17A5"/>
    <w:rsid w:val="004A2AFD"/>
    <w:rsid w:val="004A3647"/>
    <w:rsid w:val="004A37EA"/>
    <w:rsid w:val="004A4424"/>
    <w:rsid w:val="004A53A9"/>
    <w:rsid w:val="004A61EE"/>
    <w:rsid w:val="004A708C"/>
    <w:rsid w:val="004B08DC"/>
    <w:rsid w:val="004B0E29"/>
    <w:rsid w:val="004B1F82"/>
    <w:rsid w:val="004B39E3"/>
    <w:rsid w:val="004B3F36"/>
    <w:rsid w:val="004B419C"/>
    <w:rsid w:val="004B56B0"/>
    <w:rsid w:val="004C1015"/>
    <w:rsid w:val="004C107F"/>
    <w:rsid w:val="004C3235"/>
    <w:rsid w:val="004C5917"/>
    <w:rsid w:val="004C5E48"/>
    <w:rsid w:val="004C7557"/>
    <w:rsid w:val="004D0778"/>
    <w:rsid w:val="004D0B4E"/>
    <w:rsid w:val="004D0CE4"/>
    <w:rsid w:val="004D567D"/>
    <w:rsid w:val="004D75F6"/>
    <w:rsid w:val="004E01A5"/>
    <w:rsid w:val="004E1355"/>
    <w:rsid w:val="004E1E3F"/>
    <w:rsid w:val="004E1FB6"/>
    <w:rsid w:val="004E424B"/>
    <w:rsid w:val="004E42F5"/>
    <w:rsid w:val="004E4702"/>
    <w:rsid w:val="004E71FE"/>
    <w:rsid w:val="004F02D7"/>
    <w:rsid w:val="004F1F48"/>
    <w:rsid w:val="004F24D0"/>
    <w:rsid w:val="004F3210"/>
    <w:rsid w:val="004F476C"/>
    <w:rsid w:val="004F56D4"/>
    <w:rsid w:val="004F760C"/>
    <w:rsid w:val="0050003F"/>
    <w:rsid w:val="00502E10"/>
    <w:rsid w:val="00504698"/>
    <w:rsid w:val="00504935"/>
    <w:rsid w:val="00505009"/>
    <w:rsid w:val="005065E9"/>
    <w:rsid w:val="00506BF4"/>
    <w:rsid w:val="00507074"/>
    <w:rsid w:val="00507097"/>
    <w:rsid w:val="0050716C"/>
    <w:rsid w:val="00507398"/>
    <w:rsid w:val="005077A4"/>
    <w:rsid w:val="00510357"/>
    <w:rsid w:val="00510C26"/>
    <w:rsid w:val="00511A53"/>
    <w:rsid w:val="00514228"/>
    <w:rsid w:val="00514775"/>
    <w:rsid w:val="00514BE6"/>
    <w:rsid w:val="00515B07"/>
    <w:rsid w:val="0051600D"/>
    <w:rsid w:val="00516614"/>
    <w:rsid w:val="00516FB2"/>
    <w:rsid w:val="00520C4E"/>
    <w:rsid w:val="00524333"/>
    <w:rsid w:val="005244A3"/>
    <w:rsid w:val="00524D17"/>
    <w:rsid w:val="00524DCE"/>
    <w:rsid w:val="00525050"/>
    <w:rsid w:val="00526268"/>
    <w:rsid w:val="005301F0"/>
    <w:rsid w:val="00530C3A"/>
    <w:rsid w:val="0053110F"/>
    <w:rsid w:val="005311B9"/>
    <w:rsid w:val="0053228D"/>
    <w:rsid w:val="00533428"/>
    <w:rsid w:val="005338FB"/>
    <w:rsid w:val="00533FEF"/>
    <w:rsid w:val="00535C81"/>
    <w:rsid w:val="00536C18"/>
    <w:rsid w:val="00540A26"/>
    <w:rsid w:val="005412A5"/>
    <w:rsid w:val="00542932"/>
    <w:rsid w:val="00542F32"/>
    <w:rsid w:val="00543DC9"/>
    <w:rsid w:val="005442E8"/>
    <w:rsid w:val="00545608"/>
    <w:rsid w:val="00546D8E"/>
    <w:rsid w:val="00546FDD"/>
    <w:rsid w:val="00550511"/>
    <w:rsid w:val="00551340"/>
    <w:rsid w:val="005516BB"/>
    <w:rsid w:val="00552377"/>
    <w:rsid w:val="005528E7"/>
    <w:rsid w:val="005542D4"/>
    <w:rsid w:val="00554FD2"/>
    <w:rsid w:val="00556374"/>
    <w:rsid w:val="00556BA3"/>
    <w:rsid w:val="00556E17"/>
    <w:rsid w:val="00557BC9"/>
    <w:rsid w:val="005606FD"/>
    <w:rsid w:val="005623D6"/>
    <w:rsid w:val="00562F1C"/>
    <w:rsid w:val="00565A52"/>
    <w:rsid w:val="00566AD8"/>
    <w:rsid w:val="00566EFB"/>
    <w:rsid w:val="00570A85"/>
    <w:rsid w:val="00570B86"/>
    <w:rsid w:val="00571953"/>
    <w:rsid w:val="005732EB"/>
    <w:rsid w:val="00575480"/>
    <w:rsid w:val="005756C6"/>
    <w:rsid w:val="00575AAF"/>
    <w:rsid w:val="00575BA1"/>
    <w:rsid w:val="005802CD"/>
    <w:rsid w:val="005803BF"/>
    <w:rsid w:val="00580837"/>
    <w:rsid w:val="00581CD6"/>
    <w:rsid w:val="00581DD4"/>
    <w:rsid w:val="00582315"/>
    <w:rsid w:val="00582FAD"/>
    <w:rsid w:val="00583183"/>
    <w:rsid w:val="00583DA7"/>
    <w:rsid w:val="00584192"/>
    <w:rsid w:val="0058466B"/>
    <w:rsid w:val="00584BF0"/>
    <w:rsid w:val="00585F7E"/>
    <w:rsid w:val="005868AB"/>
    <w:rsid w:val="005875F9"/>
    <w:rsid w:val="00590C50"/>
    <w:rsid w:val="00591E16"/>
    <w:rsid w:val="00592775"/>
    <w:rsid w:val="00592B26"/>
    <w:rsid w:val="00592CBC"/>
    <w:rsid w:val="005939A7"/>
    <w:rsid w:val="0059441F"/>
    <w:rsid w:val="00594ABF"/>
    <w:rsid w:val="005A11E6"/>
    <w:rsid w:val="005A22AF"/>
    <w:rsid w:val="005A2484"/>
    <w:rsid w:val="005A426B"/>
    <w:rsid w:val="005A5338"/>
    <w:rsid w:val="005A6A61"/>
    <w:rsid w:val="005A7389"/>
    <w:rsid w:val="005A7C00"/>
    <w:rsid w:val="005B00C2"/>
    <w:rsid w:val="005B0968"/>
    <w:rsid w:val="005B207E"/>
    <w:rsid w:val="005B2484"/>
    <w:rsid w:val="005B2BB2"/>
    <w:rsid w:val="005B3871"/>
    <w:rsid w:val="005B469F"/>
    <w:rsid w:val="005B62FD"/>
    <w:rsid w:val="005B659D"/>
    <w:rsid w:val="005B6B98"/>
    <w:rsid w:val="005B6F7C"/>
    <w:rsid w:val="005B7087"/>
    <w:rsid w:val="005C1326"/>
    <w:rsid w:val="005C3527"/>
    <w:rsid w:val="005C3C68"/>
    <w:rsid w:val="005C4151"/>
    <w:rsid w:val="005C4B02"/>
    <w:rsid w:val="005C623F"/>
    <w:rsid w:val="005D013D"/>
    <w:rsid w:val="005D021D"/>
    <w:rsid w:val="005D0738"/>
    <w:rsid w:val="005D2A7B"/>
    <w:rsid w:val="005D3F56"/>
    <w:rsid w:val="005D43D1"/>
    <w:rsid w:val="005D50CB"/>
    <w:rsid w:val="005D5E73"/>
    <w:rsid w:val="005E125F"/>
    <w:rsid w:val="005E380E"/>
    <w:rsid w:val="005E39FA"/>
    <w:rsid w:val="005E4B33"/>
    <w:rsid w:val="005E5AC6"/>
    <w:rsid w:val="005E62D6"/>
    <w:rsid w:val="005E794B"/>
    <w:rsid w:val="005F01CB"/>
    <w:rsid w:val="005F0574"/>
    <w:rsid w:val="005F0FBF"/>
    <w:rsid w:val="005F119A"/>
    <w:rsid w:val="005F13C5"/>
    <w:rsid w:val="005F6C74"/>
    <w:rsid w:val="005F75D1"/>
    <w:rsid w:val="00600886"/>
    <w:rsid w:val="006014A0"/>
    <w:rsid w:val="00601B32"/>
    <w:rsid w:val="00601E69"/>
    <w:rsid w:val="00603D0B"/>
    <w:rsid w:val="00605161"/>
    <w:rsid w:val="006101A5"/>
    <w:rsid w:val="00611486"/>
    <w:rsid w:val="00612BE0"/>
    <w:rsid w:val="00613990"/>
    <w:rsid w:val="00614971"/>
    <w:rsid w:val="006163E0"/>
    <w:rsid w:val="006178DC"/>
    <w:rsid w:val="00622AE8"/>
    <w:rsid w:val="0062593D"/>
    <w:rsid w:val="00626C72"/>
    <w:rsid w:val="00627215"/>
    <w:rsid w:val="00627218"/>
    <w:rsid w:val="006272AF"/>
    <w:rsid w:val="00627619"/>
    <w:rsid w:val="00632C86"/>
    <w:rsid w:val="00632CDC"/>
    <w:rsid w:val="006338E1"/>
    <w:rsid w:val="006355D1"/>
    <w:rsid w:val="00635DD4"/>
    <w:rsid w:val="00636772"/>
    <w:rsid w:val="00637692"/>
    <w:rsid w:val="006376CE"/>
    <w:rsid w:val="00641612"/>
    <w:rsid w:val="00642700"/>
    <w:rsid w:val="00642A90"/>
    <w:rsid w:val="00643238"/>
    <w:rsid w:val="00644C7D"/>
    <w:rsid w:val="00645D90"/>
    <w:rsid w:val="006469C3"/>
    <w:rsid w:val="0064704A"/>
    <w:rsid w:val="00647968"/>
    <w:rsid w:val="00650F67"/>
    <w:rsid w:val="0065194D"/>
    <w:rsid w:val="00651CCD"/>
    <w:rsid w:val="006531C1"/>
    <w:rsid w:val="0065415F"/>
    <w:rsid w:val="00655A27"/>
    <w:rsid w:val="00655AAC"/>
    <w:rsid w:val="006569DF"/>
    <w:rsid w:val="00657882"/>
    <w:rsid w:val="006579F9"/>
    <w:rsid w:val="00660D16"/>
    <w:rsid w:val="0066482B"/>
    <w:rsid w:val="0066514B"/>
    <w:rsid w:val="00666376"/>
    <w:rsid w:val="0066652B"/>
    <w:rsid w:val="006679F7"/>
    <w:rsid w:val="00667F10"/>
    <w:rsid w:val="006716DA"/>
    <w:rsid w:val="006745D9"/>
    <w:rsid w:val="0067526F"/>
    <w:rsid w:val="00675AAE"/>
    <w:rsid w:val="0068049B"/>
    <w:rsid w:val="00682389"/>
    <w:rsid w:val="006832C0"/>
    <w:rsid w:val="00683CA9"/>
    <w:rsid w:val="00683D16"/>
    <w:rsid w:val="00685EA8"/>
    <w:rsid w:val="00686303"/>
    <w:rsid w:val="00686867"/>
    <w:rsid w:val="00690853"/>
    <w:rsid w:val="0069090C"/>
    <w:rsid w:val="00690E3D"/>
    <w:rsid w:val="006916AD"/>
    <w:rsid w:val="00694736"/>
    <w:rsid w:val="00694B4F"/>
    <w:rsid w:val="00694DE6"/>
    <w:rsid w:val="00696521"/>
    <w:rsid w:val="006A10D9"/>
    <w:rsid w:val="006A118D"/>
    <w:rsid w:val="006A143E"/>
    <w:rsid w:val="006A2E5E"/>
    <w:rsid w:val="006A3972"/>
    <w:rsid w:val="006A3A60"/>
    <w:rsid w:val="006A5045"/>
    <w:rsid w:val="006A5567"/>
    <w:rsid w:val="006A712D"/>
    <w:rsid w:val="006A750A"/>
    <w:rsid w:val="006B029C"/>
    <w:rsid w:val="006B16E4"/>
    <w:rsid w:val="006B1D08"/>
    <w:rsid w:val="006B21F5"/>
    <w:rsid w:val="006B28A8"/>
    <w:rsid w:val="006B3078"/>
    <w:rsid w:val="006B4164"/>
    <w:rsid w:val="006B45E1"/>
    <w:rsid w:val="006B4F70"/>
    <w:rsid w:val="006B6072"/>
    <w:rsid w:val="006C0C53"/>
    <w:rsid w:val="006C1431"/>
    <w:rsid w:val="006C16C7"/>
    <w:rsid w:val="006C2473"/>
    <w:rsid w:val="006C4BD5"/>
    <w:rsid w:val="006C50FA"/>
    <w:rsid w:val="006C57E5"/>
    <w:rsid w:val="006C5A05"/>
    <w:rsid w:val="006C6D7A"/>
    <w:rsid w:val="006C724B"/>
    <w:rsid w:val="006D01CB"/>
    <w:rsid w:val="006D1CB4"/>
    <w:rsid w:val="006D27A6"/>
    <w:rsid w:val="006D28C8"/>
    <w:rsid w:val="006D3EE7"/>
    <w:rsid w:val="006D48F7"/>
    <w:rsid w:val="006D53B3"/>
    <w:rsid w:val="006D665D"/>
    <w:rsid w:val="006D6960"/>
    <w:rsid w:val="006D69BA"/>
    <w:rsid w:val="006D7491"/>
    <w:rsid w:val="006E101D"/>
    <w:rsid w:val="006E2D33"/>
    <w:rsid w:val="006E3E8D"/>
    <w:rsid w:val="006E4A34"/>
    <w:rsid w:val="006E6773"/>
    <w:rsid w:val="006E6F8C"/>
    <w:rsid w:val="006E730C"/>
    <w:rsid w:val="006E7630"/>
    <w:rsid w:val="006E76BE"/>
    <w:rsid w:val="006F0346"/>
    <w:rsid w:val="006F0397"/>
    <w:rsid w:val="006F0918"/>
    <w:rsid w:val="006F22A1"/>
    <w:rsid w:val="006F2D9E"/>
    <w:rsid w:val="006F56A2"/>
    <w:rsid w:val="006F5B87"/>
    <w:rsid w:val="006F6280"/>
    <w:rsid w:val="006F6E04"/>
    <w:rsid w:val="006F7AED"/>
    <w:rsid w:val="007017C4"/>
    <w:rsid w:val="00702801"/>
    <w:rsid w:val="00702B1A"/>
    <w:rsid w:val="00703DA0"/>
    <w:rsid w:val="00704893"/>
    <w:rsid w:val="00704C9E"/>
    <w:rsid w:val="00705AD6"/>
    <w:rsid w:val="007062B5"/>
    <w:rsid w:val="007100A9"/>
    <w:rsid w:val="00711014"/>
    <w:rsid w:val="007127E6"/>
    <w:rsid w:val="00712DA3"/>
    <w:rsid w:val="00714D99"/>
    <w:rsid w:val="0071694D"/>
    <w:rsid w:val="00717216"/>
    <w:rsid w:val="00721EE7"/>
    <w:rsid w:val="00722F56"/>
    <w:rsid w:val="00722FA1"/>
    <w:rsid w:val="007243C3"/>
    <w:rsid w:val="007264C3"/>
    <w:rsid w:val="007308F2"/>
    <w:rsid w:val="00731807"/>
    <w:rsid w:val="00733586"/>
    <w:rsid w:val="007343B8"/>
    <w:rsid w:val="00736715"/>
    <w:rsid w:val="00736742"/>
    <w:rsid w:val="007369B8"/>
    <w:rsid w:val="00736BDA"/>
    <w:rsid w:val="00737A87"/>
    <w:rsid w:val="00740ACE"/>
    <w:rsid w:val="00740F9A"/>
    <w:rsid w:val="0074140B"/>
    <w:rsid w:val="00741420"/>
    <w:rsid w:val="00742BCB"/>
    <w:rsid w:val="007434D7"/>
    <w:rsid w:val="00746CE4"/>
    <w:rsid w:val="00746E94"/>
    <w:rsid w:val="00751D09"/>
    <w:rsid w:val="007526F9"/>
    <w:rsid w:val="00756A07"/>
    <w:rsid w:val="00757A35"/>
    <w:rsid w:val="00757CCB"/>
    <w:rsid w:val="007600FA"/>
    <w:rsid w:val="0076093D"/>
    <w:rsid w:val="00761DA0"/>
    <w:rsid w:val="007622D7"/>
    <w:rsid w:val="00762491"/>
    <w:rsid w:val="00762893"/>
    <w:rsid w:val="007655D4"/>
    <w:rsid w:val="00765AE5"/>
    <w:rsid w:val="007678AB"/>
    <w:rsid w:val="007679C7"/>
    <w:rsid w:val="00767F93"/>
    <w:rsid w:val="007700B9"/>
    <w:rsid w:val="00771DF8"/>
    <w:rsid w:val="00774D05"/>
    <w:rsid w:val="00774F4C"/>
    <w:rsid w:val="007763D8"/>
    <w:rsid w:val="00776F56"/>
    <w:rsid w:val="00777091"/>
    <w:rsid w:val="00777EDB"/>
    <w:rsid w:val="00780455"/>
    <w:rsid w:val="007816D6"/>
    <w:rsid w:val="0078254E"/>
    <w:rsid w:val="007825F2"/>
    <w:rsid w:val="00784A3C"/>
    <w:rsid w:val="00785075"/>
    <w:rsid w:val="00785AF1"/>
    <w:rsid w:val="00787C13"/>
    <w:rsid w:val="0079124E"/>
    <w:rsid w:val="00791A48"/>
    <w:rsid w:val="00791B61"/>
    <w:rsid w:val="00791F0A"/>
    <w:rsid w:val="00792575"/>
    <w:rsid w:val="00793BD7"/>
    <w:rsid w:val="0079466D"/>
    <w:rsid w:val="007947FF"/>
    <w:rsid w:val="00795E5D"/>
    <w:rsid w:val="0079764D"/>
    <w:rsid w:val="00797E72"/>
    <w:rsid w:val="007A0428"/>
    <w:rsid w:val="007A051C"/>
    <w:rsid w:val="007A175C"/>
    <w:rsid w:val="007A21B8"/>
    <w:rsid w:val="007A2A9C"/>
    <w:rsid w:val="007A2E81"/>
    <w:rsid w:val="007A2F1C"/>
    <w:rsid w:val="007A3113"/>
    <w:rsid w:val="007A4195"/>
    <w:rsid w:val="007A41E7"/>
    <w:rsid w:val="007A673D"/>
    <w:rsid w:val="007A6B2E"/>
    <w:rsid w:val="007A6E4D"/>
    <w:rsid w:val="007B060D"/>
    <w:rsid w:val="007B0FA4"/>
    <w:rsid w:val="007B3903"/>
    <w:rsid w:val="007B4497"/>
    <w:rsid w:val="007B4C34"/>
    <w:rsid w:val="007B4DDA"/>
    <w:rsid w:val="007B64D1"/>
    <w:rsid w:val="007B6953"/>
    <w:rsid w:val="007B6D72"/>
    <w:rsid w:val="007B7160"/>
    <w:rsid w:val="007B7784"/>
    <w:rsid w:val="007C0D69"/>
    <w:rsid w:val="007C1094"/>
    <w:rsid w:val="007C3049"/>
    <w:rsid w:val="007C3CD0"/>
    <w:rsid w:val="007C3E94"/>
    <w:rsid w:val="007C42D9"/>
    <w:rsid w:val="007C49AA"/>
    <w:rsid w:val="007C66DD"/>
    <w:rsid w:val="007D1585"/>
    <w:rsid w:val="007D18B3"/>
    <w:rsid w:val="007D19A4"/>
    <w:rsid w:val="007D2BEF"/>
    <w:rsid w:val="007D4EB7"/>
    <w:rsid w:val="007D528A"/>
    <w:rsid w:val="007D53C4"/>
    <w:rsid w:val="007D54B7"/>
    <w:rsid w:val="007D5748"/>
    <w:rsid w:val="007D5F65"/>
    <w:rsid w:val="007D6A98"/>
    <w:rsid w:val="007D6B89"/>
    <w:rsid w:val="007D6CB1"/>
    <w:rsid w:val="007D6F47"/>
    <w:rsid w:val="007E013D"/>
    <w:rsid w:val="007E0851"/>
    <w:rsid w:val="007E0975"/>
    <w:rsid w:val="007E36E4"/>
    <w:rsid w:val="007E522C"/>
    <w:rsid w:val="007E535C"/>
    <w:rsid w:val="007E5D5A"/>
    <w:rsid w:val="007E5E07"/>
    <w:rsid w:val="007E62C3"/>
    <w:rsid w:val="007E6B93"/>
    <w:rsid w:val="007E7046"/>
    <w:rsid w:val="007E78EB"/>
    <w:rsid w:val="007F17C0"/>
    <w:rsid w:val="007F45AA"/>
    <w:rsid w:val="007F53C0"/>
    <w:rsid w:val="007F5655"/>
    <w:rsid w:val="007F61E3"/>
    <w:rsid w:val="007F74BE"/>
    <w:rsid w:val="007F7DA5"/>
    <w:rsid w:val="00801089"/>
    <w:rsid w:val="008028CC"/>
    <w:rsid w:val="00803547"/>
    <w:rsid w:val="00804ECA"/>
    <w:rsid w:val="00806431"/>
    <w:rsid w:val="0081089B"/>
    <w:rsid w:val="00811A5C"/>
    <w:rsid w:val="008121AC"/>
    <w:rsid w:val="00812864"/>
    <w:rsid w:val="00812B6B"/>
    <w:rsid w:val="008138DB"/>
    <w:rsid w:val="008139FB"/>
    <w:rsid w:val="00814162"/>
    <w:rsid w:val="00814254"/>
    <w:rsid w:val="00814A76"/>
    <w:rsid w:val="0081674C"/>
    <w:rsid w:val="008177D3"/>
    <w:rsid w:val="00820734"/>
    <w:rsid w:val="00820C89"/>
    <w:rsid w:val="00825DEC"/>
    <w:rsid w:val="00826205"/>
    <w:rsid w:val="00830740"/>
    <w:rsid w:val="00831596"/>
    <w:rsid w:val="008319B8"/>
    <w:rsid w:val="00831D8A"/>
    <w:rsid w:val="00832411"/>
    <w:rsid w:val="0083389D"/>
    <w:rsid w:val="00834EF6"/>
    <w:rsid w:val="008377B3"/>
    <w:rsid w:val="00837914"/>
    <w:rsid w:val="00842296"/>
    <w:rsid w:val="008424C1"/>
    <w:rsid w:val="00846741"/>
    <w:rsid w:val="00846BDA"/>
    <w:rsid w:val="00847719"/>
    <w:rsid w:val="008526F4"/>
    <w:rsid w:val="00852915"/>
    <w:rsid w:val="008532A1"/>
    <w:rsid w:val="008537C7"/>
    <w:rsid w:val="008549BC"/>
    <w:rsid w:val="00854D4D"/>
    <w:rsid w:val="008552F4"/>
    <w:rsid w:val="00855C13"/>
    <w:rsid w:val="00856A94"/>
    <w:rsid w:val="008616B9"/>
    <w:rsid w:val="008629CE"/>
    <w:rsid w:val="00863A5C"/>
    <w:rsid w:val="00864A79"/>
    <w:rsid w:val="00864C98"/>
    <w:rsid w:val="00865426"/>
    <w:rsid w:val="00865504"/>
    <w:rsid w:val="00865CB9"/>
    <w:rsid w:val="00871389"/>
    <w:rsid w:val="00872EBF"/>
    <w:rsid w:val="00874F30"/>
    <w:rsid w:val="0087567F"/>
    <w:rsid w:val="00876291"/>
    <w:rsid w:val="0088159C"/>
    <w:rsid w:val="0088211A"/>
    <w:rsid w:val="00882B36"/>
    <w:rsid w:val="008841C1"/>
    <w:rsid w:val="00884EC0"/>
    <w:rsid w:val="00884F56"/>
    <w:rsid w:val="008852D1"/>
    <w:rsid w:val="008854F6"/>
    <w:rsid w:val="00886667"/>
    <w:rsid w:val="008869A0"/>
    <w:rsid w:val="00886BC4"/>
    <w:rsid w:val="0089040E"/>
    <w:rsid w:val="008931AF"/>
    <w:rsid w:val="008939E0"/>
    <w:rsid w:val="00896653"/>
    <w:rsid w:val="00897172"/>
    <w:rsid w:val="008972E4"/>
    <w:rsid w:val="008973EA"/>
    <w:rsid w:val="008A02F3"/>
    <w:rsid w:val="008A1C1D"/>
    <w:rsid w:val="008A2CD1"/>
    <w:rsid w:val="008A34A5"/>
    <w:rsid w:val="008A4481"/>
    <w:rsid w:val="008A48CA"/>
    <w:rsid w:val="008A5569"/>
    <w:rsid w:val="008A6E39"/>
    <w:rsid w:val="008A79EA"/>
    <w:rsid w:val="008A7D7D"/>
    <w:rsid w:val="008B057B"/>
    <w:rsid w:val="008B0748"/>
    <w:rsid w:val="008B2099"/>
    <w:rsid w:val="008B2938"/>
    <w:rsid w:val="008B395C"/>
    <w:rsid w:val="008B3BAA"/>
    <w:rsid w:val="008B3E41"/>
    <w:rsid w:val="008B4EB8"/>
    <w:rsid w:val="008B56BB"/>
    <w:rsid w:val="008C2089"/>
    <w:rsid w:val="008C30E9"/>
    <w:rsid w:val="008C3928"/>
    <w:rsid w:val="008C5678"/>
    <w:rsid w:val="008C5773"/>
    <w:rsid w:val="008C60E8"/>
    <w:rsid w:val="008C68AC"/>
    <w:rsid w:val="008C6E12"/>
    <w:rsid w:val="008D03D7"/>
    <w:rsid w:val="008D0CA6"/>
    <w:rsid w:val="008D24F5"/>
    <w:rsid w:val="008D4CD0"/>
    <w:rsid w:val="008D5358"/>
    <w:rsid w:val="008D6473"/>
    <w:rsid w:val="008D64E2"/>
    <w:rsid w:val="008D71DF"/>
    <w:rsid w:val="008E0180"/>
    <w:rsid w:val="008E04BD"/>
    <w:rsid w:val="008E35A5"/>
    <w:rsid w:val="008E3B22"/>
    <w:rsid w:val="008E41E0"/>
    <w:rsid w:val="008E4589"/>
    <w:rsid w:val="008E4A70"/>
    <w:rsid w:val="008E6929"/>
    <w:rsid w:val="008E791B"/>
    <w:rsid w:val="008F0770"/>
    <w:rsid w:val="008F0B15"/>
    <w:rsid w:val="008F1AA6"/>
    <w:rsid w:val="008F2212"/>
    <w:rsid w:val="008F2B69"/>
    <w:rsid w:val="008F73C8"/>
    <w:rsid w:val="008F7E69"/>
    <w:rsid w:val="009009B8"/>
    <w:rsid w:val="00900CFA"/>
    <w:rsid w:val="0090193A"/>
    <w:rsid w:val="00902606"/>
    <w:rsid w:val="00902E14"/>
    <w:rsid w:val="00903243"/>
    <w:rsid w:val="00903786"/>
    <w:rsid w:val="009038B8"/>
    <w:rsid w:val="0090396B"/>
    <w:rsid w:val="00903AB2"/>
    <w:rsid w:val="00904575"/>
    <w:rsid w:val="00905F29"/>
    <w:rsid w:val="0090719E"/>
    <w:rsid w:val="00907DD4"/>
    <w:rsid w:val="009109AA"/>
    <w:rsid w:val="00910AF9"/>
    <w:rsid w:val="00911D55"/>
    <w:rsid w:val="00913150"/>
    <w:rsid w:val="009141EF"/>
    <w:rsid w:val="009147C0"/>
    <w:rsid w:val="0091589D"/>
    <w:rsid w:val="00915C27"/>
    <w:rsid w:val="00916018"/>
    <w:rsid w:val="00916162"/>
    <w:rsid w:val="009166D6"/>
    <w:rsid w:val="00917343"/>
    <w:rsid w:val="00917815"/>
    <w:rsid w:val="00917EA6"/>
    <w:rsid w:val="00920EF5"/>
    <w:rsid w:val="009225C3"/>
    <w:rsid w:val="00922B5F"/>
    <w:rsid w:val="00923350"/>
    <w:rsid w:val="00925A25"/>
    <w:rsid w:val="00926879"/>
    <w:rsid w:val="00927E85"/>
    <w:rsid w:val="00931FC1"/>
    <w:rsid w:val="00932E33"/>
    <w:rsid w:val="00933315"/>
    <w:rsid w:val="00933C8C"/>
    <w:rsid w:val="0093588E"/>
    <w:rsid w:val="009367F6"/>
    <w:rsid w:val="009369A4"/>
    <w:rsid w:val="00937418"/>
    <w:rsid w:val="0093741D"/>
    <w:rsid w:val="009377F2"/>
    <w:rsid w:val="009407B7"/>
    <w:rsid w:val="00940933"/>
    <w:rsid w:val="009416CF"/>
    <w:rsid w:val="0094234F"/>
    <w:rsid w:val="009426C0"/>
    <w:rsid w:val="00942CB3"/>
    <w:rsid w:val="009435CC"/>
    <w:rsid w:val="00944174"/>
    <w:rsid w:val="00945116"/>
    <w:rsid w:val="0094668B"/>
    <w:rsid w:val="00947ED1"/>
    <w:rsid w:val="0095002E"/>
    <w:rsid w:val="009507EC"/>
    <w:rsid w:val="00950AC8"/>
    <w:rsid w:val="00951652"/>
    <w:rsid w:val="0095167E"/>
    <w:rsid w:val="00951DB3"/>
    <w:rsid w:val="00952E6A"/>
    <w:rsid w:val="00952F2F"/>
    <w:rsid w:val="009531A1"/>
    <w:rsid w:val="009538F7"/>
    <w:rsid w:val="00953DB8"/>
    <w:rsid w:val="00955541"/>
    <w:rsid w:val="00956196"/>
    <w:rsid w:val="009568C7"/>
    <w:rsid w:val="0096072C"/>
    <w:rsid w:val="009608B1"/>
    <w:rsid w:val="00961B95"/>
    <w:rsid w:val="00965C4B"/>
    <w:rsid w:val="00966DD7"/>
    <w:rsid w:val="009671EC"/>
    <w:rsid w:val="00967C10"/>
    <w:rsid w:val="00971B73"/>
    <w:rsid w:val="0097333F"/>
    <w:rsid w:val="00973E06"/>
    <w:rsid w:val="00974621"/>
    <w:rsid w:val="009757BB"/>
    <w:rsid w:val="00976441"/>
    <w:rsid w:val="00976A83"/>
    <w:rsid w:val="00976BCD"/>
    <w:rsid w:val="00976D17"/>
    <w:rsid w:val="00976E68"/>
    <w:rsid w:val="00977388"/>
    <w:rsid w:val="009804FB"/>
    <w:rsid w:val="009807EC"/>
    <w:rsid w:val="009808A0"/>
    <w:rsid w:val="0098151F"/>
    <w:rsid w:val="00981647"/>
    <w:rsid w:val="00983085"/>
    <w:rsid w:val="0098520E"/>
    <w:rsid w:val="009858C6"/>
    <w:rsid w:val="009861F7"/>
    <w:rsid w:val="00986A46"/>
    <w:rsid w:val="00987099"/>
    <w:rsid w:val="00987429"/>
    <w:rsid w:val="00987941"/>
    <w:rsid w:val="00987EC2"/>
    <w:rsid w:val="009902EC"/>
    <w:rsid w:val="009906A6"/>
    <w:rsid w:val="00991ACF"/>
    <w:rsid w:val="00991B41"/>
    <w:rsid w:val="009920EF"/>
    <w:rsid w:val="009924C5"/>
    <w:rsid w:val="00992ADC"/>
    <w:rsid w:val="00992E33"/>
    <w:rsid w:val="009930BD"/>
    <w:rsid w:val="00994BC7"/>
    <w:rsid w:val="0099516F"/>
    <w:rsid w:val="009964BF"/>
    <w:rsid w:val="009A17C0"/>
    <w:rsid w:val="009A263C"/>
    <w:rsid w:val="009A3FE1"/>
    <w:rsid w:val="009A5BF6"/>
    <w:rsid w:val="009A5EC9"/>
    <w:rsid w:val="009A602A"/>
    <w:rsid w:val="009A6D32"/>
    <w:rsid w:val="009A71C4"/>
    <w:rsid w:val="009A7578"/>
    <w:rsid w:val="009B07CE"/>
    <w:rsid w:val="009B096C"/>
    <w:rsid w:val="009B15EC"/>
    <w:rsid w:val="009B1781"/>
    <w:rsid w:val="009B1FB5"/>
    <w:rsid w:val="009B2546"/>
    <w:rsid w:val="009B464D"/>
    <w:rsid w:val="009B7208"/>
    <w:rsid w:val="009B74EB"/>
    <w:rsid w:val="009B787E"/>
    <w:rsid w:val="009C0188"/>
    <w:rsid w:val="009C1F90"/>
    <w:rsid w:val="009C335B"/>
    <w:rsid w:val="009C340A"/>
    <w:rsid w:val="009C5436"/>
    <w:rsid w:val="009C66A3"/>
    <w:rsid w:val="009C6B4A"/>
    <w:rsid w:val="009C7F7D"/>
    <w:rsid w:val="009D5238"/>
    <w:rsid w:val="009D616A"/>
    <w:rsid w:val="009D79DE"/>
    <w:rsid w:val="009E1DC5"/>
    <w:rsid w:val="009E23F5"/>
    <w:rsid w:val="009E4F74"/>
    <w:rsid w:val="009E6061"/>
    <w:rsid w:val="009E7402"/>
    <w:rsid w:val="009F317D"/>
    <w:rsid w:val="009F3949"/>
    <w:rsid w:val="009F3FB2"/>
    <w:rsid w:val="009F4F81"/>
    <w:rsid w:val="009F5574"/>
    <w:rsid w:val="009F57EC"/>
    <w:rsid w:val="009F5996"/>
    <w:rsid w:val="009F6DB7"/>
    <w:rsid w:val="00A01086"/>
    <w:rsid w:val="00A03D70"/>
    <w:rsid w:val="00A04A73"/>
    <w:rsid w:val="00A04B81"/>
    <w:rsid w:val="00A05E57"/>
    <w:rsid w:val="00A0636C"/>
    <w:rsid w:val="00A07CF2"/>
    <w:rsid w:val="00A10AAC"/>
    <w:rsid w:val="00A10C8D"/>
    <w:rsid w:val="00A1120D"/>
    <w:rsid w:val="00A11359"/>
    <w:rsid w:val="00A1137C"/>
    <w:rsid w:val="00A122C9"/>
    <w:rsid w:val="00A1283B"/>
    <w:rsid w:val="00A13CB3"/>
    <w:rsid w:val="00A13F0D"/>
    <w:rsid w:val="00A14A7F"/>
    <w:rsid w:val="00A15DB7"/>
    <w:rsid w:val="00A165B1"/>
    <w:rsid w:val="00A16D18"/>
    <w:rsid w:val="00A17503"/>
    <w:rsid w:val="00A215B3"/>
    <w:rsid w:val="00A227C8"/>
    <w:rsid w:val="00A23194"/>
    <w:rsid w:val="00A235C6"/>
    <w:rsid w:val="00A23EBA"/>
    <w:rsid w:val="00A240CE"/>
    <w:rsid w:val="00A2463D"/>
    <w:rsid w:val="00A24D20"/>
    <w:rsid w:val="00A25167"/>
    <w:rsid w:val="00A25D67"/>
    <w:rsid w:val="00A25F1F"/>
    <w:rsid w:val="00A26A9A"/>
    <w:rsid w:val="00A26B63"/>
    <w:rsid w:val="00A26C47"/>
    <w:rsid w:val="00A26F05"/>
    <w:rsid w:val="00A27345"/>
    <w:rsid w:val="00A30D9A"/>
    <w:rsid w:val="00A329F7"/>
    <w:rsid w:val="00A32C4E"/>
    <w:rsid w:val="00A32C73"/>
    <w:rsid w:val="00A3452B"/>
    <w:rsid w:val="00A34E1B"/>
    <w:rsid w:val="00A36D92"/>
    <w:rsid w:val="00A37419"/>
    <w:rsid w:val="00A376B8"/>
    <w:rsid w:val="00A37C46"/>
    <w:rsid w:val="00A4225F"/>
    <w:rsid w:val="00A42575"/>
    <w:rsid w:val="00A430FF"/>
    <w:rsid w:val="00A4314D"/>
    <w:rsid w:val="00A438CE"/>
    <w:rsid w:val="00A4433F"/>
    <w:rsid w:val="00A4512F"/>
    <w:rsid w:val="00A46903"/>
    <w:rsid w:val="00A46A9A"/>
    <w:rsid w:val="00A50111"/>
    <w:rsid w:val="00A50DDD"/>
    <w:rsid w:val="00A51515"/>
    <w:rsid w:val="00A51D5E"/>
    <w:rsid w:val="00A52158"/>
    <w:rsid w:val="00A52C22"/>
    <w:rsid w:val="00A52EE5"/>
    <w:rsid w:val="00A55980"/>
    <w:rsid w:val="00A55F48"/>
    <w:rsid w:val="00A60022"/>
    <w:rsid w:val="00A62BBE"/>
    <w:rsid w:val="00A63011"/>
    <w:rsid w:val="00A64890"/>
    <w:rsid w:val="00A6514E"/>
    <w:rsid w:val="00A6676D"/>
    <w:rsid w:val="00A72E78"/>
    <w:rsid w:val="00A733F8"/>
    <w:rsid w:val="00A7430D"/>
    <w:rsid w:val="00A74D41"/>
    <w:rsid w:val="00A751B2"/>
    <w:rsid w:val="00A75616"/>
    <w:rsid w:val="00A76996"/>
    <w:rsid w:val="00A80F1A"/>
    <w:rsid w:val="00A810C1"/>
    <w:rsid w:val="00A83191"/>
    <w:rsid w:val="00A8449C"/>
    <w:rsid w:val="00A84C3C"/>
    <w:rsid w:val="00A84E4C"/>
    <w:rsid w:val="00A85A45"/>
    <w:rsid w:val="00A87F4B"/>
    <w:rsid w:val="00A907C6"/>
    <w:rsid w:val="00A907F6"/>
    <w:rsid w:val="00A909A3"/>
    <w:rsid w:val="00A91BD2"/>
    <w:rsid w:val="00A91C63"/>
    <w:rsid w:val="00A93E54"/>
    <w:rsid w:val="00A940BE"/>
    <w:rsid w:val="00A945A4"/>
    <w:rsid w:val="00A96316"/>
    <w:rsid w:val="00A9658A"/>
    <w:rsid w:val="00A970ED"/>
    <w:rsid w:val="00A97BBB"/>
    <w:rsid w:val="00AA1193"/>
    <w:rsid w:val="00AA11D7"/>
    <w:rsid w:val="00AA1384"/>
    <w:rsid w:val="00AA2F12"/>
    <w:rsid w:val="00AA553F"/>
    <w:rsid w:val="00AA5C49"/>
    <w:rsid w:val="00AA606B"/>
    <w:rsid w:val="00AA74CE"/>
    <w:rsid w:val="00AA7511"/>
    <w:rsid w:val="00AA7525"/>
    <w:rsid w:val="00AA7B6A"/>
    <w:rsid w:val="00AA7CB2"/>
    <w:rsid w:val="00AA7F01"/>
    <w:rsid w:val="00AB0380"/>
    <w:rsid w:val="00AB21A5"/>
    <w:rsid w:val="00AB27C3"/>
    <w:rsid w:val="00AB33A2"/>
    <w:rsid w:val="00AB3466"/>
    <w:rsid w:val="00AB3D33"/>
    <w:rsid w:val="00AB4265"/>
    <w:rsid w:val="00AB67C9"/>
    <w:rsid w:val="00AB6BA7"/>
    <w:rsid w:val="00AC090E"/>
    <w:rsid w:val="00AC1B27"/>
    <w:rsid w:val="00AC4C62"/>
    <w:rsid w:val="00AC5958"/>
    <w:rsid w:val="00AC60D4"/>
    <w:rsid w:val="00AC6906"/>
    <w:rsid w:val="00AD0924"/>
    <w:rsid w:val="00AD184D"/>
    <w:rsid w:val="00AD1C36"/>
    <w:rsid w:val="00AD221C"/>
    <w:rsid w:val="00AD2843"/>
    <w:rsid w:val="00AD29DC"/>
    <w:rsid w:val="00AD2CAC"/>
    <w:rsid w:val="00AD2D34"/>
    <w:rsid w:val="00AD36F3"/>
    <w:rsid w:val="00AD50E7"/>
    <w:rsid w:val="00AD7121"/>
    <w:rsid w:val="00AE29AD"/>
    <w:rsid w:val="00AE3161"/>
    <w:rsid w:val="00AE39EE"/>
    <w:rsid w:val="00AE503E"/>
    <w:rsid w:val="00AE53E5"/>
    <w:rsid w:val="00AE5B17"/>
    <w:rsid w:val="00AE6320"/>
    <w:rsid w:val="00AE6531"/>
    <w:rsid w:val="00AE7A73"/>
    <w:rsid w:val="00AE7CA8"/>
    <w:rsid w:val="00AF0353"/>
    <w:rsid w:val="00AF4F3E"/>
    <w:rsid w:val="00B0091B"/>
    <w:rsid w:val="00B00C14"/>
    <w:rsid w:val="00B023E0"/>
    <w:rsid w:val="00B03EC9"/>
    <w:rsid w:val="00B0517B"/>
    <w:rsid w:val="00B060C2"/>
    <w:rsid w:val="00B067B6"/>
    <w:rsid w:val="00B0680D"/>
    <w:rsid w:val="00B06F01"/>
    <w:rsid w:val="00B071DA"/>
    <w:rsid w:val="00B106C9"/>
    <w:rsid w:val="00B114A2"/>
    <w:rsid w:val="00B129C3"/>
    <w:rsid w:val="00B12FD5"/>
    <w:rsid w:val="00B15B56"/>
    <w:rsid w:val="00B17622"/>
    <w:rsid w:val="00B17D5F"/>
    <w:rsid w:val="00B212B9"/>
    <w:rsid w:val="00B24C1C"/>
    <w:rsid w:val="00B253A9"/>
    <w:rsid w:val="00B25AC6"/>
    <w:rsid w:val="00B30B1B"/>
    <w:rsid w:val="00B3145C"/>
    <w:rsid w:val="00B32830"/>
    <w:rsid w:val="00B3285D"/>
    <w:rsid w:val="00B335B7"/>
    <w:rsid w:val="00B33E53"/>
    <w:rsid w:val="00B35EBD"/>
    <w:rsid w:val="00B362CD"/>
    <w:rsid w:val="00B37D25"/>
    <w:rsid w:val="00B42FAF"/>
    <w:rsid w:val="00B43B56"/>
    <w:rsid w:val="00B45AD3"/>
    <w:rsid w:val="00B461D9"/>
    <w:rsid w:val="00B50FEA"/>
    <w:rsid w:val="00B51175"/>
    <w:rsid w:val="00B51D60"/>
    <w:rsid w:val="00B51F89"/>
    <w:rsid w:val="00B527AC"/>
    <w:rsid w:val="00B5397C"/>
    <w:rsid w:val="00B54FA9"/>
    <w:rsid w:val="00B5550B"/>
    <w:rsid w:val="00B564D1"/>
    <w:rsid w:val="00B57B0B"/>
    <w:rsid w:val="00B57B9E"/>
    <w:rsid w:val="00B57E14"/>
    <w:rsid w:val="00B60003"/>
    <w:rsid w:val="00B615BC"/>
    <w:rsid w:val="00B6246A"/>
    <w:rsid w:val="00B62AD5"/>
    <w:rsid w:val="00B63E54"/>
    <w:rsid w:val="00B64308"/>
    <w:rsid w:val="00B650FF"/>
    <w:rsid w:val="00B657AF"/>
    <w:rsid w:val="00B657E7"/>
    <w:rsid w:val="00B679A7"/>
    <w:rsid w:val="00B70043"/>
    <w:rsid w:val="00B71F74"/>
    <w:rsid w:val="00B733E9"/>
    <w:rsid w:val="00B73C23"/>
    <w:rsid w:val="00B74415"/>
    <w:rsid w:val="00B754F6"/>
    <w:rsid w:val="00B755EA"/>
    <w:rsid w:val="00B7570C"/>
    <w:rsid w:val="00B75FDE"/>
    <w:rsid w:val="00B76CB3"/>
    <w:rsid w:val="00B771FF"/>
    <w:rsid w:val="00B8167E"/>
    <w:rsid w:val="00B82279"/>
    <w:rsid w:val="00B82C45"/>
    <w:rsid w:val="00B83D06"/>
    <w:rsid w:val="00B84168"/>
    <w:rsid w:val="00B85783"/>
    <w:rsid w:val="00B87AFE"/>
    <w:rsid w:val="00B90E07"/>
    <w:rsid w:val="00B916DB"/>
    <w:rsid w:val="00B9179A"/>
    <w:rsid w:val="00B91CFE"/>
    <w:rsid w:val="00B95BBA"/>
    <w:rsid w:val="00B96FD6"/>
    <w:rsid w:val="00BA0160"/>
    <w:rsid w:val="00BA054F"/>
    <w:rsid w:val="00BA0C3D"/>
    <w:rsid w:val="00BA123B"/>
    <w:rsid w:val="00BA1B43"/>
    <w:rsid w:val="00BA2E32"/>
    <w:rsid w:val="00BA309C"/>
    <w:rsid w:val="00BA33AE"/>
    <w:rsid w:val="00BA3721"/>
    <w:rsid w:val="00BA37EC"/>
    <w:rsid w:val="00BA3880"/>
    <w:rsid w:val="00BA47C0"/>
    <w:rsid w:val="00BA7802"/>
    <w:rsid w:val="00BB059B"/>
    <w:rsid w:val="00BB161D"/>
    <w:rsid w:val="00BB2117"/>
    <w:rsid w:val="00BB4B21"/>
    <w:rsid w:val="00BB635E"/>
    <w:rsid w:val="00BB6C3D"/>
    <w:rsid w:val="00BB6E98"/>
    <w:rsid w:val="00BB6EF0"/>
    <w:rsid w:val="00BB790B"/>
    <w:rsid w:val="00BC0CB5"/>
    <w:rsid w:val="00BC0DFF"/>
    <w:rsid w:val="00BC1740"/>
    <w:rsid w:val="00BC338F"/>
    <w:rsid w:val="00BC3B0F"/>
    <w:rsid w:val="00BC48E1"/>
    <w:rsid w:val="00BC6017"/>
    <w:rsid w:val="00BC723B"/>
    <w:rsid w:val="00BD0B30"/>
    <w:rsid w:val="00BD1736"/>
    <w:rsid w:val="00BD28CA"/>
    <w:rsid w:val="00BD3C26"/>
    <w:rsid w:val="00BD43B8"/>
    <w:rsid w:val="00BD599E"/>
    <w:rsid w:val="00BD5F4A"/>
    <w:rsid w:val="00BD79CF"/>
    <w:rsid w:val="00BD7EA0"/>
    <w:rsid w:val="00BE01D7"/>
    <w:rsid w:val="00BE0394"/>
    <w:rsid w:val="00BE185A"/>
    <w:rsid w:val="00BE2210"/>
    <w:rsid w:val="00BE4DC3"/>
    <w:rsid w:val="00BE5099"/>
    <w:rsid w:val="00BE5AC7"/>
    <w:rsid w:val="00BE5F74"/>
    <w:rsid w:val="00BF071C"/>
    <w:rsid w:val="00BF2259"/>
    <w:rsid w:val="00BF3274"/>
    <w:rsid w:val="00BF36FF"/>
    <w:rsid w:val="00BF3E58"/>
    <w:rsid w:val="00BF477A"/>
    <w:rsid w:val="00BF4A8E"/>
    <w:rsid w:val="00BF73E4"/>
    <w:rsid w:val="00BF75D8"/>
    <w:rsid w:val="00C046AA"/>
    <w:rsid w:val="00C04866"/>
    <w:rsid w:val="00C05135"/>
    <w:rsid w:val="00C0628D"/>
    <w:rsid w:val="00C115CE"/>
    <w:rsid w:val="00C12838"/>
    <w:rsid w:val="00C1356C"/>
    <w:rsid w:val="00C13F41"/>
    <w:rsid w:val="00C20543"/>
    <w:rsid w:val="00C23C8C"/>
    <w:rsid w:val="00C24018"/>
    <w:rsid w:val="00C25A07"/>
    <w:rsid w:val="00C2685F"/>
    <w:rsid w:val="00C26D22"/>
    <w:rsid w:val="00C274D4"/>
    <w:rsid w:val="00C302DE"/>
    <w:rsid w:val="00C3042D"/>
    <w:rsid w:val="00C316A8"/>
    <w:rsid w:val="00C32567"/>
    <w:rsid w:val="00C325B6"/>
    <w:rsid w:val="00C32A42"/>
    <w:rsid w:val="00C32B27"/>
    <w:rsid w:val="00C3580B"/>
    <w:rsid w:val="00C362B7"/>
    <w:rsid w:val="00C3693F"/>
    <w:rsid w:val="00C37A6A"/>
    <w:rsid w:val="00C40C1B"/>
    <w:rsid w:val="00C40D55"/>
    <w:rsid w:val="00C40E8C"/>
    <w:rsid w:val="00C41155"/>
    <w:rsid w:val="00C41376"/>
    <w:rsid w:val="00C43028"/>
    <w:rsid w:val="00C436B8"/>
    <w:rsid w:val="00C443D7"/>
    <w:rsid w:val="00C45A8E"/>
    <w:rsid w:val="00C474CB"/>
    <w:rsid w:val="00C50A81"/>
    <w:rsid w:val="00C51A4A"/>
    <w:rsid w:val="00C52AE1"/>
    <w:rsid w:val="00C558C7"/>
    <w:rsid w:val="00C55D8B"/>
    <w:rsid w:val="00C57CB2"/>
    <w:rsid w:val="00C61ADF"/>
    <w:rsid w:val="00C620FD"/>
    <w:rsid w:val="00C629E3"/>
    <w:rsid w:val="00C62CFB"/>
    <w:rsid w:val="00C639E4"/>
    <w:rsid w:val="00C640F9"/>
    <w:rsid w:val="00C65896"/>
    <w:rsid w:val="00C666CD"/>
    <w:rsid w:val="00C666EB"/>
    <w:rsid w:val="00C6698B"/>
    <w:rsid w:val="00C70777"/>
    <w:rsid w:val="00C71002"/>
    <w:rsid w:val="00C7112B"/>
    <w:rsid w:val="00C71CED"/>
    <w:rsid w:val="00C71FF4"/>
    <w:rsid w:val="00C72168"/>
    <w:rsid w:val="00C7222E"/>
    <w:rsid w:val="00C74A2C"/>
    <w:rsid w:val="00C75E57"/>
    <w:rsid w:val="00C75FBD"/>
    <w:rsid w:val="00C76321"/>
    <w:rsid w:val="00C768CE"/>
    <w:rsid w:val="00C774AA"/>
    <w:rsid w:val="00C778C6"/>
    <w:rsid w:val="00C80C62"/>
    <w:rsid w:val="00C80C90"/>
    <w:rsid w:val="00C82A8A"/>
    <w:rsid w:val="00C8582F"/>
    <w:rsid w:val="00C8634C"/>
    <w:rsid w:val="00C86F27"/>
    <w:rsid w:val="00C876D7"/>
    <w:rsid w:val="00C87803"/>
    <w:rsid w:val="00C92FA6"/>
    <w:rsid w:val="00C94097"/>
    <w:rsid w:val="00C9443A"/>
    <w:rsid w:val="00C954B8"/>
    <w:rsid w:val="00CA1040"/>
    <w:rsid w:val="00CA11CE"/>
    <w:rsid w:val="00CA168B"/>
    <w:rsid w:val="00CA1A29"/>
    <w:rsid w:val="00CA1E8D"/>
    <w:rsid w:val="00CA1EB7"/>
    <w:rsid w:val="00CA35DA"/>
    <w:rsid w:val="00CA35E1"/>
    <w:rsid w:val="00CA3AF7"/>
    <w:rsid w:val="00CA4694"/>
    <w:rsid w:val="00CA6B1E"/>
    <w:rsid w:val="00CB032B"/>
    <w:rsid w:val="00CB0554"/>
    <w:rsid w:val="00CB1300"/>
    <w:rsid w:val="00CB14D8"/>
    <w:rsid w:val="00CB19B6"/>
    <w:rsid w:val="00CB3127"/>
    <w:rsid w:val="00CB328A"/>
    <w:rsid w:val="00CB3637"/>
    <w:rsid w:val="00CB45CA"/>
    <w:rsid w:val="00CB508C"/>
    <w:rsid w:val="00CB6FF1"/>
    <w:rsid w:val="00CB7613"/>
    <w:rsid w:val="00CB7F79"/>
    <w:rsid w:val="00CC1136"/>
    <w:rsid w:val="00CC1659"/>
    <w:rsid w:val="00CC2170"/>
    <w:rsid w:val="00CC26FF"/>
    <w:rsid w:val="00CC2821"/>
    <w:rsid w:val="00CC4273"/>
    <w:rsid w:val="00CC5606"/>
    <w:rsid w:val="00CC59FA"/>
    <w:rsid w:val="00CC5BE8"/>
    <w:rsid w:val="00CC5C44"/>
    <w:rsid w:val="00CC5EAE"/>
    <w:rsid w:val="00CC650D"/>
    <w:rsid w:val="00CC6CB6"/>
    <w:rsid w:val="00CC7050"/>
    <w:rsid w:val="00CD02A5"/>
    <w:rsid w:val="00CD1F20"/>
    <w:rsid w:val="00CD3141"/>
    <w:rsid w:val="00CD3B82"/>
    <w:rsid w:val="00CD496D"/>
    <w:rsid w:val="00CD56F5"/>
    <w:rsid w:val="00CD628D"/>
    <w:rsid w:val="00CD68D9"/>
    <w:rsid w:val="00CD7006"/>
    <w:rsid w:val="00CD7F0B"/>
    <w:rsid w:val="00CE235B"/>
    <w:rsid w:val="00CE4B69"/>
    <w:rsid w:val="00CF0627"/>
    <w:rsid w:val="00CF1EA3"/>
    <w:rsid w:val="00CF2168"/>
    <w:rsid w:val="00CF2CF0"/>
    <w:rsid w:val="00CF35A0"/>
    <w:rsid w:val="00CF40D6"/>
    <w:rsid w:val="00CF5011"/>
    <w:rsid w:val="00CF5A2D"/>
    <w:rsid w:val="00D01A39"/>
    <w:rsid w:val="00D02911"/>
    <w:rsid w:val="00D04102"/>
    <w:rsid w:val="00D044DC"/>
    <w:rsid w:val="00D05A02"/>
    <w:rsid w:val="00D05EDF"/>
    <w:rsid w:val="00D066C1"/>
    <w:rsid w:val="00D0725D"/>
    <w:rsid w:val="00D10569"/>
    <w:rsid w:val="00D11F38"/>
    <w:rsid w:val="00D11F49"/>
    <w:rsid w:val="00D12F03"/>
    <w:rsid w:val="00D1360C"/>
    <w:rsid w:val="00D1429B"/>
    <w:rsid w:val="00D16503"/>
    <w:rsid w:val="00D167CF"/>
    <w:rsid w:val="00D17467"/>
    <w:rsid w:val="00D17CB4"/>
    <w:rsid w:val="00D200C7"/>
    <w:rsid w:val="00D20C71"/>
    <w:rsid w:val="00D2150F"/>
    <w:rsid w:val="00D215DF"/>
    <w:rsid w:val="00D2255B"/>
    <w:rsid w:val="00D27292"/>
    <w:rsid w:val="00D27472"/>
    <w:rsid w:val="00D27D3A"/>
    <w:rsid w:val="00D302DC"/>
    <w:rsid w:val="00D3323B"/>
    <w:rsid w:val="00D33E3B"/>
    <w:rsid w:val="00D40B85"/>
    <w:rsid w:val="00D4232F"/>
    <w:rsid w:val="00D42D78"/>
    <w:rsid w:val="00D4320E"/>
    <w:rsid w:val="00D4754F"/>
    <w:rsid w:val="00D477A5"/>
    <w:rsid w:val="00D47EDE"/>
    <w:rsid w:val="00D50F73"/>
    <w:rsid w:val="00D51FB4"/>
    <w:rsid w:val="00D5222D"/>
    <w:rsid w:val="00D53251"/>
    <w:rsid w:val="00D53379"/>
    <w:rsid w:val="00D535AC"/>
    <w:rsid w:val="00D53A67"/>
    <w:rsid w:val="00D555C7"/>
    <w:rsid w:val="00D566F4"/>
    <w:rsid w:val="00D56CCF"/>
    <w:rsid w:val="00D5790E"/>
    <w:rsid w:val="00D57A81"/>
    <w:rsid w:val="00D60855"/>
    <w:rsid w:val="00D61E7F"/>
    <w:rsid w:val="00D621F5"/>
    <w:rsid w:val="00D6459C"/>
    <w:rsid w:val="00D652CC"/>
    <w:rsid w:val="00D6662E"/>
    <w:rsid w:val="00D67CD3"/>
    <w:rsid w:val="00D7115D"/>
    <w:rsid w:val="00D71300"/>
    <w:rsid w:val="00D732F3"/>
    <w:rsid w:val="00D737E2"/>
    <w:rsid w:val="00D74200"/>
    <w:rsid w:val="00D7566D"/>
    <w:rsid w:val="00D75B99"/>
    <w:rsid w:val="00D779CC"/>
    <w:rsid w:val="00D81F86"/>
    <w:rsid w:val="00D83D2E"/>
    <w:rsid w:val="00D846F7"/>
    <w:rsid w:val="00D8472A"/>
    <w:rsid w:val="00D84B59"/>
    <w:rsid w:val="00D87C59"/>
    <w:rsid w:val="00D905B9"/>
    <w:rsid w:val="00D90674"/>
    <w:rsid w:val="00D90AED"/>
    <w:rsid w:val="00D90B1F"/>
    <w:rsid w:val="00D91C02"/>
    <w:rsid w:val="00D92790"/>
    <w:rsid w:val="00D9299D"/>
    <w:rsid w:val="00D94024"/>
    <w:rsid w:val="00D94C8A"/>
    <w:rsid w:val="00D97E23"/>
    <w:rsid w:val="00DA059A"/>
    <w:rsid w:val="00DA1EA7"/>
    <w:rsid w:val="00DA1F85"/>
    <w:rsid w:val="00DA25E9"/>
    <w:rsid w:val="00DA3D28"/>
    <w:rsid w:val="00DA4919"/>
    <w:rsid w:val="00DA5BA2"/>
    <w:rsid w:val="00DA5C16"/>
    <w:rsid w:val="00DA66C6"/>
    <w:rsid w:val="00DA6781"/>
    <w:rsid w:val="00DA6820"/>
    <w:rsid w:val="00DA76D1"/>
    <w:rsid w:val="00DA7A09"/>
    <w:rsid w:val="00DB0A9E"/>
    <w:rsid w:val="00DB0D33"/>
    <w:rsid w:val="00DB1785"/>
    <w:rsid w:val="00DB6AA8"/>
    <w:rsid w:val="00DB6FE1"/>
    <w:rsid w:val="00DC075C"/>
    <w:rsid w:val="00DC0C12"/>
    <w:rsid w:val="00DC6FBB"/>
    <w:rsid w:val="00DD0365"/>
    <w:rsid w:val="00DD0FA2"/>
    <w:rsid w:val="00DD1988"/>
    <w:rsid w:val="00DD1C44"/>
    <w:rsid w:val="00DD2A70"/>
    <w:rsid w:val="00DD3656"/>
    <w:rsid w:val="00DD3B6B"/>
    <w:rsid w:val="00DD4C00"/>
    <w:rsid w:val="00DD4C85"/>
    <w:rsid w:val="00DD5D38"/>
    <w:rsid w:val="00DD6252"/>
    <w:rsid w:val="00DD6F5D"/>
    <w:rsid w:val="00DD73E1"/>
    <w:rsid w:val="00DE05FE"/>
    <w:rsid w:val="00DE2538"/>
    <w:rsid w:val="00DE259B"/>
    <w:rsid w:val="00DE28E1"/>
    <w:rsid w:val="00DE3FF8"/>
    <w:rsid w:val="00DE4E07"/>
    <w:rsid w:val="00DE5EE8"/>
    <w:rsid w:val="00DE74EC"/>
    <w:rsid w:val="00DF0892"/>
    <w:rsid w:val="00DF0B01"/>
    <w:rsid w:val="00DF3CF7"/>
    <w:rsid w:val="00DF4608"/>
    <w:rsid w:val="00DF482F"/>
    <w:rsid w:val="00DF56B6"/>
    <w:rsid w:val="00DF5A46"/>
    <w:rsid w:val="00DF5BDA"/>
    <w:rsid w:val="00DF644D"/>
    <w:rsid w:val="00DF6DDA"/>
    <w:rsid w:val="00DF7259"/>
    <w:rsid w:val="00E00436"/>
    <w:rsid w:val="00E004E8"/>
    <w:rsid w:val="00E007C7"/>
    <w:rsid w:val="00E05835"/>
    <w:rsid w:val="00E06338"/>
    <w:rsid w:val="00E07E45"/>
    <w:rsid w:val="00E10581"/>
    <w:rsid w:val="00E10B49"/>
    <w:rsid w:val="00E10B5B"/>
    <w:rsid w:val="00E11105"/>
    <w:rsid w:val="00E115A1"/>
    <w:rsid w:val="00E12428"/>
    <w:rsid w:val="00E13A5A"/>
    <w:rsid w:val="00E14D84"/>
    <w:rsid w:val="00E15568"/>
    <w:rsid w:val="00E15BB4"/>
    <w:rsid w:val="00E15E4B"/>
    <w:rsid w:val="00E16076"/>
    <w:rsid w:val="00E16939"/>
    <w:rsid w:val="00E1766A"/>
    <w:rsid w:val="00E17C96"/>
    <w:rsid w:val="00E17E52"/>
    <w:rsid w:val="00E2015C"/>
    <w:rsid w:val="00E212F3"/>
    <w:rsid w:val="00E2162D"/>
    <w:rsid w:val="00E22460"/>
    <w:rsid w:val="00E267E6"/>
    <w:rsid w:val="00E26A20"/>
    <w:rsid w:val="00E26E11"/>
    <w:rsid w:val="00E30609"/>
    <w:rsid w:val="00E317CD"/>
    <w:rsid w:val="00E31D18"/>
    <w:rsid w:val="00E32517"/>
    <w:rsid w:val="00E3294E"/>
    <w:rsid w:val="00E3320F"/>
    <w:rsid w:val="00E34501"/>
    <w:rsid w:val="00E349AB"/>
    <w:rsid w:val="00E34F53"/>
    <w:rsid w:val="00E35340"/>
    <w:rsid w:val="00E355DD"/>
    <w:rsid w:val="00E35B8F"/>
    <w:rsid w:val="00E37447"/>
    <w:rsid w:val="00E37985"/>
    <w:rsid w:val="00E40078"/>
    <w:rsid w:val="00E40B46"/>
    <w:rsid w:val="00E41DF8"/>
    <w:rsid w:val="00E44069"/>
    <w:rsid w:val="00E4461B"/>
    <w:rsid w:val="00E44BBA"/>
    <w:rsid w:val="00E4520C"/>
    <w:rsid w:val="00E45F49"/>
    <w:rsid w:val="00E47C61"/>
    <w:rsid w:val="00E528C7"/>
    <w:rsid w:val="00E531E4"/>
    <w:rsid w:val="00E53CBB"/>
    <w:rsid w:val="00E54223"/>
    <w:rsid w:val="00E56504"/>
    <w:rsid w:val="00E56715"/>
    <w:rsid w:val="00E6002A"/>
    <w:rsid w:val="00E60322"/>
    <w:rsid w:val="00E608FB"/>
    <w:rsid w:val="00E6181E"/>
    <w:rsid w:val="00E628A3"/>
    <w:rsid w:val="00E62B01"/>
    <w:rsid w:val="00E64252"/>
    <w:rsid w:val="00E64B67"/>
    <w:rsid w:val="00E6576D"/>
    <w:rsid w:val="00E65B54"/>
    <w:rsid w:val="00E669CD"/>
    <w:rsid w:val="00E66DC9"/>
    <w:rsid w:val="00E70601"/>
    <w:rsid w:val="00E70A2C"/>
    <w:rsid w:val="00E70BD5"/>
    <w:rsid w:val="00E70DBC"/>
    <w:rsid w:val="00E712A1"/>
    <w:rsid w:val="00E72388"/>
    <w:rsid w:val="00E73752"/>
    <w:rsid w:val="00E73BC9"/>
    <w:rsid w:val="00E74D71"/>
    <w:rsid w:val="00E74F68"/>
    <w:rsid w:val="00E75AF5"/>
    <w:rsid w:val="00E768CD"/>
    <w:rsid w:val="00E77755"/>
    <w:rsid w:val="00E808EB"/>
    <w:rsid w:val="00E81159"/>
    <w:rsid w:val="00E81A92"/>
    <w:rsid w:val="00E83A1D"/>
    <w:rsid w:val="00E847A7"/>
    <w:rsid w:val="00E85171"/>
    <w:rsid w:val="00E854C0"/>
    <w:rsid w:val="00E85979"/>
    <w:rsid w:val="00E85DF3"/>
    <w:rsid w:val="00E85FF2"/>
    <w:rsid w:val="00E86075"/>
    <w:rsid w:val="00E86CBA"/>
    <w:rsid w:val="00E90E39"/>
    <w:rsid w:val="00E90E5C"/>
    <w:rsid w:val="00E919AF"/>
    <w:rsid w:val="00E923D3"/>
    <w:rsid w:val="00E93C25"/>
    <w:rsid w:val="00E96FD8"/>
    <w:rsid w:val="00EA15BF"/>
    <w:rsid w:val="00EA35BF"/>
    <w:rsid w:val="00EA3685"/>
    <w:rsid w:val="00EA3743"/>
    <w:rsid w:val="00EA422C"/>
    <w:rsid w:val="00EA546D"/>
    <w:rsid w:val="00EA5D8D"/>
    <w:rsid w:val="00EA72AB"/>
    <w:rsid w:val="00EA7858"/>
    <w:rsid w:val="00EB1557"/>
    <w:rsid w:val="00EB255A"/>
    <w:rsid w:val="00EB3303"/>
    <w:rsid w:val="00EB3B0D"/>
    <w:rsid w:val="00EB4DAF"/>
    <w:rsid w:val="00EB6C6C"/>
    <w:rsid w:val="00EB7FF8"/>
    <w:rsid w:val="00EC1986"/>
    <w:rsid w:val="00EC21E7"/>
    <w:rsid w:val="00EC2A56"/>
    <w:rsid w:val="00EC3FFB"/>
    <w:rsid w:val="00EC4077"/>
    <w:rsid w:val="00EC563A"/>
    <w:rsid w:val="00EC5EA6"/>
    <w:rsid w:val="00ED076D"/>
    <w:rsid w:val="00ED12B0"/>
    <w:rsid w:val="00ED3522"/>
    <w:rsid w:val="00ED5D85"/>
    <w:rsid w:val="00ED63CD"/>
    <w:rsid w:val="00EE1BFF"/>
    <w:rsid w:val="00EE570F"/>
    <w:rsid w:val="00EE5D4B"/>
    <w:rsid w:val="00EE5F89"/>
    <w:rsid w:val="00EE68B6"/>
    <w:rsid w:val="00EF0488"/>
    <w:rsid w:val="00EF1845"/>
    <w:rsid w:val="00EF1B2D"/>
    <w:rsid w:val="00EF4EEF"/>
    <w:rsid w:val="00EF652B"/>
    <w:rsid w:val="00EF70FE"/>
    <w:rsid w:val="00F0196A"/>
    <w:rsid w:val="00F02F9A"/>
    <w:rsid w:val="00F03945"/>
    <w:rsid w:val="00F04454"/>
    <w:rsid w:val="00F07B2D"/>
    <w:rsid w:val="00F110FB"/>
    <w:rsid w:val="00F12F07"/>
    <w:rsid w:val="00F142A6"/>
    <w:rsid w:val="00F143CB"/>
    <w:rsid w:val="00F172EE"/>
    <w:rsid w:val="00F179ED"/>
    <w:rsid w:val="00F21DE3"/>
    <w:rsid w:val="00F22799"/>
    <w:rsid w:val="00F22FC2"/>
    <w:rsid w:val="00F24705"/>
    <w:rsid w:val="00F248B6"/>
    <w:rsid w:val="00F27887"/>
    <w:rsid w:val="00F305FA"/>
    <w:rsid w:val="00F31637"/>
    <w:rsid w:val="00F3239D"/>
    <w:rsid w:val="00F33B9F"/>
    <w:rsid w:val="00F34396"/>
    <w:rsid w:val="00F34AB2"/>
    <w:rsid w:val="00F35648"/>
    <w:rsid w:val="00F370AC"/>
    <w:rsid w:val="00F40E0D"/>
    <w:rsid w:val="00F40FD9"/>
    <w:rsid w:val="00F41932"/>
    <w:rsid w:val="00F41E96"/>
    <w:rsid w:val="00F4232A"/>
    <w:rsid w:val="00F42C4F"/>
    <w:rsid w:val="00F44C22"/>
    <w:rsid w:val="00F45253"/>
    <w:rsid w:val="00F4786B"/>
    <w:rsid w:val="00F4789A"/>
    <w:rsid w:val="00F51869"/>
    <w:rsid w:val="00F51C00"/>
    <w:rsid w:val="00F51FDE"/>
    <w:rsid w:val="00F52E2B"/>
    <w:rsid w:val="00F549C2"/>
    <w:rsid w:val="00F54C71"/>
    <w:rsid w:val="00F56230"/>
    <w:rsid w:val="00F61364"/>
    <w:rsid w:val="00F614C4"/>
    <w:rsid w:val="00F61E2F"/>
    <w:rsid w:val="00F62993"/>
    <w:rsid w:val="00F63A89"/>
    <w:rsid w:val="00F667F2"/>
    <w:rsid w:val="00F712C1"/>
    <w:rsid w:val="00F7256C"/>
    <w:rsid w:val="00F72DC2"/>
    <w:rsid w:val="00F75A59"/>
    <w:rsid w:val="00F75DC6"/>
    <w:rsid w:val="00F760C0"/>
    <w:rsid w:val="00F7650A"/>
    <w:rsid w:val="00F8257B"/>
    <w:rsid w:val="00F8273A"/>
    <w:rsid w:val="00F87F5A"/>
    <w:rsid w:val="00F92576"/>
    <w:rsid w:val="00F92F7A"/>
    <w:rsid w:val="00F943FC"/>
    <w:rsid w:val="00F95978"/>
    <w:rsid w:val="00F95DDF"/>
    <w:rsid w:val="00F96108"/>
    <w:rsid w:val="00F964BC"/>
    <w:rsid w:val="00F966F0"/>
    <w:rsid w:val="00F977DD"/>
    <w:rsid w:val="00FA092E"/>
    <w:rsid w:val="00FA2112"/>
    <w:rsid w:val="00FA6D7F"/>
    <w:rsid w:val="00FA70A7"/>
    <w:rsid w:val="00FA79F1"/>
    <w:rsid w:val="00FB072A"/>
    <w:rsid w:val="00FB0BF0"/>
    <w:rsid w:val="00FB1E52"/>
    <w:rsid w:val="00FB2C2E"/>
    <w:rsid w:val="00FB4BAB"/>
    <w:rsid w:val="00FB5337"/>
    <w:rsid w:val="00FB6506"/>
    <w:rsid w:val="00FB7AEB"/>
    <w:rsid w:val="00FC2874"/>
    <w:rsid w:val="00FC2AD6"/>
    <w:rsid w:val="00FC2E34"/>
    <w:rsid w:val="00FC3A6D"/>
    <w:rsid w:val="00FC4679"/>
    <w:rsid w:val="00FC570B"/>
    <w:rsid w:val="00FC6D9D"/>
    <w:rsid w:val="00FD06DF"/>
    <w:rsid w:val="00FD0B4D"/>
    <w:rsid w:val="00FD1040"/>
    <w:rsid w:val="00FD47B0"/>
    <w:rsid w:val="00FD5576"/>
    <w:rsid w:val="00FD7845"/>
    <w:rsid w:val="00FD790D"/>
    <w:rsid w:val="00FE2312"/>
    <w:rsid w:val="00FE29E5"/>
    <w:rsid w:val="00FE29FD"/>
    <w:rsid w:val="00FE2B8D"/>
    <w:rsid w:val="00FE303F"/>
    <w:rsid w:val="00FE316C"/>
    <w:rsid w:val="00FE3A9E"/>
    <w:rsid w:val="00FE3B2B"/>
    <w:rsid w:val="00FE3B43"/>
    <w:rsid w:val="00FE52AA"/>
    <w:rsid w:val="00FE5B03"/>
    <w:rsid w:val="00FE7140"/>
    <w:rsid w:val="00FE7D57"/>
    <w:rsid w:val="00FE7D90"/>
    <w:rsid w:val="00FF1D07"/>
    <w:rsid w:val="00FF3F43"/>
    <w:rsid w:val="00FF4224"/>
    <w:rsid w:val="00FF4459"/>
    <w:rsid w:val="00FF5032"/>
    <w:rsid w:val="00FF5E7D"/>
    <w:rsid w:val="00FF63F0"/>
    <w:rsid w:val="14194624"/>
    <w:rsid w:val="498F56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E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1" w:unhideWhenUsed="1" w:qFormat="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953"/>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571953"/>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71953"/>
    <w:pPr>
      <w:keepNext/>
      <w:spacing w:before="360" w:line="460" w:lineRule="exact"/>
      <w:outlineLvl w:val="1"/>
    </w:pPr>
    <w:rPr>
      <w:rFonts w:ascii="Calibri" w:hAnsi="Calibri" w:cs="Arial"/>
      <w:iCs/>
      <w:color w:val="4D7861" w:themeColor="accent2"/>
      <w:kern w:val="32"/>
      <w:sz w:val="36"/>
      <w:szCs w:val="28"/>
    </w:rPr>
  </w:style>
  <w:style w:type="paragraph" w:styleId="Heading3">
    <w:name w:val="heading 3"/>
    <w:basedOn w:val="Normal"/>
    <w:next w:val="Normal"/>
    <w:link w:val="Heading3Char"/>
    <w:qFormat/>
    <w:rsid w:val="00571953"/>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571953"/>
    <w:pPr>
      <w:keepNext/>
      <w:spacing w:before="280" w:after="0" w:line="276" w:lineRule="auto"/>
      <w:outlineLvl w:val="3"/>
    </w:pPr>
    <w:rPr>
      <w:rFonts w:cs="Arial"/>
      <w:color w:val="4D7861" w:themeColor="accent2"/>
      <w:kern w:val="32"/>
      <w:sz w:val="24"/>
      <w:szCs w:val="26"/>
    </w:rPr>
  </w:style>
  <w:style w:type="paragraph" w:styleId="Heading5">
    <w:name w:val="heading 5"/>
    <w:basedOn w:val="Normal"/>
    <w:next w:val="Normal"/>
    <w:link w:val="Heading5Char"/>
    <w:rsid w:val="00571953"/>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571953"/>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571953"/>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57195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571953"/>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1953"/>
    <w:pPr>
      <w:tabs>
        <w:tab w:val="center" w:pos="4320"/>
        <w:tab w:val="right" w:pos="8640"/>
      </w:tabs>
    </w:pPr>
  </w:style>
  <w:style w:type="character" w:customStyle="1" w:styleId="HeaderChar">
    <w:name w:val="Header Char"/>
    <w:basedOn w:val="DefaultParagraphFont"/>
    <w:link w:val="Header"/>
    <w:rsid w:val="00571953"/>
    <w:rPr>
      <w:rFonts w:ascii="Calibri Light" w:eastAsia="Times New Roman" w:hAnsi="Calibri Light"/>
      <w:sz w:val="22"/>
      <w:lang w:eastAsia="en-AU"/>
    </w:rPr>
  </w:style>
  <w:style w:type="paragraph" w:styleId="Footer">
    <w:name w:val="footer"/>
    <w:basedOn w:val="Normal"/>
    <w:link w:val="FooterChar"/>
    <w:uiPriority w:val="99"/>
    <w:rsid w:val="00571953"/>
    <w:pPr>
      <w:tabs>
        <w:tab w:val="center" w:pos="4320"/>
        <w:tab w:val="right" w:pos="8640"/>
      </w:tabs>
    </w:pPr>
    <w:rPr>
      <w:sz w:val="20"/>
    </w:rPr>
  </w:style>
  <w:style w:type="character" w:customStyle="1" w:styleId="FooterChar">
    <w:name w:val="Footer Char"/>
    <w:basedOn w:val="DefaultParagraphFont"/>
    <w:link w:val="Footer"/>
    <w:uiPriority w:val="99"/>
    <w:rsid w:val="00571953"/>
    <w:rPr>
      <w:rFonts w:ascii="Calibri Light" w:eastAsia="Times New Roman" w:hAnsi="Calibri Light"/>
      <w:lang w:eastAsia="en-AU"/>
    </w:rPr>
  </w:style>
  <w:style w:type="paragraph" w:customStyle="1" w:styleId="Factsheettitle">
    <w:name w:val="Fact sheet title"/>
    <w:basedOn w:val="Normal"/>
    <w:qFormat/>
    <w:rsid w:val="00571953"/>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571953"/>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571953"/>
    <w:pPr>
      <w:numPr>
        <w:ilvl w:val="1"/>
        <w:numId w:val="14"/>
      </w:numPr>
      <w:tabs>
        <w:tab w:val="clear" w:pos="567"/>
      </w:tabs>
      <w:spacing w:before="0"/>
      <w:ind w:left="397" w:hanging="170"/>
    </w:pPr>
  </w:style>
  <w:style w:type="character" w:customStyle="1" w:styleId="DashChar">
    <w:name w:val="Dash Char"/>
    <w:basedOn w:val="DefaultParagraphFont"/>
    <w:link w:val="Dash"/>
    <w:rsid w:val="00571953"/>
    <w:rPr>
      <w:rFonts w:ascii="Calibri Light" w:eastAsia="Times New Roman" w:hAnsi="Calibri Light"/>
      <w:sz w:val="22"/>
      <w:lang w:eastAsia="en-AU"/>
    </w:rPr>
  </w:style>
  <w:style w:type="paragraph" w:customStyle="1" w:styleId="DoubleDot">
    <w:name w:val="Double Dot"/>
    <w:basedOn w:val="Normal"/>
    <w:link w:val="DoubleDotChar"/>
    <w:qFormat/>
    <w:rsid w:val="00571953"/>
    <w:pPr>
      <w:numPr>
        <w:ilvl w:val="2"/>
        <w:numId w:val="14"/>
      </w:numPr>
      <w:tabs>
        <w:tab w:val="clear" w:pos="850"/>
      </w:tabs>
      <w:spacing w:before="0"/>
      <w:ind w:left="567" w:hanging="170"/>
    </w:pPr>
  </w:style>
  <w:style w:type="character" w:customStyle="1" w:styleId="DoubleDotChar">
    <w:name w:val="Double Dot Char"/>
    <w:basedOn w:val="DefaultParagraphFont"/>
    <w:link w:val="DoubleDot"/>
    <w:rsid w:val="00571953"/>
    <w:rPr>
      <w:rFonts w:ascii="Calibri Light" w:eastAsia="Times New Roman" w:hAnsi="Calibri Light"/>
      <w:sz w:val="22"/>
      <w:lang w:eastAsia="en-AU"/>
    </w:rPr>
  </w:style>
  <w:style w:type="paragraph" w:styleId="BalloonText">
    <w:name w:val="Balloon Text"/>
    <w:basedOn w:val="Normal"/>
    <w:link w:val="BalloonTextChar"/>
    <w:semiHidden/>
    <w:rsid w:val="00571953"/>
    <w:rPr>
      <w:rFonts w:ascii="Tahoma" w:hAnsi="Tahoma" w:cs="Tahoma"/>
      <w:sz w:val="16"/>
      <w:szCs w:val="16"/>
    </w:rPr>
  </w:style>
  <w:style w:type="character" w:customStyle="1" w:styleId="BalloonTextChar">
    <w:name w:val="Balloon Text Char"/>
    <w:basedOn w:val="DefaultParagraphFont"/>
    <w:link w:val="BalloonText"/>
    <w:semiHidden/>
    <w:rsid w:val="00571953"/>
    <w:rPr>
      <w:rFonts w:ascii="Tahoma" w:eastAsia="Times New Roman" w:hAnsi="Tahoma" w:cs="Tahoma"/>
      <w:sz w:val="16"/>
      <w:szCs w:val="16"/>
      <w:lang w:eastAsia="en-AU"/>
    </w:rPr>
  </w:style>
  <w:style w:type="character" w:customStyle="1" w:styleId="Heading2Char">
    <w:name w:val="Heading 2 Char"/>
    <w:basedOn w:val="DefaultParagraphFont"/>
    <w:link w:val="Heading2"/>
    <w:rsid w:val="00571953"/>
    <w:rPr>
      <w:rFonts w:eastAsia="Times New Roman" w:cs="Arial"/>
      <w:iCs/>
      <w:color w:val="4D7861" w:themeColor="accent2"/>
      <w:kern w:val="32"/>
      <w:sz w:val="36"/>
      <w:szCs w:val="28"/>
      <w:lang w:eastAsia="en-AU"/>
    </w:rPr>
  </w:style>
  <w:style w:type="character" w:customStyle="1" w:styleId="Heading3Char">
    <w:name w:val="Heading 3 Char"/>
    <w:basedOn w:val="DefaultParagraphFont"/>
    <w:link w:val="Heading3"/>
    <w:rsid w:val="00571953"/>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571953"/>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57195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1953"/>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571953"/>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571953"/>
    <w:rPr>
      <w:color w:val="5D779D" w:themeColor="accent3"/>
      <w:u w:val="single"/>
    </w:rPr>
  </w:style>
  <w:style w:type="character" w:styleId="FollowedHyperlink">
    <w:name w:val="FollowedHyperlink"/>
    <w:basedOn w:val="DefaultParagraphFont"/>
    <w:semiHidden/>
    <w:unhideWhenUsed/>
    <w:rsid w:val="00571953"/>
    <w:rPr>
      <w:color w:val="844D9E" w:themeColor="followedHyperlink"/>
      <w:u w:val="single"/>
    </w:rPr>
  </w:style>
  <w:style w:type="paragraph" w:styleId="Revision">
    <w:name w:val="Revision"/>
    <w:hidden/>
    <w:uiPriority w:val="99"/>
    <w:semiHidden/>
    <w:rsid w:val="00571953"/>
    <w:rPr>
      <w:rFonts w:ascii="Calibri Light" w:hAnsi="Calibri Light"/>
      <w:color w:val="0D0D0D" w:themeColor="text1" w:themeTint="F2"/>
      <w:sz w:val="22"/>
    </w:rPr>
  </w:style>
  <w:style w:type="character" w:styleId="PlaceholderText">
    <w:name w:val="Placeholder Text"/>
    <w:basedOn w:val="DefaultParagraphFont"/>
    <w:uiPriority w:val="99"/>
    <w:semiHidden/>
    <w:rsid w:val="00571953"/>
    <w:rPr>
      <w:color w:val="808080"/>
    </w:rPr>
  </w:style>
  <w:style w:type="character" w:customStyle="1" w:styleId="Heading5Char">
    <w:name w:val="Heading 5 Char"/>
    <w:basedOn w:val="DefaultParagraphFont"/>
    <w:link w:val="Heading5"/>
    <w:rsid w:val="00571953"/>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71953"/>
    <w:pPr>
      <w:keepNext/>
    </w:pPr>
    <w:rPr>
      <w:b/>
      <w:color w:val="2C384A" w:themeColor="accent1"/>
      <w:sz w:val="26"/>
      <w:szCs w:val="26"/>
    </w:rPr>
  </w:style>
  <w:style w:type="paragraph" w:customStyle="1" w:styleId="BoxText">
    <w:name w:val="Box Text"/>
    <w:basedOn w:val="Normal"/>
    <w:link w:val="BoxTextChar"/>
    <w:rsid w:val="00571953"/>
    <w:pPr>
      <w:spacing w:before="60" w:after="60"/>
    </w:pPr>
  </w:style>
  <w:style w:type="paragraph" w:customStyle="1" w:styleId="Bullet">
    <w:name w:val="Bullet"/>
    <w:basedOn w:val="Normal"/>
    <w:link w:val="BulletChar"/>
    <w:qFormat/>
    <w:rsid w:val="00571953"/>
    <w:pPr>
      <w:numPr>
        <w:numId w:val="24"/>
      </w:numPr>
      <w:spacing w:before="0" w:line="276" w:lineRule="auto"/>
    </w:pPr>
  </w:style>
  <w:style w:type="character" w:customStyle="1" w:styleId="BoxTextChar">
    <w:name w:val="Box Text Char"/>
    <w:basedOn w:val="DefaultParagraphFont"/>
    <w:link w:val="BoxText"/>
    <w:rsid w:val="00571953"/>
    <w:rPr>
      <w:rFonts w:ascii="Calibri Light" w:eastAsia="Times New Roman" w:hAnsi="Calibri Light"/>
      <w:sz w:val="22"/>
      <w:lang w:eastAsia="en-AU"/>
    </w:rPr>
  </w:style>
  <w:style w:type="character" w:customStyle="1" w:styleId="BulletChar">
    <w:name w:val="Bullet Char"/>
    <w:basedOn w:val="DefaultParagraphFont"/>
    <w:link w:val="Bullet"/>
    <w:rsid w:val="00571953"/>
    <w:rPr>
      <w:rFonts w:ascii="Calibri Light" w:eastAsia="Times New Roman" w:hAnsi="Calibri Light"/>
      <w:sz w:val="22"/>
      <w:lang w:eastAsia="en-AU"/>
    </w:rPr>
  </w:style>
  <w:style w:type="paragraph" w:customStyle="1" w:styleId="Boxbullet">
    <w:name w:val="Box bullet"/>
    <w:basedOn w:val="Bullet"/>
    <w:rsid w:val="00571953"/>
    <w:pPr>
      <w:spacing w:after="60"/>
    </w:pPr>
    <w:rPr>
      <w:color w:val="0D0D0D" w:themeColor="text1" w:themeTint="F2"/>
    </w:rPr>
  </w:style>
  <w:style w:type="paragraph" w:customStyle="1" w:styleId="Boxdash">
    <w:name w:val="Box dash"/>
    <w:basedOn w:val="Dash"/>
    <w:rsid w:val="00571953"/>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571953"/>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571953"/>
    <w:rPr>
      <w:rFonts w:asciiTheme="majorHAnsi" w:eastAsiaTheme="majorEastAsia" w:hAnsiTheme="majorHAnsi" w:cstheme="majorBidi"/>
      <w:iCs/>
      <w:color w:val="272727" w:themeColor="text1" w:themeTint="D8"/>
      <w:sz w:val="21"/>
      <w:szCs w:val="21"/>
      <w:lang w:eastAsia="en-AU"/>
    </w:rPr>
  </w:style>
  <w:style w:type="character" w:customStyle="1" w:styleId="Heading8Char">
    <w:name w:val="Heading 8 Char"/>
    <w:basedOn w:val="DefaultParagraphFont"/>
    <w:link w:val="Heading8"/>
    <w:uiPriority w:val="9"/>
    <w:rsid w:val="00571953"/>
    <w:rPr>
      <w:rFonts w:asciiTheme="majorHAnsi" w:eastAsiaTheme="majorEastAsia" w:hAnsiTheme="majorHAnsi" w:cstheme="majorBidi"/>
      <w:color w:val="272727" w:themeColor="text1" w:themeTint="D8"/>
      <w:sz w:val="21"/>
      <w:szCs w:val="21"/>
      <w:lang w:eastAsia="en-AU"/>
    </w:rPr>
  </w:style>
  <w:style w:type="character" w:customStyle="1" w:styleId="Heading6Char">
    <w:name w:val="Heading 6 Char"/>
    <w:basedOn w:val="DefaultParagraphFont"/>
    <w:link w:val="Heading6"/>
    <w:rsid w:val="00571953"/>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571953"/>
    <w:rPr>
      <w:rFonts w:asciiTheme="majorHAnsi" w:eastAsiaTheme="majorEastAsia" w:hAnsiTheme="majorHAnsi" w:cstheme="majorBidi"/>
      <w:iCs/>
      <w:color w:val="161B24" w:themeColor="accent1" w:themeShade="7F"/>
      <w:sz w:val="22"/>
      <w:lang w:eastAsia="en-AU"/>
    </w:rPr>
  </w:style>
  <w:style w:type="paragraph" w:styleId="NoSpacing">
    <w:name w:val="No Spacing"/>
    <w:link w:val="NoSpacingChar"/>
    <w:uiPriority w:val="1"/>
    <w:qFormat/>
    <w:rsid w:val="00571953"/>
    <w:rPr>
      <w:rFonts w:asciiTheme="minorHAnsi" w:eastAsiaTheme="minorEastAsia" w:hAnsiTheme="minorHAnsi" w:cstheme="minorBidi"/>
      <w:sz w:val="22"/>
      <w:szCs w:val="22"/>
      <w:lang w:val="en-US"/>
    </w:rPr>
  </w:style>
  <w:style w:type="paragraph" w:customStyle="1" w:styleId="Default">
    <w:name w:val="Default"/>
    <w:rsid w:val="00571953"/>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571953"/>
    <w:rPr>
      <w:vertAlign w:val="superscript"/>
    </w:rPr>
  </w:style>
  <w:style w:type="paragraph" w:styleId="FootnoteText">
    <w:name w:val="footnote text"/>
    <w:basedOn w:val="Normal"/>
    <w:link w:val="FootnoteTextChar"/>
    <w:rsid w:val="00571953"/>
    <w:pPr>
      <w:spacing w:after="0"/>
    </w:pPr>
    <w:rPr>
      <w:sz w:val="20"/>
    </w:rPr>
  </w:style>
  <w:style w:type="character" w:customStyle="1" w:styleId="FootnoteTextChar">
    <w:name w:val="Footnote Text Char"/>
    <w:basedOn w:val="DefaultParagraphFont"/>
    <w:link w:val="FootnoteText"/>
    <w:rsid w:val="00571953"/>
    <w:rPr>
      <w:rFonts w:ascii="Calibri Light" w:eastAsia="Times New Roman" w:hAnsi="Calibri Light"/>
      <w:lang w:eastAsia="en-AU"/>
    </w:rPr>
  </w:style>
  <w:style w:type="table" w:customStyle="1" w:styleId="GridTable5Dark-Accent61">
    <w:name w:val="Grid Table 5 Dark - Accent 61"/>
    <w:basedOn w:val="TableNormal"/>
    <w:uiPriority w:val="50"/>
    <w:rsid w:val="00571953"/>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571953"/>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571953"/>
    <w:pPr>
      <w:ind w:left="720"/>
      <w:contextualSpacing/>
    </w:pPr>
  </w:style>
  <w:style w:type="character" w:customStyle="1" w:styleId="ListParagraphChar">
    <w:name w:val="List Paragraph Char"/>
    <w:basedOn w:val="DefaultParagraphFont"/>
    <w:link w:val="ListParagraph"/>
    <w:uiPriority w:val="34"/>
    <w:rsid w:val="00571953"/>
    <w:rPr>
      <w:rFonts w:ascii="Calibri Light" w:eastAsia="Times New Roman" w:hAnsi="Calibri Light"/>
      <w:sz w:val="22"/>
      <w:lang w:eastAsia="en-AU"/>
    </w:rPr>
  </w:style>
  <w:style w:type="table" w:customStyle="1" w:styleId="ListTable4-Accent61">
    <w:name w:val="List Table 4 - Accent 61"/>
    <w:basedOn w:val="TableNormal"/>
    <w:uiPriority w:val="49"/>
    <w:rsid w:val="00571953"/>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571953"/>
    <w:rPr>
      <w:rFonts w:asciiTheme="minorHAnsi" w:eastAsiaTheme="minorEastAsia" w:hAnsiTheme="minorHAnsi" w:cstheme="minorBidi"/>
      <w:sz w:val="22"/>
      <w:szCs w:val="22"/>
      <w:lang w:val="en-US"/>
    </w:rPr>
  </w:style>
  <w:style w:type="paragraph" w:styleId="NormalWeb">
    <w:name w:val="Normal (Web)"/>
    <w:basedOn w:val="Normal"/>
    <w:rsid w:val="00571953"/>
    <w:pPr>
      <w:spacing w:before="100" w:beforeAutospacing="1" w:after="100" w:afterAutospacing="1"/>
    </w:pPr>
  </w:style>
  <w:style w:type="character" w:styleId="PageNumber">
    <w:name w:val="page number"/>
    <w:basedOn w:val="DefaultParagraphFont"/>
    <w:rsid w:val="00571953"/>
  </w:style>
  <w:style w:type="numbering" w:customStyle="1" w:styleId="StyleBulletedSymbolsymbol11ptLeft4cmHanging05">
    <w:name w:val="Style Bulleted Symbol (symbol) 11 pt Left:  4 cm Hanging:  0.5 ..."/>
    <w:basedOn w:val="NoList"/>
    <w:rsid w:val="00571953"/>
    <w:pPr>
      <w:numPr>
        <w:numId w:val="1"/>
      </w:numPr>
    </w:pPr>
  </w:style>
  <w:style w:type="numbering" w:customStyle="1" w:styleId="StyleBulletedSymbolsymbol11ptLeft4cmHanging051">
    <w:name w:val="Style Bulleted Symbol (symbol) 11 pt Left:  4 cm Hanging:  0.5 ...1"/>
    <w:basedOn w:val="NoList"/>
    <w:rsid w:val="00571953"/>
    <w:pPr>
      <w:numPr>
        <w:numId w:val="2"/>
      </w:numPr>
    </w:pPr>
  </w:style>
  <w:style w:type="numbering" w:customStyle="1" w:styleId="BoxBulletedList">
    <w:name w:val="Box Bulleted List"/>
    <w:uiPriority w:val="99"/>
    <w:rsid w:val="00571953"/>
    <w:pPr>
      <w:numPr>
        <w:numId w:val="3"/>
      </w:numPr>
    </w:pPr>
  </w:style>
  <w:style w:type="paragraph" w:customStyle="1" w:styleId="Tableheading">
    <w:name w:val="Table heading"/>
    <w:basedOn w:val="Normal"/>
    <w:rsid w:val="00571953"/>
    <w:pPr>
      <w:keepLines/>
      <w:jc w:val="center"/>
    </w:pPr>
    <w:rPr>
      <w:b/>
    </w:rPr>
  </w:style>
  <w:style w:type="paragraph" w:customStyle="1" w:styleId="TableText">
    <w:name w:val="Table Text"/>
    <w:basedOn w:val="Normal"/>
    <w:rsid w:val="00571953"/>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571953"/>
    <w:pPr>
      <w:spacing w:before="80" w:after="80"/>
    </w:pPr>
  </w:style>
  <w:style w:type="character" w:customStyle="1" w:styleId="TabletextChar">
    <w:name w:val="Table text Char"/>
    <w:basedOn w:val="DefaultParagraphFont"/>
    <w:link w:val="Tabletext0"/>
    <w:rsid w:val="00571953"/>
    <w:rPr>
      <w:rFonts w:ascii="Calibri Light" w:eastAsia="Times New Roman" w:hAnsi="Calibri Light"/>
      <w:sz w:val="22"/>
      <w:lang w:eastAsia="en-AU"/>
    </w:rPr>
  </w:style>
  <w:style w:type="character" w:customStyle="1" w:styleId="ui-provider">
    <w:name w:val="ui-provider"/>
    <w:basedOn w:val="DefaultParagraphFont"/>
    <w:rsid w:val="00571953"/>
  </w:style>
  <w:style w:type="character" w:styleId="Strong">
    <w:name w:val="Strong"/>
    <w:basedOn w:val="DefaultParagraphFont"/>
    <w:rsid w:val="00E212F3"/>
    <w:rPr>
      <w:b/>
      <w:bCs/>
      <w:color w:val="FFFFFF" w:themeColor="background1"/>
    </w:rPr>
  </w:style>
  <w:style w:type="paragraph" w:styleId="Caption">
    <w:name w:val="caption"/>
    <w:basedOn w:val="Normal"/>
    <w:next w:val="Normal"/>
    <w:uiPriority w:val="35"/>
    <w:unhideWhenUsed/>
    <w:rsid w:val="00932E33"/>
    <w:pPr>
      <w:spacing w:before="0" w:after="200"/>
    </w:pPr>
    <w:rPr>
      <w:i/>
      <w:iCs/>
      <w:color w:val="5F5F5F" w:themeColor="text2"/>
      <w:sz w:val="18"/>
      <w:szCs w:val="18"/>
    </w:rPr>
  </w:style>
  <w:style w:type="character" w:styleId="CommentReference">
    <w:name w:val="annotation reference"/>
    <w:basedOn w:val="DefaultParagraphFont"/>
    <w:uiPriority w:val="99"/>
    <w:semiHidden/>
    <w:unhideWhenUsed/>
    <w:rsid w:val="009B74EB"/>
    <w:rPr>
      <w:sz w:val="16"/>
      <w:szCs w:val="16"/>
    </w:rPr>
  </w:style>
  <w:style w:type="paragraph" w:styleId="CommentText">
    <w:name w:val="annotation text"/>
    <w:basedOn w:val="Normal"/>
    <w:link w:val="CommentTextChar"/>
    <w:uiPriority w:val="99"/>
    <w:unhideWhenUsed/>
    <w:rsid w:val="009B74EB"/>
    <w:rPr>
      <w:sz w:val="20"/>
    </w:rPr>
  </w:style>
  <w:style w:type="character" w:customStyle="1" w:styleId="CommentTextChar">
    <w:name w:val="Comment Text Char"/>
    <w:basedOn w:val="DefaultParagraphFont"/>
    <w:link w:val="CommentText"/>
    <w:uiPriority w:val="99"/>
    <w:rsid w:val="009B74EB"/>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9B74EB"/>
    <w:rPr>
      <w:b/>
      <w:bCs/>
    </w:rPr>
  </w:style>
  <w:style w:type="character" w:customStyle="1" w:styleId="CommentSubjectChar">
    <w:name w:val="Comment Subject Char"/>
    <w:basedOn w:val="CommentTextChar"/>
    <w:link w:val="CommentSubject"/>
    <w:semiHidden/>
    <w:rsid w:val="009B74EB"/>
    <w:rPr>
      <w:rFonts w:ascii="Calibri Light" w:eastAsia="Times New Roman" w:hAnsi="Calibri Light"/>
      <w:b/>
      <w:bCs/>
      <w:lang w:eastAsia="en-AU"/>
    </w:rPr>
  </w:style>
  <w:style w:type="character" w:styleId="UnresolvedMention">
    <w:name w:val="Unresolved Mention"/>
    <w:basedOn w:val="DefaultParagraphFont"/>
    <w:uiPriority w:val="99"/>
    <w:semiHidden/>
    <w:unhideWhenUsed/>
    <w:rsid w:val="00974621"/>
    <w:rPr>
      <w:color w:val="605E5C"/>
      <w:shd w:val="clear" w:color="auto" w:fill="E1DFDD"/>
    </w:rPr>
  </w:style>
  <w:style w:type="table" w:styleId="GridTable1Light-Accent2">
    <w:name w:val="Grid Table 1 Light Accent 2"/>
    <w:basedOn w:val="TableNormal"/>
    <w:uiPriority w:val="46"/>
    <w:rsid w:val="00E15568"/>
    <w:tblPr>
      <w:tblStyleRowBandSize w:val="1"/>
      <w:tblStyleColBandSize w:val="1"/>
      <w:tblBorders>
        <w:top w:val="single" w:sz="4" w:space="0" w:color="B2CEBF" w:themeColor="accent2" w:themeTint="66"/>
        <w:left w:val="single" w:sz="4" w:space="0" w:color="B2CEBF" w:themeColor="accent2" w:themeTint="66"/>
        <w:bottom w:val="single" w:sz="4" w:space="0" w:color="B2CEBF" w:themeColor="accent2" w:themeTint="66"/>
        <w:right w:val="single" w:sz="4" w:space="0" w:color="B2CEBF" w:themeColor="accent2" w:themeTint="66"/>
        <w:insideH w:val="single" w:sz="4" w:space="0" w:color="B2CEBF" w:themeColor="accent2" w:themeTint="66"/>
        <w:insideV w:val="single" w:sz="4" w:space="0" w:color="B2CEBF" w:themeColor="accent2" w:themeTint="66"/>
      </w:tblBorders>
    </w:tblPr>
    <w:tblStylePr w:type="firstRow">
      <w:rPr>
        <w:b/>
        <w:bCs/>
      </w:rPr>
      <w:tblPr/>
      <w:tcPr>
        <w:tcBorders>
          <w:bottom w:val="single" w:sz="12" w:space="0" w:color="8CB59F" w:themeColor="accent2" w:themeTint="99"/>
        </w:tcBorders>
      </w:tcPr>
    </w:tblStylePr>
    <w:tblStylePr w:type="lastRow">
      <w:rPr>
        <w:b/>
        <w:bCs/>
      </w:rPr>
      <w:tblPr/>
      <w:tcPr>
        <w:tcBorders>
          <w:top w:val="double" w:sz="2" w:space="0" w:color="8CB59F" w:themeColor="accent2" w:themeTint="99"/>
        </w:tcBorders>
      </w:tcPr>
    </w:tblStylePr>
    <w:tblStylePr w:type="firstCol">
      <w:rPr>
        <w:b/>
        <w:bCs/>
      </w:rPr>
    </w:tblStylePr>
    <w:tblStylePr w:type="lastCol">
      <w:rPr>
        <w:b/>
        <w:bCs/>
      </w:rPr>
    </w:tblStylePr>
  </w:style>
  <w:style w:type="paragraph" w:customStyle="1" w:styleId="TableBullet">
    <w:name w:val="Table Bullet"/>
    <w:basedOn w:val="Boxbullet"/>
    <w:qFormat/>
    <w:rsid w:val="00571953"/>
    <w:pPr>
      <w:ind w:left="284" w:hanging="284"/>
    </w:pPr>
  </w:style>
  <w:style w:type="paragraph" w:styleId="ListNumber4">
    <w:name w:val="List Number 4"/>
    <w:basedOn w:val="Normal"/>
    <w:uiPriority w:val="1"/>
    <w:semiHidden/>
    <w:qFormat/>
    <w:rsid w:val="0040391B"/>
    <w:pPr>
      <w:spacing w:before="0" w:after="140" w:line="280" w:lineRule="atLeast"/>
    </w:pPr>
    <w:rPr>
      <w:rFonts w:asciiTheme="minorHAnsi" w:eastAsiaTheme="minorEastAsia" w:hAnsiTheme="minorHAnsi"/>
      <w:color w:val="000000" w:themeColor="text1"/>
      <w:sz w:val="20"/>
      <w:lang w:eastAsia="en-US"/>
    </w:rPr>
  </w:style>
  <w:style w:type="table" w:styleId="PlainTable1">
    <w:name w:val="Plain Table 1"/>
    <w:basedOn w:val="TableNormal"/>
    <w:uiPriority w:val="41"/>
    <w:rsid w:val="00337D5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37D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337D5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TO">
    <w:name w:val="Table_ATO"/>
    <w:basedOn w:val="TableNormal"/>
    <w:uiPriority w:val="99"/>
    <w:rsid w:val="00D4320E"/>
    <w:pPr>
      <w:spacing w:after="140" w:line="280" w:lineRule="atLeast"/>
    </w:pPr>
    <w:rPr>
      <w:rFonts w:asciiTheme="minorHAnsi" w:eastAsiaTheme="minorEastAsia" w:hAnsiTheme="minorHAnsi"/>
      <w:color w:val="000000" w:themeColor="text1"/>
    </w:rPr>
    <w:tblPr>
      <w:tblStyleRowBandSize w:val="1"/>
      <w:tblBorders>
        <w:bottom w:val="single" w:sz="4" w:space="0" w:color="000000" w:themeColor="text1"/>
        <w:insideH w:val="single" w:sz="4" w:space="0" w:color="000000" w:themeColor="text1"/>
      </w:tblBorders>
      <w:tblCellMar>
        <w:top w:w="113" w:type="dxa"/>
        <w:left w:w="85" w:type="dxa"/>
        <w:bottom w:w="113" w:type="dxa"/>
        <w:right w:w="85" w:type="dxa"/>
      </w:tblCellMar>
    </w:tblPr>
    <w:trPr>
      <w:cantSplit/>
    </w:trPr>
    <w:tblStylePr w:type="firstRow">
      <w:pPr>
        <w:jc w:val="left"/>
      </w:pPr>
      <w:rPr>
        <w:rFonts w:asciiTheme="minorHAnsi" w:hAnsiTheme="minorHAnsi"/>
        <w:b/>
        <w:color w:val="FFFFFF"/>
        <w:sz w:val="24"/>
      </w:rPr>
      <w:tblPr/>
      <w:trPr>
        <w:cantSplit w:val="0"/>
        <w:tblHeader/>
      </w:trPr>
      <w:tcPr>
        <w:shd w:val="clear" w:color="auto" w:fill="2C384A" w:themeFill="accent1"/>
      </w:tcPr>
    </w:tblStylePr>
    <w:tblStylePr w:type="lastRow">
      <w:rPr>
        <w:b/>
        <w:color w:val="000000" w:themeColor="text1"/>
      </w:rPr>
      <w:tblPr/>
      <w:tcPr>
        <w:tcBorders>
          <w:bottom w:val="single" w:sz="4" w:space="0" w:color="000000" w:themeColor="text1"/>
        </w:tcBorders>
      </w:tcPr>
    </w:tblStylePr>
    <w:tblStylePr w:type="firstCol">
      <w:rPr>
        <w:b/>
        <w:color w:val="000000" w:themeColor="text1"/>
      </w:rPr>
    </w:tblStylePr>
    <w:tblStylePr w:type="band2Horz">
      <w:tblPr/>
      <w:tcPr>
        <w:shd w:val="clear" w:color="auto" w:fill="F5FBFE"/>
      </w:tcPr>
    </w:tblStylePr>
  </w:style>
  <w:style w:type="table" w:styleId="GridTable2-Accent2">
    <w:name w:val="Grid Table 2 Accent 2"/>
    <w:basedOn w:val="TableNormal"/>
    <w:uiPriority w:val="47"/>
    <w:rsid w:val="00BB2117"/>
    <w:tblPr>
      <w:tblStyleRowBandSize w:val="1"/>
      <w:tblStyleColBandSize w:val="1"/>
      <w:tblBorders>
        <w:top w:val="single" w:sz="2" w:space="0" w:color="8CB59F" w:themeColor="accent2" w:themeTint="99"/>
        <w:bottom w:val="single" w:sz="2" w:space="0" w:color="8CB59F" w:themeColor="accent2" w:themeTint="99"/>
        <w:insideH w:val="single" w:sz="2" w:space="0" w:color="8CB59F" w:themeColor="accent2" w:themeTint="99"/>
        <w:insideV w:val="single" w:sz="2" w:space="0" w:color="8CB59F" w:themeColor="accent2" w:themeTint="99"/>
      </w:tblBorders>
    </w:tblPr>
    <w:tblStylePr w:type="firstRow">
      <w:rPr>
        <w:b/>
        <w:bCs/>
      </w:rPr>
      <w:tblPr/>
      <w:tcPr>
        <w:tcBorders>
          <w:top w:val="nil"/>
          <w:bottom w:val="single" w:sz="12" w:space="0" w:color="8CB59F" w:themeColor="accent2" w:themeTint="99"/>
          <w:insideH w:val="nil"/>
          <w:insideV w:val="nil"/>
        </w:tcBorders>
        <w:shd w:val="clear" w:color="auto" w:fill="FFFFFF" w:themeFill="background1"/>
      </w:tcPr>
    </w:tblStylePr>
    <w:tblStylePr w:type="lastRow">
      <w:rPr>
        <w:b/>
        <w:bCs/>
      </w:rPr>
      <w:tblPr/>
      <w:tcPr>
        <w:tcBorders>
          <w:top w:val="double" w:sz="2" w:space="0" w:color="8CB59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6DF" w:themeFill="accent2" w:themeFillTint="33"/>
      </w:tcPr>
    </w:tblStylePr>
    <w:tblStylePr w:type="band1Horz">
      <w:tblPr/>
      <w:tcPr>
        <w:shd w:val="clear" w:color="auto" w:fill="D8E6D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0297">
      <w:bodyDiv w:val="1"/>
      <w:marLeft w:val="0"/>
      <w:marRight w:val="0"/>
      <w:marTop w:val="0"/>
      <w:marBottom w:val="0"/>
      <w:divBdr>
        <w:top w:val="none" w:sz="0" w:space="0" w:color="auto"/>
        <w:left w:val="none" w:sz="0" w:space="0" w:color="auto"/>
        <w:bottom w:val="none" w:sz="0" w:space="0" w:color="auto"/>
        <w:right w:val="none" w:sz="0" w:space="0" w:color="auto"/>
      </w:divBdr>
    </w:div>
    <w:div w:id="50275643">
      <w:bodyDiv w:val="1"/>
      <w:marLeft w:val="0"/>
      <w:marRight w:val="0"/>
      <w:marTop w:val="0"/>
      <w:marBottom w:val="0"/>
      <w:divBdr>
        <w:top w:val="none" w:sz="0" w:space="0" w:color="auto"/>
        <w:left w:val="none" w:sz="0" w:space="0" w:color="auto"/>
        <w:bottom w:val="none" w:sz="0" w:space="0" w:color="auto"/>
        <w:right w:val="none" w:sz="0" w:space="0" w:color="auto"/>
      </w:divBdr>
    </w:div>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437913597">
      <w:bodyDiv w:val="1"/>
      <w:marLeft w:val="0"/>
      <w:marRight w:val="0"/>
      <w:marTop w:val="0"/>
      <w:marBottom w:val="0"/>
      <w:divBdr>
        <w:top w:val="none" w:sz="0" w:space="0" w:color="auto"/>
        <w:left w:val="none" w:sz="0" w:space="0" w:color="auto"/>
        <w:bottom w:val="none" w:sz="0" w:space="0" w:color="auto"/>
        <w:right w:val="none" w:sz="0" w:space="0" w:color="auto"/>
      </w:divBdr>
    </w:div>
    <w:div w:id="516431428">
      <w:bodyDiv w:val="1"/>
      <w:marLeft w:val="0"/>
      <w:marRight w:val="0"/>
      <w:marTop w:val="0"/>
      <w:marBottom w:val="0"/>
      <w:divBdr>
        <w:top w:val="none" w:sz="0" w:space="0" w:color="auto"/>
        <w:left w:val="none" w:sz="0" w:space="0" w:color="auto"/>
        <w:bottom w:val="none" w:sz="0" w:space="0" w:color="auto"/>
        <w:right w:val="none" w:sz="0" w:space="0" w:color="auto"/>
      </w:divBdr>
    </w:div>
    <w:div w:id="534733113">
      <w:bodyDiv w:val="1"/>
      <w:marLeft w:val="0"/>
      <w:marRight w:val="0"/>
      <w:marTop w:val="0"/>
      <w:marBottom w:val="0"/>
      <w:divBdr>
        <w:top w:val="none" w:sz="0" w:space="0" w:color="auto"/>
        <w:left w:val="none" w:sz="0" w:space="0" w:color="auto"/>
        <w:bottom w:val="none" w:sz="0" w:space="0" w:color="auto"/>
        <w:right w:val="none" w:sz="0" w:space="0" w:color="auto"/>
      </w:divBdr>
    </w:div>
    <w:div w:id="672995842">
      <w:bodyDiv w:val="1"/>
      <w:marLeft w:val="0"/>
      <w:marRight w:val="0"/>
      <w:marTop w:val="0"/>
      <w:marBottom w:val="0"/>
      <w:divBdr>
        <w:top w:val="none" w:sz="0" w:space="0" w:color="auto"/>
        <w:left w:val="none" w:sz="0" w:space="0" w:color="auto"/>
        <w:bottom w:val="none" w:sz="0" w:space="0" w:color="auto"/>
        <w:right w:val="none" w:sz="0" w:space="0" w:color="auto"/>
      </w:divBdr>
    </w:div>
    <w:div w:id="712195136">
      <w:bodyDiv w:val="1"/>
      <w:marLeft w:val="0"/>
      <w:marRight w:val="0"/>
      <w:marTop w:val="0"/>
      <w:marBottom w:val="0"/>
      <w:divBdr>
        <w:top w:val="none" w:sz="0" w:space="0" w:color="auto"/>
        <w:left w:val="none" w:sz="0" w:space="0" w:color="auto"/>
        <w:bottom w:val="none" w:sz="0" w:space="0" w:color="auto"/>
        <w:right w:val="none" w:sz="0" w:space="0" w:color="auto"/>
      </w:divBdr>
    </w:div>
    <w:div w:id="852375809">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892741302">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51696293">
      <w:bodyDiv w:val="1"/>
      <w:marLeft w:val="0"/>
      <w:marRight w:val="0"/>
      <w:marTop w:val="0"/>
      <w:marBottom w:val="0"/>
      <w:divBdr>
        <w:top w:val="none" w:sz="0" w:space="0" w:color="auto"/>
        <w:left w:val="none" w:sz="0" w:space="0" w:color="auto"/>
        <w:bottom w:val="none" w:sz="0" w:space="0" w:color="auto"/>
        <w:right w:val="none" w:sz="0" w:space="0" w:color="auto"/>
      </w:divBdr>
    </w:div>
    <w:div w:id="1322080427">
      <w:bodyDiv w:val="1"/>
      <w:marLeft w:val="0"/>
      <w:marRight w:val="0"/>
      <w:marTop w:val="0"/>
      <w:marBottom w:val="0"/>
      <w:divBdr>
        <w:top w:val="none" w:sz="0" w:space="0" w:color="auto"/>
        <w:left w:val="none" w:sz="0" w:space="0" w:color="auto"/>
        <w:bottom w:val="none" w:sz="0" w:space="0" w:color="auto"/>
        <w:right w:val="none" w:sz="0" w:space="0" w:color="auto"/>
      </w:divBdr>
    </w:div>
    <w:div w:id="1348168723">
      <w:bodyDiv w:val="1"/>
      <w:marLeft w:val="0"/>
      <w:marRight w:val="0"/>
      <w:marTop w:val="0"/>
      <w:marBottom w:val="0"/>
      <w:divBdr>
        <w:top w:val="none" w:sz="0" w:space="0" w:color="auto"/>
        <w:left w:val="none" w:sz="0" w:space="0" w:color="auto"/>
        <w:bottom w:val="none" w:sz="0" w:space="0" w:color="auto"/>
        <w:right w:val="none" w:sz="0" w:space="0" w:color="auto"/>
      </w:divBdr>
    </w:div>
    <w:div w:id="1361474910">
      <w:bodyDiv w:val="1"/>
      <w:marLeft w:val="0"/>
      <w:marRight w:val="0"/>
      <w:marTop w:val="0"/>
      <w:marBottom w:val="0"/>
      <w:divBdr>
        <w:top w:val="none" w:sz="0" w:space="0" w:color="auto"/>
        <w:left w:val="none" w:sz="0" w:space="0" w:color="auto"/>
        <w:bottom w:val="none" w:sz="0" w:space="0" w:color="auto"/>
        <w:right w:val="none" w:sz="0" w:space="0" w:color="auto"/>
      </w:divBdr>
    </w:div>
    <w:div w:id="1381176306">
      <w:bodyDiv w:val="1"/>
      <w:marLeft w:val="0"/>
      <w:marRight w:val="0"/>
      <w:marTop w:val="0"/>
      <w:marBottom w:val="0"/>
      <w:divBdr>
        <w:top w:val="none" w:sz="0" w:space="0" w:color="auto"/>
        <w:left w:val="none" w:sz="0" w:space="0" w:color="auto"/>
        <w:bottom w:val="none" w:sz="0" w:space="0" w:color="auto"/>
        <w:right w:val="none" w:sz="0" w:space="0" w:color="auto"/>
      </w:divBdr>
    </w:div>
    <w:div w:id="1480921047">
      <w:bodyDiv w:val="1"/>
      <w:marLeft w:val="0"/>
      <w:marRight w:val="0"/>
      <w:marTop w:val="0"/>
      <w:marBottom w:val="0"/>
      <w:divBdr>
        <w:top w:val="none" w:sz="0" w:space="0" w:color="auto"/>
        <w:left w:val="none" w:sz="0" w:space="0" w:color="auto"/>
        <w:bottom w:val="none" w:sz="0" w:space="0" w:color="auto"/>
        <w:right w:val="none" w:sz="0" w:space="0" w:color="auto"/>
      </w:divBdr>
    </w:div>
    <w:div w:id="1493913156">
      <w:bodyDiv w:val="1"/>
      <w:marLeft w:val="0"/>
      <w:marRight w:val="0"/>
      <w:marTop w:val="0"/>
      <w:marBottom w:val="0"/>
      <w:divBdr>
        <w:top w:val="none" w:sz="0" w:space="0" w:color="auto"/>
        <w:left w:val="none" w:sz="0" w:space="0" w:color="auto"/>
        <w:bottom w:val="none" w:sz="0" w:space="0" w:color="auto"/>
        <w:right w:val="none" w:sz="0" w:space="0" w:color="auto"/>
      </w:divBdr>
      <w:divsChild>
        <w:div w:id="1101144620">
          <w:marLeft w:val="0"/>
          <w:marRight w:val="0"/>
          <w:marTop w:val="0"/>
          <w:marBottom w:val="0"/>
          <w:divBdr>
            <w:top w:val="none" w:sz="0" w:space="0" w:color="auto"/>
            <w:left w:val="none" w:sz="0" w:space="0" w:color="auto"/>
            <w:bottom w:val="none" w:sz="0" w:space="0" w:color="auto"/>
            <w:right w:val="none" w:sz="0" w:space="0" w:color="auto"/>
          </w:divBdr>
        </w:div>
        <w:div w:id="172568935">
          <w:marLeft w:val="0"/>
          <w:marRight w:val="0"/>
          <w:marTop w:val="0"/>
          <w:marBottom w:val="0"/>
          <w:divBdr>
            <w:top w:val="none" w:sz="0" w:space="0" w:color="auto"/>
            <w:left w:val="none" w:sz="0" w:space="0" w:color="auto"/>
            <w:bottom w:val="none" w:sz="0" w:space="0" w:color="auto"/>
            <w:right w:val="none" w:sz="0" w:space="0" w:color="auto"/>
          </w:divBdr>
        </w:div>
      </w:divsChild>
    </w:div>
    <w:div w:id="1519658378">
      <w:bodyDiv w:val="1"/>
      <w:marLeft w:val="0"/>
      <w:marRight w:val="0"/>
      <w:marTop w:val="0"/>
      <w:marBottom w:val="0"/>
      <w:divBdr>
        <w:top w:val="none" w:sz="0" w:space="0" w:color="auto"/>
        <w:left w:val="none" w:sz="0" w:space="0" w:color="auto"/>
        <w:bottom w:val="none" w:sz="0" w:space="0" w:color="auto"/>
        <w:right w:val="none" w:sz="0" w:space="0" w:color="auto"/>
      </w:divBdr>
    </w:div>
    <w:div w:id="1550150068">
      <w:bodyDiv w:val="1"/>
      <w:marLeft w:val="0"/>
      <w:marRight w:val="0"/>
      <w:marTop w:val="0"/>
      <w:marBottom w:val="0"/>
      <w:divBdr>
        <w:top w:val="none" w:sz="0" w:space="0" w:color="auto"/>
        <w:left w:val="none" w:sz="0" w:space="0" w:color="auto"/>
        <w:bottom w:val="none" w:sz="0" w:space="0" w:color="auto"/>
        <w:right w:val="none" w:sz="0" w:space="0" w:color="auto"/>
      </w:divBdr>
    </w:div>
    <w:div w:id="1673027984">
      <w:bodyDiv w:val="1"/>
      <w:marLeft w:val="0"/>
      <w:marRight w:val="0"/>
      <w:marTop w:val="0"/>
      <w:marBottom w:val="0"/>
      <w:divBdr>
        <w:top w:val="none" w:sz="0" w:space="0" w:color="auto"/>
        <w:left w:val="none" w:sz="0" w:space="0" w:color="auto"/>
        <w:bottom w:val="none" w:sz="0" w:space="0" w:color="auto"/>
        <w:right w:val="none" w:sz="0" w:space="0" w:color="auto"/>
      </w:divBdr>
    </w:div>
    <w:div w:id="1692296449">
      <w:bodyDiv w:val="1"/>
      <w:marLeft w:val="0"/>
      <w:marRight w:val="0"/>
      <w:marTop w:val="0"/>
      <w:marBottom w:val="0"/>
      <w:divBdr>
        <w:top w:val="none" w:sz="0" w:space="0" w:color="auto"/>
        <w:left w:val="none" w:sz="0" w:space="0" w:color="auto"/>
        <w:bottom w:val="none" w:sz="0" w:space="0" w:color="auto"/>
        <w:right w:val="none" w:sz="0" w:space="0" w:color="auto"/>
      </w:divBdr>
    </w:div>
    <w:div w:id="1720132370">
      <w:bodyDiv w:val="1"/>
      <w:marLeft w:val="0"/>
      <w:marRight w:val="0"/>
      <w:marTop w:val="0"/>
      <w:marBottom w:val="0"/>
      <w:divBdr>
        <w:top w:val="none" w:sz="0" w:space="0" w:color="auto"/>
        <w:left w:val="none" w:sz="0" w:space="0" w:color="auto"/>
        <w:bottom w:val="none" w:sz="0" w:space="0" w:color="auto"/>
        <w:right w:val="none" w:sz="0" w:space="0" w:color="auto"/>
      </w:divBdr>
      <w:divsChild>
        <w:div w:id="1270087829">
          <w:marLeft w:val="446"/>
          <w:marRight w:val="0"/>
          <w:marTop w:val="40"/>
          <w:marBottom w:val="120"/>
          <w:divBdr>
            <w:top w:val="none" w:sz="0" w:space="0" w:color="auto"/>
            <w:left w:val="none" w:sz="0" w:space="0" w:color="auto"/>
            <w:bottom w:val="none" w:sz="0" w:space="0" w:color="auto"/>
            <w:right w:val="none" w:sz="0" w:space="0" w:color="auto"/>
          </w:divBdr>
        </w:div>
        <w:div w:id="1344867774">
          <w:marLeft w:val="446"/>
          <w:marRight w:val="0"/>
          <w:marTop w:val="40"/>
          <w:marBottom w:val="120"/>
          <w:divBdr>
            <w:top w:val="none" w:sz="0" w:space="0" w:color="auto"/>
            <w:left w:val="none" w:sz="0" w:space="0" w:color="auto"/>
            <w:bottom w:val="none" w:sz="0" w:space="0" w:color="auto"/>
            <w:right w:val="none" w:sz="0" w:space="0" w:color="auto"/>
          </w:divBdr>
        </w:div>
        <w:div w:id="201132769">
          <w:marLeft w:val="446"/>
          <w:marRight w:val="0"/>
          <w:marTop w:val="40"/>
          <w:marBottom w:val="120"/>
          <w:divBdr>
            <w:top w:val="none" w:sz="0" w:space="0" w:color="auto"/>
            <w:left w:val="none" w:sz="0" w:space="0" w:color="auto"/>
            <w:bottom w:val="none" w:sz="0" w:space="0" w:color="auto"/>
            <w:right w:val="none" w:sz="0" w:space="0" w:color="auto"/>
          </w:divBdr>
        </w:div>
      </w:divsChild>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750729336">
      <w:bodyDiv w:val="1"/>
      <w:marLeft w:val="0"/>
      <w:marRight w:val="0"/>
      <w:marTop w:val="0"/>
      <w:marBottom w:val="0"/>
      <w:divBdr>
        <w:top w:val="none" w:sz="0" w:space="0" w:color="auto"/>
        <w:left w:val="none" w:sz="0" w:space="0" w:color="auto"/>
        <w:bottom w:val="none" w:sz="0" w:space="0" w:color="auto"/>
        <w:right w:val="none" w:sz="0" w:space="0" w:color="auto"/>
      </w:divBdr>
    </w:div>
    <w:div w:id="1836021802">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023124492">
      <w:bodyDiv w:val="1"/>
      <w:marLeft w:val="0"/>
      <w:marRight w:val="0"/>
      <w:marTop w:val="0"/>
      <w:marBottom w:val="0"/>
      <w:divBdr>
        <w:top w:val="none" w:sz="0" w:space="0" w:color="auto"/>
        <w:left w:val="none" w:sz="0" w:space="0" w:color="auto"/>
        <w:bottom w:val="none" w:sz="0" w:space="0" w:color="auto"/>
        <w:right w:val="none" w:sz="0" w:space="0" w:color="auto"/>
      </w:divBdr>
    </w:div>
    <w:div w:id="2078046780">
      <w:bodyDiv w:val="1"/>
      <w:marLeft w:val="0"/>
      <w:marRight w:val="0"/>
      <w:marTop w:val="0"/>
      <w:marBottom w:val="0"/>
      <w:divBdr>
        <w:top w:val="none" w:sz="0" w:space="0" w:color="auto"/>
        <w:left w:val="none" w:sz="0" w:space="0" w:color="auto"/>
        <w:bottom w:val="none" w:sz="0" w:space="0" w:color="auto"/>
        <w:right w:val="none" w:sz="0" w:space="0" w:color="auto"/>
      </w:divBdr>
      <w:divsChild>
        <w:div w:id="695350493">
          <w:marLeft w:val="0"/>
          <w:marRight w:val="0"/>
          <w:marTop w:val="0"/>
          <w:marBottom w:val="0"/>
          <w:divBdr>
            <w:top w:val="none" w:sz="0" w:space="0" w:color="auto"/>
            <w:left w:val="none" w:sz="0" w:space="0" w:color="auto"/>
            <w:bottom w:val="none" w:sz="0" w:space="0" w:color="auto"/>
            <w:right w:val="none" w:sz="0" w:space="0" w:color="auto"/>
          </w:divBdr>
        </w:div>
        <w:div w:id="186988775">
          <w:marLeft w:val="0"/>
          <w:marRight w:val="0"/>
          <w:marTop w:val="0"/>
          <w:marBottom w:val="0"/>
          <w:divBdr>
            <w:top w:val="none" w:sz="0" w:space="0" w:color="auto"/>
            <w:left w:val="none" w:sz="0" w:space="0" w:color="auto"/>
            <w:bottom w:val="none" w:sz="0" w:space="0" w:color="auto"/>
            <w:right w:val="none" w:sz="0" w:space="0" w:color="auto"/>
          </w:divBdr>
        </w:div>
      </w:divsChild>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 w:id="212692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po.org.a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2039</Words>
  <Characters>11625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Commonwealth Evaluation Maturity Model – Action Bank</vt:lpstr>
    </vt:vector>
  </TitlesOfParts>
  <Company/>
  <LinksUpToDate>false</LinksUpToDate>
  <CharactersWithSpaces>13637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Evaluation Maturity Model – Action Bank</dc:title>
  <dc:subject/>
  <dc:creator>Treasury; Australian Centre for Evaluation</dc:creator>
  <cp:keywords/>
  <dc:description/>
  <cp:lastModifiedBy/>
  <cp:revision>1</cp:revision>
  <dcterms:created xsi:type="dcterms:W3CDTF">2025-11-26T04:03:00Z</dcterms:created>
  <dcterms:modified xsi:type="dcterms:W3CDTF">2025-11-26T04:04:00Z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2025-11-26T04:04:29Z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0fa5cded-b4ac-4c99-8ee0-37a2382b9e35</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