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AD3865" w14:textId="77777777" w:rsidR="00036671" w:rsidRPr="00166E03" w:rsidRDefault="00036671" w:rsidP="00166E03">
      <w:pPr>
        <w:pStyle w:val="Factsheettitle"/>
      </w:pPr>
      <w:r w:rsidRPr="002F269E">
        <w:t xml:space="preserve">Rapid evaluation of a COVID-era </w:t>
      </w:r>
      <w:r w:rsidRPr="00166E03">
        <w:t>apprentice</w:t>
      </w:r>
      <w:r w:rsidRPr="002F269E">
        <w:t xml:space="preserve"> wage subsidy program</w:t>
      </w:r>
    </w:p>
    <w:p w14:paraId="14594D6A" w14:textId="77777777" w:rsidR="00036671" w:rsidRPr="002F269E" w:rsidRDefault="00036671" w:rsidP="00166E03">
      <w:pPr>
        <w:pStyle w:val="Subtitle"/>
      </w:pPr>
      <w:r w:rsidRPr="002F269E">
        <w:t xml:space="preserve">The Boosting Apprenticeship Commencements (BAC) </w:t>
      </w:r>
      <w:r w:rsidRPr="00166E03">
        <w:t>and</w:t>
      </w:r>
      <w:r w:rsidRPr="002F269E">
        <w:t xml:space="preserve"> Completing</w:t>
      </w:r>
      <w:r w:rsidR="00166E03">
        <w:t xml:space="preserve"> </w:t>
      </w:r>
      <w:r w:rsidRPr="002F269E">
        <w:t>Apprenticeship Commencements (CAC) programs</w:t>
      </w:r>
    </w:p>
    <w:p w14:paraId="40FBA35D" w14:textId="77777777" w:rsidR="002F269E" w:rsidRDefault="002F269E" w:rsidP="00166E03"/>
    <w:p w14:paraId="10B7080C" w14:textId="6E929DC8" w:rsidR="00036671" w:rsidRPr="00166E03" w:rsidRDefault="005F0F13" w:rsidP="00166E03">
      <w:pPr>
        <w:pStyle w:val="Insertdate"/>
      </w:pPr>
      <w:r>
        <w:t>September</w:t>
      </w:r>
      <w:r w:rsidR="00036671" w:rsidRPr="00C45007">
        <w:t xml:space="preserve"> 202</w:t>
      </w:r>
      <w:r>
        <w:t>4</w:t>
      </w:r>
    </w:p>
    <w:p w14:paraId="58BC5EFE" w14:textId="77777777" w:rsidR="00036671" w:rsidRPr="00166E03" w:rsidRDefault="00F309EF" w:rsidP="00166E03">
      <w:pPr>
        <w:pStyle w:val="Heading1"/>
      </w:pPr>
      <w:r w:rsidRPr="00EE38D8">
        <w:t xml:space="preserve">Program </w:t>
      </w:r>
      <w:r w:rsidRPr="00BA1EF8">
        <w:t>background</w:t>
      </w:r>
    </w:p>
    <w:p w14:paraId="4D951DAD" w14:textId="77777777" w:rsidR="00F309EF" w:rsidRPr="0089390A" w:rsidRDefault="00F309EF" w:rsidP="0089390A">
      <w:r w:rsidRPr="0089390A">
        <w:t>The Boosting Apprenticeship Commencements (BAC) program was introduced in October</w:t>
      </w:r>
      <w:r w:rsidR="004549D0" w:rsidRPr="0089390A">
        <w:t> </w:t>
      </w:r>
      <w:r w:rsidRPr="0089390A">
        <w:t>2020 to support businesses to take on Australian Apprentices during the COVID-19 pandemic. The</w:t>
      </w:r>
      <w:r w:rsidR="004549D0" w:rsidRPr="0089390A">
        <w:t> </w:t>
      </w:r>
      <w:r w:rsidRPr="0089390A">
        <w:t>BAC program provided a 50 per cent wage subsidy over 12 months from the date of commencement up to a maximum of $7,000 per eligible apprentice or trainee (Australian Apprentice) per quarter. This wage subsidy was applied for employers of Australian Apprentices engaged between 5 October 2020 and 30 June 2022. The Completing Apprenticeships Commencements (CAC) program was announced as part of the 2021</w:t>
      </w:r>
      <w:r w:rsidR="00CE7942" w:rsidRPr="0089390A">
        <w:t>–</w:t>
      </w:r>
      <w:r w:rsidRPr="0089390A">
        <w:t>22 Mid-Year Economic and Fiscal Outlook and provided a tapered wage subsidy of 10 per cent for the period 12</w:t>
      </w:r>
      <w:r w:rsidR="004549D0" w:rsidRPr="0089390A">
        <w:noBreakHyphen/>
      </w:r>
      <w:r w:rsidRPr="0089390A">
        <w:t>24 months from the date of commencement, and 5 per cent for the period 24-36 months from the date of commencement.</w:t>
      </w:r>
    </w:p>
    <w:p w14:paraId="6CA042CC" w14:textId="77777777" w:rsidR="00F309EF" w:rsidRPr="0089390A" w:rsidRDefault="00F309EF" w:rsidP="0089390A">
      <w:r w:rsidRPr="0089390A">
        <w:t>This rapid evaluation of the BAC and CAC programs was prepared by the Department of the Treasury for the Strategic Review of the Australian Apprenticeship Incentive System led by the Honourable Justice Iain Ross AO and Ms Lisa Paul AO PSM. The evaluation sought to answer 8</w:t>
      </w:r>
      <w:r w:rsidR="004549D0" w:rsidRPr="0089390A">
        <w:t> </w:t>
      </w:r>
      <w:r w:rsidRPr="0089390A">
        <w:t xml:space="preserve">key questions related to the programs’ impact on commencements and completions, the characteristics of the apprentices and employers that took part in the program, and the cost effectiveness of the programs. The evaluation was undertaken between April and July 2024. </w:t>
      </w:r>
    </w:p>
    <w:p w14:paraId="5B2F7ADA" w14:textId="77777777" w:rsidR="00036671" w:rsidRDefault="00F309EF" w:rsidP="002F269E">
      <w:pPr>
        <w:pStyle w:val="Heading1"/>
      </w:pPr>
      <w:r>
        <w:t xml:space="preserve">Evaluation </w:t>
      </w:r>
      <w:r w:rsidRPr="00BA1EF8">
        <w:t>approach</w:t>
      </w:r>
    </w:p>
    <w:p w14:paraId="4788E904" w14:textId="77777777" w:rsidR="00F309EF" w:rsidRDefault="00F309EF" w:rsidP="00F309EF">
      <w:r>
        <w:t xml:space="preserve">This evaluation took a mixed-methods approach. The evaluation team analysed administrative data, built a time-series event study model of quarterly commencements, and built a probit model of an individual’s likelihood of continuing their training. A time-series event study model of quarterly ‘progressed commencements’ was used to take into account the effects of cancellations (included in appendices). This analysis was supported by a review of the existing literature on wage subsidies for apprenticeships, and interviews with selected stakeholders. </w:t>
      </w:r>
    </w:p>
    <w:p w14:paraId="6A6026E7" w14:textId="77777777" w:rsidR="00036671" w:rsidRDefault="00F309EF" w:rsidP="002F269E">
      <w:pPr>
        <w:pStyle w:val="Heading1"/>
      </w:pPr>
      <w:r w:rsidRPr="00EE38D8">
        <w:t>Effects o</w:t>
      </w:r>
      <w:r>
        <w:t>n Australian Apprenticeship commencements</w:t>
      </w:r>
    </w:p>
    <w:p w14:paraId="05C14DB4" w14:textId="77777777" w:rsidR="00F309EF" w:rsidRDefault="00F309EF" w:rsidP="00F309EF">
      <w:r>
        <w:t xml:space="preserve">Overall, the BAC program had a large positive effect on apprenticeship and traineeship (Australian Apprenticeship) </w:t>
      </w:r>
      <w:r w:rsidRPr="00F65F30">
        <w:t>commencements. There were about 19</w:t>
      </w:r>
      <w:r>
        <w:t>1</w:t>
      </w:r>
      <w:r w:rsidRPr="00F65F30">
        <w:t>,000 (between 160,000</w:t>
      </w:r>
      <w:r w:rsidR="004549D0">
        <w:noBreakHyphen/>
      </w:r>
      <w:r w:rsidRPr="00F65F30">
        <w:t>220,000) additional commencements during the 7 calendar quarters that the BAC</w:t>
      </w:r>
      <w:r w:rsidR="00CE7942">
        <w:t> </w:t>
      </w:r>
      <w:r w:rsidRPr="00F65F30">
        <w:t xml:space="preserve">program was open to entrants, compared to what </w:t>
      </w:r>
      <w:r>
        <w:t xml:space="preserve">modelling suggests </w:t>
      </w:r>
      <w:r w:rsidRPr="00F65F30">
        <w:t>would have been</w:t>
      </w:r>
      <w:r w:rsidR="00CE7942">
        <w:t> </w:t>
      </w:r>
      <w:r w:rsidRPr="00F65F30">
        <w:t xml:space="preserve">expected without </w:t>
      </w:r>
      <w:r>
        <w:t>BAC</w:t>
      </w:r>
      <w:r w:rsidRPr="00F65F30">
        <w:t xml:space="preserve">. This was an increase of about 70 per cent on the level of commencements that modelling suggests would have occurred in the absence of the BAC. </w:t>
      </w:r>
    </w:p>
    <w:p w14:paraId="63CEA770" w14:textId="77777777" w:rsidR="00F309EF" w:rsidRPr="00027213" w:rsidRDefault="00F309EF" w:rsidP="00F309EF">
      <w:r w:rsidRPr="00F65F30">
        <w:lastRenderedPageBreak/>
        <w:t xml:space="preserve">The </w:t>
      </w:r>
      <w:r>
        <w:t>increase in commencements was especially pronounced amongst non-trade occupations (114,000) but was also observed in trade occupations (77,000). Since a majority of priority occupations are trade occupations, the increase in commencements were also greater in non</w:t>
      </w:r>
      <w:r w:rsidR="004549D0">
        <w:noBreakHyphen/>
      </w:r>
      <w:r>
        <w:t xml:space="preserve">priority occupations than priority occupations. The program also led to increased commencements among the key cohorts of women, First Nations people, culturally diverse people, people with a disability, and people over the age of 21. Additional commencements were higher in the first and last quarters of the BAC program. These patterns were broadly consistent across states. </w:t>
      </w:r>
    </w:p>
    <w:p w14:paraId="09FA649C" w14:textId="77777777" w:rsidR="00036671" w:rsidRDefault="00F309EF" w:rsidP="002F269E">
      <w:pPr>
        <w:pStyle w:val="Heading1"/>
      </w:pPr>
      <w:r w:rsidRPr="00F65F30">
        <w:t>Effects on completion rates</w:t>
      </w:r>
    </w:p>
    <w:p w14:paraId="65F25DE1" w14:textId="77777777" w:rsidR="00F309EF" w:rsidRDefault="00F309EF" w:rsidP="00F309EF">
      <w:r>
        <w:t>It is too soon to m</w:t>
      </w:r>
      <w:r w:rsidRPr="00F65F30">
        <w:t>easure completion rates for the</w:t>
      </w:r>
      <w:r>
        <w:t xml:space="preserve"> </w:t>
      </w:r>
      <w:r w:rsidRPr="00F65F30">
        <w:t xml:space="preserve">entire </w:t>
      </w:r>
      <w:r>
        <w:t xml:space="preserve">training program of </w:t>
      </w:r>
      <w:r w:rsidRPr="00F65F30">
        <w:t>the BAC/CAC Australian Apprentices, but ca</w:t>
      </w:r>
      <w:r>
        <w:t>ncellation rates at 18 months provide a proxy measure. Cancellation rates</w:t>
      </w:r>
      <w:r w:rsidRPr="0B5B3ADB">
        <w:rPr>
          <w:b/>
          <w:bCs/>
        </w:rPr>
        <w:t xml:space="preserve"> </w:t>
      </w:r>
      <w:r>
        <w:t xml:space="preserve">were higher for </w:t>
      </w:r>
      <w:r w:rsidRPr="0B5B3ADB">
        <w:rPr>
          <w:i/>
          <w:iCs/>
        </w:rPr>
        <w:t>non-trade</w:t>
      </w:r>
      <w:r>
        <w:t xml:space="preserve"> commencements (7% increase) during BAC, but</w:t>
      </w:r>
      <w:r w:rsidR="00CE7942">
        <w:t> </w:t>
      </w:r>
      <w:r>
        <w:t xml:space="preserve">slightly lower for trade commencements (0.7% decrease). </w:t>
      </w:r>
    </w:p>
    <w:p w14:paraId="1E087D32" w14:textId="77777777" w:rsidR="00036671" w:rsidRDefault="00F309EF" w:rsidP="002F269E">
      <w:pPr>
        <w:pStyle w:val="Heading1"/>
      </w:pPr>
      <w:r>
        <w:t>Evidence of ‘sharp practice</w:t>
      </w:r>
      <w:r w:rsidR="00036671">
        <w:t>’</w:t>
      </w:r>
    </w:p>
    <w:p w14:paraId="46B7B5B0" w14:textId="77777777" w:rsidR="00F309EF" w:rsidRDefault="00F309EF" w:rsidP="00F309EF">
      <w:r>
        <w:t>A likely explanation for the elevated cancellation rates in non-trade apprenticeships was that many of these commencements may have been opportunistic, motivated more by the 50</w:t>
      </w:r>
      <w:r w:rsidR="00CE7942">
        <w:t> per cent</w:t>
      </w:r>
      <w:r>
        <w:t xml:space="preserve"> wage subsidy than by a genuine commitment from the employer and Australian Apprentice to pursue an Australian Apprenticeship. Interview participants reported that there was substantial ‘sharp practice’ where businesses converted existing workers to Australian Apprenticeships for the purpose of receiving the wage subsidy. Some of the observed sharp practice went far enough for some stakeholders to describe it at as ‘rorting’. In response to these practices, the eligibility criteria were tightened for non-trade existing workers within the first few weeks of the program.</w:t>
      </w:r>
    </w:p>
    <w:p w14:paraId="10C20891" w14:textId="77777777" w:rsidR="00036671" w:rsidRPr="00BA1EF8" w:rsidRDefault="00F309EF" w:rsidP="002F269E">
      <w:pPr>
        <w:pStyle w:val="Heading1"/>
      </w:pPr>
      <w:r w:rsidRPr="00A54593">
        <w:t>Costs and</w:t>
      </w:r>
      <w:r>
        <w:t xml:space="preserve"> </w:t>
      </w:r>
      <w:r w:rsidRPr="00A54593">
        <w:t>cost effectiveness</w:t>
      </w:r>
    </w:p>
    <w:p w14:paraId="7ECF5E2A" w14:textId="77777777" w:rsidR="00F309EF" w:rsidRPr="00BE3E57" w:rsidRDefault="00F309EF" w:rsidP="00F309EF">
      <w:pPr>
        <w:rPr>
          <w:b/>
        </w:rPr>
      </w:pPr>
      <w:r>
        <w:t>While the program achieved its intended outcome of increasing commencements, it did so at a</w:t>
      </w:r>
      <w:r w:rsidR="004549D0">
        <w:t> </w:t>
      </w:r>
      <w:r>
        <w:t xml:space="preserve">significant cost. As of 31 March 2024, over $7.5 billion in BAC and CAC wage subsidies had been paid. The full cost of these interventions is currently unknown as CAC payments will continue beyond June 2025. This represents a cost of approximately $40,000 per additional commencement, and a forecast cost of </w:t>
      </w:r>
      <w:r w:rsidRPr="00FC7027">
        <w:t xml:space="preserve">approximately $80,000 </w:t>
      </w:r>
      <w:r>
        <w:t>per additional completion.</w:t>
      </w:r>
    </w:p>
    <w:p w14:paraId="745C7A00" w14:textId="77777777" w:rsidR="00036671" w:rsidRDefault="00F309EF" w:rsidP="002F269E">
      <w:pPr>
        <w:pStyle w:val="Heading1"/>
      </w:pPr>
      <w:r>
        <w:t>Limitations</w:t>
      </w:r>
    </w:p>
    <w:p w14:paraId="1AC13EE0" w14:textId="77777777" w:rsidR="00F309EF" w:rsidRDefault="00F309EF" w:rsidP="00F309EF">
      <w:r>
        <w:t xml:space="preserve">The evaluation teams’ estimates of the effects of the program on commencements and cancellation rates are based on econometric modelling that attempts to estimate what would have happened in the absence of the BAC and CAC programs. Inevitably, this modelling will not have captured all factors that influence the commencement or retention decisions of employers and Australian Apprentices. However, we are confident that the model gives a good approximation, and the remaining ‘bias’ in our estimates is small. </w:t>
      </w:r>
    </w:p>
    <w:p w14:paraId="0295C802" w14:textId="77777777" w:rsidR="00F309EF" w:rsidRDefault="00F309EF" w:rsidP="00F309EF">
      <w:r>
        <w:t>Another key caveat relates to the generalisability of the results. The BAC and CAC programs were implemented during a time of distinct uncertainty and tight labour market conditions, which may have acted to amplify or reduce the impact of these interventions. This means estimates of the effects might not be accurate in the context of a weaker labour market.</w:t>
      </w:r>
    </w:p>
    <w:p w14:paraId="4726A3C8" w14:textId="77777777" w:rsidR="00036671" w:rsidRDefault="00F309EF" w:rsidP="002F269E">
      <w:pPr>
        <w:pStyle w:val="Heading1"/>
      </w:pPr>
      <w:r>
        <w:lastRenderedPageBreak/>
        <w:t>Lessons for the design of future policies</w:t>
      </w:r>
    </w:p>
    <w:p w14:paraId="30660C32" w14:textId="77777777" w:rsidR="00F309EF" w:rsidRDefault="00F309EF" w:rsidP="00F309EF">
      <w:r>
        <w:t>There are several lessons from the BAC and CAC programs that may be valuable for the design of future policies. The</w:t>
      </w:r>
      <w:r w:rsidRPr="007D077C">
        <w:t xml:space="preserve"> BAC program was implemented under tight timeframes during a time of distinct economic uncertainty</w:t>
      </w:r>
      <w:r>
        <w:t>, and so m</w:t>
      </w:r>
      <w:r w:rsidRPr="007D077C">
        <w:t>any of these lessons w</w:t>
      </w:r>
      <w:r>
        <w:t>ould</w:t>
      </w:r>
      <w:r w:rsidRPr="007D077C">
        <w:t xml:space="preserve"> not </w:t>
      </w:r>
      <w:r>
        <w:t xml:space="preserve">have been </w:t>
      </w:r>
      <w:r w:rsidRPr="007D077C">
        <w:t>apparent at the time the BAC program was first designed and implemented</w:t>
      </w:r>
      <w:r>
        <w:t xml:space="preserve">. Given this context, it is particularly important that future policymakers learn from the BAC experience. </w:t>
      </w:r>
    </w:p>
    <w:p w14:paraId="55EEB128" w14:textId="77777777" w:rsidR="00F309EF" w:rsidRPr="00D5304A" w:rsidRDefault="00F309EF" w:rsidP="00D5304A">
      <w:pPr>
        <w:pStyle w:val="Bullet"/>
      </w:pPr>
      <w:r w:rsidRPr="00D5304A">
        <w:rPr>
          <w:rStyle w:val="Strong"/>
          <w:color w:val="auto"/>
        </w:rPr>
        <w:t>Lesson 1:</w:t>
      </w:r>
      <w:r w:rsidRPr="00D5304A">
        <w:t xml:space="preserve"> If incentive payments are increased substantially, anticipate the risk of sharp practice—behaviour that might be technically within the rules but either unethical or inconsistent with the program’s goals—and design eligibility criteria accordingly. </w:t>
      </w:r>
    </w:p>
    <w:p w14:paraId="410F20F3" w14:textId="77777777" w:rsidR="00F309EF" w:rsidRPr="00D5304A" w:rsidRDefault="00F309EF" w:rsidP="00D5304A">
      <w:pPr>
        <w:pStyle w:val="Bullet"/>
      </w:pPr>
      <w:r w:rsidRPr="00D5304A">
        <w:rPr>
          <w:rStyle w:val="Strong"/>
          <w:color w:val="auto"/>
        </w:rPr>
        <w:t>Lesson 2:</w:t>
      </w:r>
      <w:r w:rsidRPr="00D5304A">
        <w:t xml:space="preserve"> Recognise the risk of ‘growing pains’ for Service Providers, Registered Training Organisations (RTOs) and Regulators from a rapid, substantial increase in incentive payments.</w:t>
      </w:r>
    </w:p>
    <w:p w14:paraId="7C6FE6CF" w14:textId="77777777" w:rsidR="00F309EF" w:rsidRPr="00D5304A" w:rsidRDefault="00F309EF" w:rsidP="00D5304A">
      <w:pPr>
        <w:pStyle w:val="Bullet"/>
      </w:pPr>
      <w:r w:rsidRPr="00D5304A">
        <w:rPr>
          <w:rStyle w:val="Strong"/>
          <w:color w:val="auto"/>
        </w:rPr>
        <w:t>Lesson 3:</w:t>
      </w:r>
      <w:r w:rsidRPr="00D5304A">
        <w:t xml:space="preserve"> Consider targeting incentives at specific occupations if doing so would help support</w:t>
      </w:r>
      <w:r w:rsidRPr="00D5304A" w:rsidDel="000F1722">
        <w:t xml:space="preserve"> </w:t>
      </w:r>
      <w:r w:rsidRPr="00D5304A">
        <w:t xml:space="preserve">the policy goals of the incentive program. </w:t>
      </w:r>
    </w:p>
    <w:p w14:paraId="6BF69FEA" w14:textId="77777777" w:rsidR="00F309EF" w:rsidRPr="00D5304A" w:rsidRDefault="00F309EF" w:rsidP="00D5304A">
      <w:pPr>
        <w:pStyle w:val="Bullet"/>
      </w:pPr>
      <w:r w:rsidRPr="00D5304A">
        <w:rPr>
          <w:rStyle w:val="Strong"/>
          <w:color w:val="auto"/>
        </w:rPr>
        <w:t>Lesson 4:</w:t>
      </w:r>
      <w:r w:rsidRPr="00D5304A">
        <w:t xml:space="preserve"> Incentive payments are likely to be more effective if they are regular and front</w:t>
      </w:r>
      <w:r w:rsidR="00CE7942">
        <w:noBreakHyphen/>
      </w:r>
      <w:r w:rsidRPr="00D5304A">
        <w:t>loaded in the early years of an Australian Apprentice’s training.</w:t>
      </w:r>
    </w:p>
    <w:p w14:paraId="6F61B2A4" w14:textId="77777777" w:rsidR="00F309EF" w:rsidRPr="00D5304A" w:rsidRDefault="00F309EF" w:rsidP="00D5304A">
      <w:pPr>
        <w:pStyle w:val="Bullet"/>
      </w:pPr>
      <w:r w:rsidRPr="00D5304A">
        <w:rPr>
          <w:rStyle w:val="Strong"/>
          <w:color w:val="auto"/>
        </w:rPr>
        <w:t>Lesson 5:</w:t>
      </w:r>
      <w:r w:rsidRPr="00D5304A">
        <w:t xml:space="preserve"> Even in times of crisis, rapid, targeted consultations can be valuable for finding an</w:t>
      </w:r>
      <w:r w:rsidR="00CE7942">
        <w:t> </w:t>
      </w:r>
      <w:r w:rsidRPr="00D5304A">
        <w:t xml:space="preserve">effective program design. </w:t>
      </w:r>
    </w:p>
    <w:p w14:paraId="120F274E" w14:textId="77777777" w:rsidR="00F309EF" w:rsidRPr="00D5304A" w:rsidRDefault="00F309EF" w:rsidP="00D5304A">
      <w:pPr>
        <w:pStyle w:val="Bullet"/>
      </w:pPr>
      <w:r w:rsidRPr="00D5304A">
        <w:rPr>
          <w:rStyle w:val="Strong"/>
          <w:color w:val="auto"/>
        </w:rPr>
        <w:t>Lesson 6:</w:t>
      </w:r>
      <w:r w:rsidRPr="00D5304A">
        <w:t xml:space="preserve"> Be careful with placing a ‘cap’ on participation as caps are logistically difficult to administer and can cause a rush of businesses trying to secure capped places.</w:t>
      </w:r>
    </w:p>
    <w:p w14:paraId="6A639A33" w14:textId="77777777" w:rsidR="00F309EF" w:rsidRPr="00D5304A" w:rsidRDefault="00F309EF" w:rsidP="00D5304A">
      <w:pPr>
        <w:pStyle w:val="Bullet"/>
      </w:pPr>
      <w:r w:rsidRPr="00D5304A">
        <w:rPr>
          <w:rStyle w:val="Strong"/>
          <w:color w:val="auto"/>
        </w:rPr>
        <w:t>Lesson 7:</w:t>
      </w:r>
      <w:r w:rsidRPr="00D5304A">
        <w:t xml:space="preserve"> Clarify the program’s objectives as much as possible from the beginning, and use these objectives to help guide program design and implementation, external communication, and evaluation.    </w:t>
      </w:r>
      <w:bookmarkStart w:id="0" w:name="abstract"/>
      <w:r w:rsidRPr="00D5304A">
        <w:t xml:space="preserve"> </w:t>
      </w:r>
      <w:bookmarkEnd w:id="0"/>
    </w:p>
    <w:p w14:paraId="0A1F7F95" w14:textId="77777777" w:rsidR="00C45007" w:rsidRPr="00C45007" w:rsidRDefault="00C45007" w:rsidP="002F269E">
      <w:pPr>
        <w:pStyle w:val="Heading1"/>
      </w:pPr>
      <w:r>
        <w:t>For further information</w:t>
      </w:r>
    </w:p>
    <w:p w14:paraId="756E1D90" w14:textId="77777777" w:rsidR="0089390A" w:rsidRPr="00341F2B" w:rsidRDefault="0089390A" w:rsidP="00341F2B">
      <w:pPr>
        <w:pStyle w:val="cs2654ae3a"/>
      </w:pPr>
      <w:r>
        <w:t xml:space="preserve">For the full report see: </w:t>
      </w:r>
      <w:bookmarkStart w:id="1" w:name="_Hlk178015339"/>
      <w:r w:rsidR="00341F2B">
        <w:rPr>
          <w:rStyle w:val="cscca9035d1"/>
        </w:rPr>
        <w:fldChar w:fldCharType="begin"/>
      </w:r>
      <w:r w:rsidR="00341F2B">
        <w:rPr>
          <w:rStyle w:val="cscca9035d1"/>
        </w:rPr>
        <w:instrText>HYPERLINK "https://aus01.safelinks.protection.outlook.com/?url=https%3A%2F%2Fevaluation.treasury.gov.au%2Fpublications%2Frapid-evaluation-covid-era-apprentice-wage-subsidy-program-boosting-apprenticeship&amp;data=05%7C02%7CPeter.Bowers%40TREASURY.GOV.AU%7Cf01553f19e044195ca4c08dcdb700400%7C214f1646202147cc8397e3d3a7ba7d9d%7C0%7C0%7C638626521670939143%7CUnknown%7CTWFpbGZsb3d8eyJWIjoiMC4wLjAwMDAiLCJQIjoiV2luMzIiLCJBTiI6Ik1haWwiLCJXVCI6Mn0%3D%7C0%7C%7C%7C&amp;sdata=aAb1SE%2F7uKG1ozSm5fgo7QI7YmOfKDE1%2FLxh6JhgGS4%3D&amp;reserved=0" \o "https://evaluation.treasury.gov.au/publications/rapid-evaluation-covid-era-apprentice-wage-subsidy-program-boosting-apprenticeship" \t "_blank"</w:instrText>
      </w:r>
      <w:r w:rsidR="00341F2B">
        <w:rPr>
          <w:rStyle w:val="cscca9035d1"/>
        </w:rPr>
      </w:r>
      <w:r w:rsidR="00341F2B">
        <w:rPr>
          <w:rStyle w:val="cscca9035d1"/>
        </w:rPr>
        <w:fldChar w:fldCharType="separate"/>
      </w:r>
      <w:r w:rsidR="00341F2B">
        <w:rPr>
          <w:rStyle w:val="Hyperlink"/>
        </w:rPr>
        <w:t>https://evaluation.treasury.gov.au/publications/rapid-evaluation-covid-era-apprentice-wage-subsidy-program-boosting-apprenticeship</w:t>
      </w:r>
      <w:r w:rsidR="00341F2B">
        <w:rPr>
          <w:rStyle w:val="cscca9035d1"/>
        </w:rPr>
        <w:fldChar w:fldCharType="end"/>
      </w:r>
      <w:bookmarkEnd w:id="1"/>
    </w:p>
    <w:sectPr w:rsidR="0089390A" w:rsidRPr="00341F2B" w:rsidSect="00291F10">
      <w:headerReference w:type="default" r:id="rId7"/>
      <w:footerReference w:type="default" r:id="rId8"/>
      <w:headerReference w:type="first" r:id="rId9"/>
      <w:footerReference w:type="first" r:id="rId10"/>
      <w:pgSz w:w="11906" w:h="16838" w:code="9"/>
      <w:pgMar w:top="1701" w:right="1701" w:bottom="1701" w:left="1701" w:header="567" w:footer="425" w:gutter="0"/>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76F10B" w14:textId="77777777" w:rsidR="004824F2" w:rsidRDefault="004824F2" w:rsidP="00886BC4">
      <w:r>
        <w:separator/>
      </w:r>
    </w:p>
    <w:p w14:paraId="660A1BD2" w14:textId="77777777" w:rsidR="004824F2" w:rsidRDefault="004824F2"/>
  </w:endnote>
  <w:endnote w:type="continuationSeparator" w:id="0">
    <w:p w14:paraId="47DF5908" w14:textId="77777777" w:rsidR="004824F2" w:rsidRDefault="004824F2" w:rsidP="00886BC4">
      <w:r>
        <w:continuationSeparator/>
      </w:r>
    </w:p>
    <w:p w14:paraId="5E675455" w14:textId="77777777" w:rsidR="004824F2" w:rsidRDefault="004824F2"/>
  </w:endnote>
  <w:endnote w:type="continuationNotice" w:id="1">
    <w:p w14:paraId="556F4469" w14:textId="77777777" w:rsidR="004824F2" w:rsidRDefault="004824F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9999999">
    <w:altName w:val="Cambria"/>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Univers 45 Light">
    <w:altName w:val="Calibri"/>
    <w:charset w:val="00"/>
    <w:family w:val="auto"/>
    <w:pitch w:val="variable"/>
    <w:sig w:usb0="8000002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589BD" w14:textId="77777777" w:rsidR="00A15DB7" w:rsidRPr="00291F10" w:rsidRDefault="00291F10" w:rsidP="004549D0">
    <w:pPr>
      <w:pStyle w:val="Footer"/>
      <w:tabs>
        <w:tab w:val="clear" w:pos="4320"/>
        <w:tab w:val="clear" w:pos="8640"/>
        <w:tab w:val="center" w:pos="7938"/>
      </w:tabs>
      <w:ind w:left="567"/>
      <w:jc w:val="right"/>
    </w:pPr>
    <w:r>
      <w:rPr>
        <w:noProof/>
        <w:color w:val="FFFFFF" w:themeColor="background1"/>
      </w:rPr>
      <w:drawing>
        <wp:anchor distT="0" distB="0" distL="114300" distR="114300" simplePos="0" relativeHeight="251658241" behindDoc="1" locked="0" layoutInCell="1" allowOverlap="1" wp14:anchorId="2A43ABA0" wp14:editId="011BD4C6">
          <wp:simplePos x="0" y="0"/>
          <wp:positionH relativeFrom="page">
            <wp:posOffset>10758</wp:posOffset>
          </wp:positionH>
          <wp:positionV relativeFrom="page">
            <wp:posOffset>9864762</wp:posOffset>
          </wp:positionV>
          <wp:extent cx="7524249" cy="824398"/>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7524249" cy="824398"/>
                  </a:xfrm>
                  <a:prstGeom prst="rect">
                    <a:avLst/>
                  </a:prstGeom>
                </pic:spPr>
              </pic:pic>
            </a:graphicData>
          </a:graphic>
          <wp14:sizeRelH relativeFrom="margin">
            <wp14:pctWidth>0</wp14:pctWidth>
          </wp14:sizeRelH>
          <wp14:sizeRelV relativeFrom="margin">
            <wp14:pctHeight>0</wp14:pctHeight>
          </wp14:sizeRelV>
        </wp:anchor>
      </w:drawing>
    </w:r>
    <w:r w:rsidRPr="003E7BC1">
      <w:rPr>
        <w:rStyle w:val="ui-provider"/>
        <w:color w:val="FFFFFF" w:themeColor="background1"/>
      </w:rPr>
      <w:t>evaluation.treasury.gov.au</w:t>
    </w:r>
    <w:r>
      <w:tab/>
    </w:r>
    <w:r w:rsidRPr="00A32C73">
      <w:rPr>
        <w:rStyle w:val="Strong"/>
      </w:rPr>
      <w:fldChar w:fldCharType="begin"/>
    </w:r>
    <w:r w:rsidRPr="00A32C73">
      <w:rPr>
        <w:rStyle w:val="Strong"/>
      </w:rPr>
      <w:instrText xml:space="preserve"> PAGE   \* MERGEFORMAT </w:instrText>
    </w:r>
    <w:r w:rsidRPr="00A32C73">
      <w:rPr>
        <w:rStyle w:val="Strong"/>
      </w:rPr>
      <w:fldChar w:fldCharType="separate"/>
    </w:r>
    <w:r>
      <w:rPr>
        <w:rStyle w:val="Strong"/>
      </w:rPr>
      <w:t>1</w:t>
    </w:r>
    <w:r w:rsidRPr="00A32C73">
      <w:rPr>
        <w:rStyle w:val="Strong"/>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12134" w14:textId="77777777" w:rsidR="00300C95" w:rsidRPr="004549D0" w:rsidRDefault="004549D0" w:rsidP="004549D0">
    <w:pPr>
      <w:pStyle w:val="Footer"/>
      <w:tabs>
        <w:tab w:val="clear" w:pos="4320"/>
        <w:tab w:val="clear" w:pos="8640"/>
        <w:tab w:val="center" w:pos="7938"/>
      </w:tabs>
      <w:ind w:left="567"/>
      <w:jc w:val="right"/>
    </w:pPr>
    <w:r>
      <w:rPr>
        <w:noProof/>
        <w:color w:val="FFFFFF" w:themeColor="background1"/>
      </w:rPr>
      <w:drawing>
        <wp:anchor distT="0" distB="0" distL="114300" distR="114300" simplePos="0" relativeHeight="251658242" behindDoc="1" locked="0" layoutInCell="1" allowOverlap="1" wp14:anchorId="55FCBC36" wp14:editId="5BCD3DD4">
          <wp:simplePos x="0" y="0"/>
          <wp:positionH relativeFrom="page">
            <wp:posOffset>10758</wp:posOffset>
          </wp:positionH>
          <wp:positionV relativeFrom="page">
            <wp:posOffset>9864762</wp:posOffset>
          </wp:positionV>
          <wp:extent cx="7524249" cy="824398"/>
          <wp:effectExtent l="0" t="0" r="0" b="0"/>
          <wp:wrapNone/>
          <wp:docPr id="1245966075" name="Picture 12459660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7524249" cy="824398"/>
                  </a:xfrm>
                  <a:prstGeom prst="rect">
                    <a:avLst/>
                  </a:prstGeom>
                </pic:spPr>
              </pic:pic>
            </a:graphicData>
          </a:graphic>
          <wp14:sizeRelH relativeFrom="margin">
            <wp14:pctWidth>0</wp14:pctWidth>
          </wp14:sizeRelH>
          <wp14:sizeRelV relativeFrom="margin">
            <wp14:pctHeight>0</wp14:pctHeight>
          </wp14:sizeRelV>
        </wp:anchor>
      </w:drawing>
    </w:r>
    <w:r w:rsidRPr="003E7BC1">
      <w:rPr>
        <w:rStyle w:val="ui-provider"/>
        <w:color w:val="FFFFFF" w:themeColor="background1"/>
      </w:rPr>
      <w:t>evaluation.treasury.gov.au</w:t>
    </w:r>
    <w:r>
      <w:tab/>
    </w:r>
    <w:r w:rsidRPr="00A32C73">
      <w:rPr>
        <w:rStyle w:val="Strong"/>
      </w:rPr>
      <w:fldChar w:fldCharType="begin"/>
    </w:r>
    <w:r w:rsidRPr="00A32C73">
      <w:rPr>
        <w:rStyle w:val="Strong"/>
      </w:rPr>
      <w:instrText xml:space="preserve"> PAGE   \* MERGEFORMAT </w:instrText>
    </w:r>
    <w:r w:rsidRPr="00A32C73">
      <w:rPr>
        <w:rStyle w:val="Strong"/>
      </w:rPr>
      <w:fldChar w:fldCharType="separate"/>
    </w:r>
    <w:r>
      <w:rPr>
        <w:rStyle w:val="Strong"/>
      </w:rPr>
      <w:t>3</w:t>
    </w:r>
    <w:r w:rsidRPr="00A32C73">
      <w:rPr>
        <w:rStyle w:val="Strong"/>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0A0E60" w14:textId="77777777" w:rsidR="004824F2" w:rsidRDefault="004824F2" w:rsidP="00886BC4">
      <w:r>
        <w:separator/>
      </w:r>
    </w:p>
    <w:p w14:paraId="54D63830" w14:textId="77777777" w:rsidR="004824F2" w:rsidRDefault="004824F2"/>
  </w:footnote>
  <w:footnote w:type="continuationSeparator" w:id="0">
    <w:p w14:paraId="79572C42" w14:textId="77777777" w:rsidR="004824F2" w:rsidRDefault="004824F2" w:rsidP="00886BC4">
      <w:r>
        <w:continuationSeparator/>
      </w:r>
    </w:p>
    <w:p w14:paraId="2049E966" w14:textId="77777777" w:rsidR="004824F2" w:rsidRDefault="004824F2"/>
  </w:footnote>
  <w:footnote w:type="continuationNotice" w:id="1">
    <w:p w14:paraId="5E842748" w14:textId="77777777" w:rsidR="004824F2" w:rsidRDefault="004824F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56E12" w14:textId="1089673E" w:rsidR="006D3EE7" w:rsidRPr="004549D0" w:rsidRDefault="001B3839" w:rsidP="004549D0">
    <w:pPr>
      <w:pStyle w:val="Header"/>
    </w:pPr>
    <w:fldSimple w:instr=" STYLEREF  &quot;Fact sheet title&quot;  \* MERGEFORMAT ">
      <w:r w:rsidR="0057021B">
        <w:rPr>
          <w:noProof/>
        </w:rPr>
        <w:t>Rapid evaluation of a COVID-era apprentice wage subsidy program</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45734" w14:textId="5A98FCBA" w:rsidR="00300C95" w:rsidRDefault="00175FAC" w:rsidP="002D0F81">
    <w:pPr>
      <w:pStyle w:val="Header"/>
      <w:tabs>
        <w:tab w:val="clear" w:pos="4320"/>
        <w:tab w:val="clear" w:pos="8640"/>
        <w:tab w:val="left" w:pos="5205"/>
      </w:tabs>
    </w:pPr>
    <w:r>
      <w:rPr>
        <w:noProof/>
      </w:rPr>
      <w:drawing>
        <wp:anchor distT="0" distB="0" distL="114300" distR="114300" simplePos="0" relativeHeight="251658240" behindDoc="1" locked="0" layoutInCell="1" allowOverlap="0" wp14:anchorId="23BE5386" wp14:editId="607BDC46">
          <wp:simplePos x="0" y="0"/>
          <wp:positionH relativeFrom="page">
            <wp:align>center</wp:align>
          </wp:positionH>
          <wp:positionV relativeFrom="page">
            <wp:align>top</wp:align>
          </wp:positionV>
          <wp:extent cx="7552800" cy="2797200"/>
          <wp:effectExtent l="0" t="0" r="0" b="3175"/>
          <wp:wrapNone/>
          <wp:docPr id="203" name="Picture 20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 name="Picture 203">
                    <a:extLst>
                      <a:ext uri="{C183D7F6-B498-43B3-948B-1728B52AA6E4}">
                        <adec:decorative xmlns:adec="http://schemas.microsoft.com/office/drawing/2017/decorative" val="1"/>
                      </a:ext>
                    </a:extLst>
                  </pic:cNvPr>
                  <pic:cNvPicPr/>
                </pic:nvPicPr>
                <pic:blipFill>
                  <a:blip r:embed="rId1">
                    <a:alphaModFix/>
                    <a:extLst>
                      <a:ext uri="{28A0092B-C50C-407E-A947-70E740481C1C}">
                        <a14:useLocalDpi xmlns:a14="http://schemas.microsoft.com/office/drawing/2010/main" val="0"/>
                      </a:ext>
                    </a:extLst>
                  </a:blip>
                  <a:stretch>
                    <a:fillRect/>
                  </a:stretch>
                </pic:blipFill>
                <pic:spPr>
                  <a:xfrm>
                    <a:off x="0" y="0"/>
                    <a:ext cx="7552800" cy="2797200"/>
                  </a:xfrm>
                  <a:prstGeom prst="rect">
                    <a:avLst/>
                  </a:prstGeom>
                </pic:spPr>
              </pic:pic>
            </a:graphicData>
          </a:graphic>
          <wp14:sizeRelH relativeFrom="margin">
            <wp14:pctWidth>0</wp14:pctWidth>
          </wp14:sizeRelH>
          <wp14:sizeRelV relativeFrom="margin">
            <wp14:pctHeight>0</wp14:pctHeight>
          </wp14:sizeRelV>
        </wp:anchor>
      </w:drawing>
    </w:r>
    <w:r w:rsidR="002D0F81">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72262B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7BEE2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0BA9FD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84CE21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59603F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DF6AA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C5298B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588EF74"/>
    <w:lvl w:ilvl="0">
      <w:start w:val="1"/>
      <w:numFmt w:val="bullet"/>
      <w:lvlText w:val="-"/>
      <w:lvlJc w:val="left"/>
      <w:pPr>
        <w:tabs>
          <w:tab w:val="num" w:pos="623"/>
        </w:tabs>
        <w:ind w:left="623" w:hanging="340"/>
      </w:pPr>
      <w:rPr>
        <w:rFonts w:ascii="9999999" w:hAnsi="9999999" w:cs="Courier New" w:hint="default"/>
      </w:rPr>
    </w:lvl>
  </w:abstractNum>
  <w:abstractNum w:abstractNumId="8" w15:restartNumberingAfterBreak="0">
    <w:nsid w:val="FFFFFF88"/>
    <w:multiLevelType w:val="singleLevel"/>
    <w:tmpl w:val="70863C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71C654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ED3FC7"/>
    <w:multiLevelType w:val="multilevel"/>
    <w:tmpl w:val="79E48CD8"/>
    <w:styleLink w:val="BoxBulletedList"/>
    <w:lvl w:ilvl="0">
      <w:start w:val="1"/>
      <w:numFmt w:val="bullet"/>
      <w:lvlRestart w:val="0"/>
      <w:lvlText w:val="•"/>
      <w:lvlJc w:val="left"/>
      <w:pPr>
        <w:tabs>
          <w:tab w:val="num" w:pos="283"/>
        </w:tabs>
        <w:ind w:left="283" w:hanging="283"/>
      </w:pPr>
      <w:rPr>
        <w:rFonts w:ascii="Times New Roman" w:hAnsi="Times New Roman" w:cs="Times New Roman" w:hint="default"/>
        <w:b w:val="0"/>
        <w:i w:val="0"/>
        <w:sz w:val="20"/>
      </w:rPr>
    </w:lvl>
    <w:lvl w:ilvl="1">
      <w:start w:val="1"/>
      <w:numFmt w:val="bullet"/>
      <w:lvlText w:val="–"/>
      <w:lvlJc w:val="left"/>
      <w:pPr>
        <w:tabs>
          <w:tab w:val="num" w:pos="567"/>
        </w:tabs>
        <w:ind w:left="567" w:hanging="284"/>
      </w:pPr>
      <w:rPr>
        <w:rFonts w:hint="default"/>
        <w:b w:val="0"/>
        <w:i w:val="0"/>
      </w:rPr>
    </w:lvl>
    <w:lvl w:ilvl="2">
      <w:start w:val="1"/>
      <w:numFmt w:val="bullet"/>
      <w:lvlText w:val=":"/>
      <w:lvlJc w:val="left"/>
      <w:pPr>
        <w:tabs>
          <w:tab w:val="num" w:pos="850"/>
        </w:tabs>
        <w:ind w:left="850" w:hanging="283"/>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11" w15:restartNumberingAfterBreak="0">
    <w:nsid w:val="0E0C0FEA"/>
    <w:multiLevelType w:val="multilevel"/>
    <w:tmpl w:val="143A4AF6"/>
    <w:styleLink w:val="StyleBulletedSymbolsymbol11ptLeft4cmHanging05"/>
    <w:lvl w:ilvl="0">
      <w:start w:val="1"/>
      <w:numFmt w:val="bullet"/>
      <w:lvlText w:val=""/>
      <w:lvlJc w:val="left"/>
      <w:pPr>
        <w:tabs>
          <w:tab w:val="num" w:pos="340"/>
        </w:tabs>
        <w:ind w:left="340" w:hanging="340"/>
      </w:pPr>
      <w:rPr>
        <w:rFonts w:ascii="Calibri" w:hAnsi="Calibri"/>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77B46D1"/>
    <w:multiLevelType w:val="singleLevel"/>
    <w:tmpl w:val="890880B8"/>
    <w:lvl w:ilvl="0">
      <w:start w:val="1"/>
      <w:numFmt w:val="bullet"/>
      <w:lvlText w:val=""/>
      <w:lvlJc w:val="left"/>
      <w:pPr>
        <w:tabs>
          <w:tab w:val="num" w:pos="340"/>
        </w:tabs>
        <w:ind w:left="340" w:hanging="340"/>
      </w:pPr>
      <w:rPr>
        <w:rFonts w:ascii="Symbol" w:hAnsi="Symbol" w:hint="default"/>
        <w:color w:val="auto"/>
        <w:sz w:val="22"/>
      </w:rPr>
    </w:lvl>
  </w:abstractNum>
  <w:abstractNum w:abstractNumId="13" w15:restartNumberingAfterBreak="0">
    <w:nsid w:val="308C2710"/>
    <w:multiLevelType w:val="multilevel"/>
    <w:tmpl w:val="5804FFF0"/>
    <w:lvl w:ilvl="0">
      <w:start w:val="1"/>
      <w:numFmt w:val="bullet"/>
      <w:lvlRestart w:val="0"/>
      <w:lvlText w:val="•"/>
      <w:lvlJc w:val="left"/>
      <w:pPr>
        <w:tabs>
          <w:tab w:val="num" w:pos="283"/>
        </w:tabs>
        <w:ind w:left="283" w:hanging="283"/>
      </w:pPr>
      <w:rPr>
        <w:rFonts w:ascii="Times New Roman" w:hAnsi="Times New Roman" w:cs="Times New Roman" w:hint="default"/>
        <w:b w:val="0"/>
        <w:i w:val="0"/>
      </w:rPr>
    </w:lvl>
    <w:lvl w:ilvl="1">
      <w:start w:val="1"/>
      <w:numFmt w:val="bullet"/>
      <w:pStyle w:val="Dash"/>
      <w:lvlText w:val="–"/>
      <w:lvlJc w:val="left"/>
      <w:pPr>
        <w:tabs>
          <w:tab w:val="num" w:pos="567"/>
        </w:tabs>
        <w:ind w:left="567" w:hanging="284"/>
      </w:pPr>
      <w:rPr>
        <w:rFonts w:ascii="Times New Roman" w:hAnsi="Times New Roman" w:cs="Times New Roman" w:hint="default"/>
        <w:b w:val="0"/>
        <w:i w:val="0"/>
      </w:rPr>
    </w:lvl>
    <w:lvl w:ilvl="2">
      <w:start w:val="1"/>
      <w:numFmt w:val="bullet"/>
      <w:pStyle w:val="DoubleDot"/>
      <w:lvlText w:val=":"/>
      <w:lvlJc w:val="left"/>
      <w:pPr>
        <w:tabs>
          <w:tab w:val="num" w:pos="850"/>
        </w:tabs>
        <w:ind w:left="850" w:hanging="283"/>
      </w:pPr>
      <w:rPr>
        <w:rFonts w:ascii="Times New Roman" w:hAnsi="Times New Roman" w:cs="Times New Roman"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14" w15:restartNumberingAfterBreak="0">
    <w:nsid w:val="57AD61FE"/>
    <w:multiLevelType w:val="singleLevel"/>
    <w:tmpl w:val="12BC0E22"/>
    <w:lvl w:ilvl="0">
      <w:start w:val="1"/>
      <w:numFmt w:val="bullet"/>
      <w:lvlText w:val=""/>
      <w:lvlJc w:val="left"/>
      <w:pPr>
        <w:tabs>
          <w:tab w:val="num" w:pos="340"/>
        </w:tabs>
        <w:ind w:left="340" w:hanging="340"/>
      </w:pPr>
      <w:rPr>
        <w:rFonts w:ascii="Symbol" w:hAnsi="Symbol" w:hint="default"/>
        <w:color w:val="auto"/>
        <w:sz w:val="22"/>
      </w:rPr>
    </w:lvl>
  </w:abstractNum>
  <w:abstractNum w:abstractNumId="15" w15:restartNumberingAfterBreak="0">
    <w:nsid w:val="5B8E0DED"/>
    <w:multiLevelType w:val="hybridMultilevel"/>
    <w:tmpl w:val="420E9DAE"/>
    <w:lvl w:ilvl="0" w:tplc="5BCC39DE">
      <w:start w:val="1"/>
      <w:numFmt w:val="bullet"/>
      <w:lvlText w:val=""/>
      <w:lvlJc w:val="left"/>
      <w:pPr>
        <w:tabs>
          <w:tab w:val="num" w:pos="720"/>
        </w:tabs>
        <w:ind w:left="720" w:hanging="360"/>
      </w:pPr>
      <w:rPr>
        <w:rFonts w:ascii="Symbol" w:hAnsi="Symbol" w:hint="default"/>
        <w:color w:val="auto"/>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7334467"/>
    <w:multiLevelType w:val="multilevel"/>
    <w:tmpl w:val="F37ECF38"/>
    <w:styleLink w:val="StyleBulletedSymbolsymbol11ptLeft4cmHanging051"/>
    <w:lvl w:ilvl="0">
      <w:start w:val="1"/>
      <w:numFmt w:val="bullet"/>
      <w:lvlText w:val=""/>
      <w:lvlJc w:val="left"/>
      <w:pPr>
        <w:tabs>
          <w:tab w:val="num" w:pos="340"/>
        </w:tabs>
        <w:ind w:left="340" w:hanging="340"/>
      </w:pPr>
      <w:rPr>
        <w:rFonts w:ascii="Symbol" w:hAnsi="Symbol"/>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7D6B5224"/>
    <w:multiLevelType w:val="multilevel"/>
    <w:tmpl w:val="58D0B304"/>
    <w:lvl w:ilvl="0">
      <w:start w:val="1"/>
      <w:numFmt w:val="bullet"/>
      <w:pStyle w:val="Bullet"/>
      <w:lvlText w:val="•"/>
      <w:lvlJc w:val="left"/>
      <w:pPr>
        <w:tabs>
          <w:tab w:val="num" w:pos="520"/>
        </w:tabs>
        <w:ind w:left="520" w:hanging="520"/>
      </w:pPr>
      <w:rPr>
        <w:rFonts w:ascii="Times New Roman" w:hAnsi="Times New Roman" w:cs="Times New Roman"/>
        <w:color w:val="auto"/>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408722923">
    <w:abstractNumId w:val="11"/>
  </w:num>
  <w:num w:numId="2" w16cid:durableId="792334275">
    <w:abstractNumId w:val="16"/>
  </w:num>
  <w:num w:numId="3" w16cid:durableId="194268924">
    <w:abstractNumId w:val="14"/>
  </w:num>
  <w:num w:numId="4" w16cid:durableId="462625690">
    <w:abstractNumId w:val="15"/>
  </w:num>
  <w:num w:numId="5" w16cid:durableId="1080833930">
    <w:abstractNumId w:val="12"/>
  </w:num>
  <w:num w:numId="6" w16cid:durableId="1645507674">
    <w:abstractNumId w:val="7"/>
  </w:num>
  <w:num w:numId="7" w16cid:durableId="695547246">
    <w:abstractNumId w:val="17"/>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16758713">
    <w:abstractNumId w:val="10"/>
  </w:num>
  <w:num w:numId="9" w16cid:durableId="1294407382">
    <w:abstractNumId w:val="13"/>
  </w:num>
  <w:num w:numId="10" w16cid:durableId="984508152">
    <w:abstractNumId w:val="9"/>
  </w:num>
  <w:num w:numId="11" w16cid:durableId="458031404">
    <w:abstractNumId w:val="6"/>
  </w:num>
  <w:num w:numId="12" w16cid:durableId="472214361">
    <w:abstractNumId w:val="5"/>
  </w:num>
  <w:num w:numId="13" w16cid:durableId="62416810">
    <w:abstractNumId w:val="4"/>
  </w:num>
  <w:num w:numId="14" w16cid:durableId="520556781">
    <w:abstractNumId w:val="8"/>
  </w:num>
  <w:num w:numId="15" w16cid:durableId="241915760">
    <w:abstractNumId w:val="3"/>
  </w:num>
  <w:num w:numId="16" w16cid:durableId="1615288521">
    <w:abstractNumId w:val="2"/>
  </w:num>
  <w:num w:numId="17" w16cid:durableId="259028629">
    <w:abstractNumId w:val="1"/>
  </w:num>
  <w:num w:numId="18" w16cid:durableId="411658734">
    <w:abstractNumId w:val="0"/>
  </w:num>
  <w:num w:numId="19" w16cid:durableId="707755393">
    <w:abstractNumId w:val="17"/>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ecurityClassificationInHeader" w:val="False"/>
  </w:docVars>
  <w:rsids>
    <w:rsidRoot w:val="005B2A95"/>
    <w:rsid w:val="00004FA6"/>
    <w:rsid w:val="00016670"/>
    <w:rsid w:val="00016B6C"/>
    <w:rsid w:val="0002151A"/>
    <w:rsid w:val="00033942"/>
    <w:rsid w:val="00036671"/>
    <w:rsid w:val="000421F9"/>
    <w:rsid w:val="000454E3"/>
    <w:rsid w:val="00045C24"/>
    <w:rsid w:val="00056429"/>
    <w:rsid w:val="00060C76"/>
    <w:rsid w:val="00062CBB"/>
    <w:rsid w:val="00067E65"/>
    <w:rsid w:val="000753CE"/>
    <w:rsid w:val="000A4D2D"/>
    <w:rsid w:val="000B1EC3"/>
    <w:rsid w:val="000B2C0C"/>
    <w:rsid w:val="000B3C90"/>
    <w:rsid w:val="000C02C9"/>
    <w:rsid w:val="000D33F2"/>
    <w:rsid w:val="000D3494"/>
    <w:rsid w:val="000D7D2F"/>
    <w:rsid w:val="000E324C"/>
    <w:rsid w:val="000F2493"/>
    <w:rsid w:val="000F2562"/>
    <w:rsid w:val="000F33C9"/>
    <w:rsid w:val="00102238"/>
    <w:rsid w:val="00105EBE"/>
    <w:rsid w:val="00106E94"/>
    <w:rsid w:val="00112899"/>
    <w:rsid w:val="001145FD"/>
    <w:rsid w:val="00115B2E"/>
    <w:rsid w:val="0011628E"/>
    <w:rsid w:val="00117DDD"/>
    <w:rsid w:val="001363E7"/>
    <w:rsid w:val="001376CC"/>
    <w:rsid w:val="00140697"/>
    <w:rsid w:val="0014178A"/>
    <w:rsid w:val="00144B84"/>
    <w:rsid w:val="00166A45"/>
    <w:rsid w:val="00166E03"/>
    <w:rsid w:val="00173814"/>
    <w:rsid w:val="00174954"/>
    <w:rsid w:val="00175FAC"/>
    <w:rsid w:val="00182E9E"/>
    <w:rsid w:val="00183F40"/>
    <w:rsid w:val="00187E23"/>
    <w:rsid w:val="00190D7B"/>
    <w:rsid w:val="00192367"/>
    <w:rsid w:val="001929D8"/>
    <w:rsid w:val="00197414"/>
    <w:rsid w:val="001A5155"/>
    <w:rsid w:val="001A5DCC"/>
    <w:rsid w:val="001B2178"/>
    <w:rsid w:val="001B3839"/>
    <w:rsid w:val="001B3A29"/>
    <w:rsid w:val="001B540E"/>
    <w:rsid w:val="001C5117"/>
    <w:rsid w:val="001C78AE"/>
    <w:rsid w:val="001D45A4"/>
    <w:rsid w:val="001E5623"/>
    <w:rsid w:val="001E6DC2"/>
    <w:rsid w:val="001E7840"/>
    <w:rsid w:val="001E7CF5"/>
    <w:rsid w:val="001F50DA"/>
    <w:rsid w:val="00203245"/>
    <w:rsid w:val="00205F44"/>
    <w:rsid w:val="002105F8"/>
    <w:rsid w:val="00215EE7"/>
    <w:rsid w:val="00222B95"/>
    <w:rsid w:val="00223D87"/>
    <w:rsid w:val="002268AB"/>
    <w:rsid w:val="00226F00"/>
    <w:rsid w:val="0022749C"/>
    <w:rsid w:val="00227C77"/>
    <w:rsid w:val="0023336E"/>
    <w:rsid w:val="00233887"/>
    <w:rsid w:val="00233A88"/>
    <w:rsid w:val="00241B9A"/>
    <w:rsid w:val="0024226F"/>
    <w:rsid w:val="00245342"/>
    <w:rsid w:val="002462BD"/>
    <w:rsid w:val="00260712"/>
    <w:rsid w:val="00263339"/>
    <w:rsid w:val="00263654"/>
    <w:rsid w:val="0026561C"/>
    <w:rsid w:val="002809F6"/>
    <w:rsid w:val="00283303"/>
    <w:rsid w:val="00287F32"/>
    <w:rsid w:val="0029134D"/>
    <w:rsid w:val="00291F10"/>
    <w:rsid w:val="002978C8"/>
    <w:rsid w:val="002A0B32"/>
    <w:rsid w:val="002A4B83"/>
    <w:rsid w:val="002A6430"/>
    <w:rsid w:val="002A79C5"/>
    <w:rsid w:val="002C26D9"/>
    <w:rsid w:val="002D0F81"/>
    <w:rsid w:val="002D49D1"/>
    <w:rsid w:val="002F269E"/>
    <w:rsid w:val="002F417B"/>
    <w:rsid w:val="002F5342"/>
    <w:rsid w:val="002F6ADC"/>
    <w:rsid w:val="00300C95"/>
    <w:rsid w:val="003054A8"/>
    <w:rsid w:val="00306770"/>
    <w:rsid w:val="00307DA3"/>
    <w:rsid w:val="00327D31"/>
    <w:rsid w:val="003305CA"/>
    <w:rsid w:val="0034064A"/>
    <w:rsid w:val="00341F2B"/>
    <w:rsid w:val="0034564D"/>
    <w:rsid w:val="00353390"/>
    <w:rsid w:val="00357842"/>
    <w:rsid w:val="003665A1"/>
    <w:rsid w:val="00372AC1"/>
    <w:rsid w:val="003802F4"/>
    <w:rsid w:val="003831AB"/>
    <w:rsid w:val="00390C06"/>
    <w:rsid w:val="003A60DC"/>
    <w:rsid w:val="003A63D1"/>
    <w:rsid w:val="003C047D"/>
    <w:rsid w:val="003C4F86"/>
    <w:rsid w:val="003C789B"/>
    <w:rsid w:val="003D0BC9"/>
    <w:rsid w:val="003E26C5"/>
    <w:rsid w:val="003E7BC1"/>
    <w:rsid w:val="003F2E2F"/>
    <w:rsid w:val="003F424B"/>
    <w:rsid w:val="00425E05"/>
    <w:rsid w:val="00442C7E"/>
    <w:rsid w:val="00450CCE"/>
    <w:rsid w:val="004542B7"/>
    <w:rsid w:val="004546DC"/>
    <w:rsid w:val="004549D0"/>
    <w:rsid w:val="00455E99"/>
    <w:rsid w:val="004633B5"/>
    <w:rsid w:val="00463D4E"/>
    <w:rsid w:val="00470BA0"/>
    <w:rsid w:val="0047507F"/>
    <w:rsid w:val="00477439"/>
    <w:rsid w:val="004824F2"/>
    <w:rsid w:val="00485A3D"/>
    <w:rsid w:val="00486B7C"/>
    <w:rsid w:val="00490C62"/>
    <w:rsid w:val="00496135"/>
    <w:rsid w:val="0049673E"/>
    <w:rsid w:val="00496C34"/>
    <w:rsid w:val="004A2AFD"/>
    <w:rsid w:val="004A37EA"/>
    <w:rsid w:val="004A4424"/>
    <w:rsid w:val="004B08DC"/>
    <w:rsid w:val="004B1F82"/>
    <w:rsid w:val="004B56B0"/>
    <w:rsid w:val="004C5917"/>
    <w:rsid w:val="004C5E48"/>
    <w:rsid w:val="004D0778"/>
    <w:rsid w:val="004D75F6"/>
    <w:rsid w:val="004E424B"/>
    <w:rsid w:val="004E71FE"/>
    <w:rsid w:val="004F24D0"/>
    <w:rsid w:val="00502E10"/>
    <w:rsid w:val="00505009"/>
    <w:rsid w:val="00506BF4"/>
    <w:rsid w:val="00507097"/>
    <w:rsid w:val="00510357"/>
    <w:rsid w:val="0051600D"/>
    <w:rsid w:val="00516FB2"/>
    <w:rsid w:val="00524DCE"/>
    <w:rsid w:val="00525050"/>
    <w:rsid w:val="0053110F"/>
    <w:rsid w:val="00533FEF"/>
    <w:rsid w:val="00535C81"/>
    <w:rsid w:val="00546D8E"/>
    <w:rsid w:val="00546FDD"/>
    <w:rsid w:val="00550511"/>
    <w:rsid w:val="00551340"/>
    <w:rsid w:val="005606FD"/>
    <w:rsid w:val="00565A52"/>
    <w:rsid w:val="00566AD8"/>
    <w:rsid w:val="0057021B"/>
    <w:rsid w:val="00570B86"/>
    <w:rsid w:val="005732EB"/>
    <w:rsid w:val="005803BF"/>
    <w:rsid w:val="00582FAD"/>
    <w:rsid w:val="00585F7E"/>
    <w:rsid w:val="0059441F"/>
    <w:rsid w:val="00594ABF"/>
    <w:rsid w:val="005A11E6"/>
    <w:rsid w:val="005A2484"/>
    <w:rsid w:val="005A6A61"/>
    <w:rsid w:val="005B0968"/>
    <w:rsid w:val="005B207E"/>
    <w:rsid w:val="005B2484"/>
    <w:rsid w:val="005B2A95"/>
    <w:rsid w:val="005B3871"/>
    <w:rsid w:val="005B659D"/>
    <w:rsid w:val="005B6B98"/>
    <w:rsid w:val="005C1326"/>
    <w:rsid w:val="005C3527"/>
    <w:rsid w:val="005C4B02"/>
    <w:rsid w:val="005E125F"/>
    <w:rsid w:val="005E62D6"/>
    <w:rsid w:val="005F0F13"/>
    <w:rsid w:val="005F0FBF"/>
    <w:rsid w:val="006014A0"/>
    <w:rsid w:val="00614971"/>
    <w:rsid w:val="006260A2"/>
    <w:rsid w:val="00627218"/>
    <w:rsid w:val="006355D1"/>
    <w:rsid w:val="00635DD4"/>
    <w:rsid w:val="00637692"/>
    <w:rsid w:val="0064704A"/>
    <w:rsid w:val="0068120D"/>
    <w:rsid w:val="006916AD"/>
    <w:rsid w:val="00693E98"/>
    <w:rsid w:val="00694B4F"/>
    <w:rsid w:val="00694DE6"/>
    <w:rsid w:val="006A118D"/>
    <w:rsid w:val="006A3972"/>
    <w:rsid w:val="006A712D"/>
    <w:rsid w:val="006D27A6"/>
    <w:rsid w:val="006D3EE7"/>
    <w:rsid w:val="006D6960"/>
    <w:rsid w:val="006E101D"/>
    <w:rsid w:val="006E6F8C"/>
    <w:rsid w:val="006E76BE"/>
    <w:rsid w:val="006F0918"/>
    <w:rsid w:val="006F4ED8"/>
    <w:rsid w:val="006F56A2"/>
    <w:rsid w:val="006F6E04"/>
    <w:rsid w:val="00705AD6"/>
    <w:rsid w:val="007164C9"/>
    <w:rsid w:val="00717216"/>
    <w:rsid w:val="00722F56"/>
    <w:rsid w:val="007343B8"/>
    <w:rsid w:val="00736715"/>
    <w:rsid w:val="007600FA"/>
    <w:rsid w:val="0076093D"/>
    <w:rsid w:val="00761DA0"/>
    <w:rsid w:val="007622D7"/>
    <w:rsid w:val="007825F2"/>
    <w:rsid w:val="00784A3C"/>
    <w:rsid w:val="00793BD7"/>
    <w:rsid w:val="0079466D"/>
    <w:rsid w:val="007A4195"/>
    <w:rsid w:val="007A6E4D"/>
    <w:rsid w:val="007B07FF"/>
    <w:rsid w:val="007B6953"/>
    <w:rsid w:val="007B7784"/>
    <w:rsid w:val="007C1094"/>
    <w:rsid w:val="007C3CD0"/>
    <w:rsid w:val="007D4EB7"/>
    <w:rsid w:val="007D6F47"/>
    <w:rsid w:val="007E013D"/>
    <w:rsid w:val="007E0975"/>
    <w:rsid w:val="007E1A1B"/>
    <w:rsid w:val="007E36E4"/>
    <w:rsid w:val="007E5E07"/>
    <w:rsid w:val="007E7046"/>
    <w:rsid w:val="007F53C0"/>
    <w:rsid w:val="007F61E3"/>
    <w:rsid w:val="00812864"/>
    <w:rsid w:val="008139FB"/>
    <w:rsid w:val="0081558C"/>
    <w:rsid w:val="00831D8A"/>
    <w:rsid w:val="00837261"/>
    <w:rsid w:val="00847719"/>
    <w:rsid w:val="00856A94"/>
    <w:rsid w:val="008616B9"/>
    <w:rsid w:val="0086415F"/>
    <w:rsid w:val="0088159C"/>
    <w:rsid w:val="0088211A"/>
    <w:rsid w:val="00884F56"/>
    <w:rsid w:val="008854F6"/>
    <w:rsid w:val="00886667"/>
    <w:rsid w:val="00886BC4"/>
    <w:rsid w:val="0089390A"/>
    <w:rsid w:val="008972E4"/>
    <w:rsid w:val="008A02F3"/>
    <w:rsid w:val="008A1C1D"/>
    <w:rsid w:val="008A48CA"/>
    <w:rsid w:val="008B2938"/>
    <w:rsid w:val="008B395C"/>
    <w:rsid w:val="008C0DD9"/>
    <w:rsid w:val="008C5773"/>
    <w:rsid w:val="008D0CA6"/>
    <w:rsid w:val="008D4CD0"/>
    <w:rsid w:val="008D5358"/>
    <w:rsid w:val="008E0180"/>
    <w:rsid w:val="008E04BD"/>
    <w:rsid w:val="008E35A5"/>
    <w:rsid w:val="008F0B15"/>
    <w:rsid w:val="008F1AA6"/>
    <w:rsid w:val="008F2212"/>
    <w:rsid w:val="008F73C8"/>
    <w:rsid w:val="008F7E69"/>
    <w:rsid w:val="00903786"/>
    <w:rsid w:val="00903AB2"/>
    <w:rsid w:val="00905F29"/>
    <w:rsid w:val="0090719E"/>
    <w:rsid w:val="00907DD4"/>
    <w:rsid w:val="009109AA"/>
    <w:rsid w:val="00914652"/>
    <w:rsid w:val="009147BC"/>
    <w:rsid w:val="00926879"/>
    <w:rsid w:val="00933C8C"/>
    <w:rsid w:val="009367F6"/>
    <w:rsid w:val="0093741D"/>
    <w:rsid w:val="00942CB3"/>
    <w:rsid w:val="00944174"/>
    <w:rsid w:val="00951652"/>
    <w:rsid w:val="00952F2F"/>
    <w:rsid w:val="00965C4B"/>
    <w:rsid w:val="00966B71"/>
    <w:rsid w:val="009757BB"/>
    <w:rsid w:val="00976E68"/>
    <w:rsid w:val="0098151F"/>
    <w:rsid w:val="00986A46"/>
    <w:rsid w:val="009906A6"/>
    <w:rsid w:val="00992ADC"/>
    <w:rsid w:val="009A5EC9"/>
    <w:rsid w:val="009A6D32"/>
    <w:rsid w:val="009A71C4"/>
    <w:rsid w:val="009B15EC"/>
    <w:rsid w:val="009B1781"/>
    <w:rsid w:val="009B2546"/>
    <w:rsid w:val="009B464D"/>
    <w:rsid w:val="009C1F90"/>
    <w:rsid w:val="009C66A3"/>
    <w:rsid w:val="009D616A"/>
    <w:rsid w:val="009E6061"/>
    <w:rsid w:val="00A01086"/>
    <w:rsid w:val="00A05E57"/>
    <w:rsid w:val="00A1120D"/>
    <w:rsid w:val="00A13CB3"/>
    <w:rsid w:val="00A13F0D"/>
    <w:rsid w:val="00A15DB7"/>
    <w:rsid w:val="00A17503"/>
    <w:rsid w:val="00A215B3"/>
    <w:rsid w:val="00A24D20"/>
    <w:rsid w:val="00A32C4E"/>
    <w:rsid w:val="00A32C73"/>
    <w:rsid w:val="00A3452B"/>
    <w:rsid w:val="00A46A9A"/>
    <w:rsid w:val="00A50111"/>
    <w:rsid w:val="00A51CE7"/>
    <w:rsid w:val="00A52C22"/>
    <w:rsid w:val="00A60022"/>
    <w:rsid w:val="00A60990"/>
    <w:rsid w:val="00A6514E"/>
    <w:rsid w:val="00A7765E"/>
    <w:rsid w:val="00A827E5"/>
    <w:rsid w:val="00A8449C"/>
    <w:rsid w:val="00A84C3C"/>
    <w:rsid w:val="00A87F4B"/>
    <w:rsid w:val="00A909A3"/>
    <w:rsid w:val="00A91BD2"/>
    <w:rsid w:val="00A940BE"/>
    <w:rsid w:val="00A96316"/>
    <w:rsid w:val="00A9658A"/>
    <w:rsid w:val="00A970ED"/>
    <w:rsid w:val="00AA553F"/>
    <w:rsid w:val="00AB2ABB"/>
    <w:rsid w:val="00AB3D33"/>
    <w:rsid w:val="00AB4F4E"/>
    <w:rsid w:val="00AC0313"/>
    <w:rsid w:val="00AC1B27"/>
    <w:rsid w:val="00AC4C62"/>
    <w:rsid w:val="00AC60D4"/>
    <w:rsid w:val="00AE39EE"/>
    <w:rsid w:val="00AE53E5"/>
    <w:rsid w:val="00B129C3"/>
    <w:rsid w:val="00B15B56"/>
    <w:rsid w:val="00B17D5F"/>
    <w:rsid w:val="00B24C1C"/>
    <w:rsid w:val="00B32830"/>
    <w:rsid w:val="00B42FAF"/>
    <w:rsid w:val="00B4706D"/>
    <w:rsid w:val="00B50FEA"/>
    <w:rsid w:val="00B51175"/>
    <w:rsid w:val="00B5397C"/>
    <w:rsid w:val="00B54FA9"/>
    <w:rsid w:val="00B57B0B"/>
    <w:rsid w:val="00B64308"/>
    <w:rsid w:val="00B71F74"/>
    <w:rsid w:val="00B73C23"/>
    <w:rsid w:val="00B7570C"/>
    <w:rsid w:val="00B771FF"/>
    <w:rsid w:val="00B82C45"/>
    <w:rsid w:val="00BA054F"/>
    <w:rsid w:val="00BA123B"/>
    <w:rsid w:val="00BA1EF8"/>
    <w:rsid w:val="00BA3721"/>
    <w:rsid w:val="00BA7802"/>
    <w:rsid w:val="00BB059B"/>
    <w:rsid w:val="00BB4B21"/>
    <w:rsid w:val="00BC6017"/>
    <w:rsid w:val="00BC723B"/>
    <w:rsid w:val="00BD0B30"/>
    <w:rsid w:val="00BD3C26"/>
    <w:rsid w:val="00BD7EA0"/>
    <w:rsid w:val="00BE15C8"/>
    <w:rsid w:val="00BE2210"/>
    <w:rsid w:val="00BE5AC7"/>
    <w:rsid w:val="00BF3E58"/>
    <w:rsid w:val="00BF4A8E"/>
    <w:rsid w:val="00BF73E4"/>
    <w:rsid w:val="00BF75D8"/>
    <w:rsid w:val="00C01354"/>
    <w:rsid w:val="00C0628D"/>
    <w:rsid w:val="00C1033A"/>
    <w:rsid w:val="00C23C8C"/>
    <w:rsid w:val="00C3042D"/>
    <w:rsid w:val="00C362B7"/>
    <w:rsid w:val="00C3693F"/>
    <w:rsid w:val="00C37A6A"/>
    <w:rsid w:val="00C436B8"/>
    <w:rsid w:val="00C443D7"/>
    <w:rsid w:val="00C45007"/>
    <w:rsid w:val="00C620FD"/>
    <w:rsid w:val="00C639E4"/>
    <w:rsid w:val="00C71CED"/>
    <w:rsid w:val="00C778C6"/>
    <w:rsid w:val="00C80C62"/>
    <w:rsid w:val="00C82A8A"/>
    <w:rsid w:val="00C8634C"/>
    <w:rsid w:val="00CA168B"/>
    <w:rsid w:val="00CA4694"/>
    <w:rsid w:val="00CB032B"/>
    <w:rsid w:val="00CB0554"/>
    <w:rsid w:val="00CC1136"/>
    <w:rsid w:val="00CC5606"/>
    <w:rsid w:val="00CD02A5"/>
    <w:rsid w:val="00CD7F0B"/>
    <w:rsid w:val="00CE7942"/>
    <w:rsid w:val="00CF1EA3"/>
    <w:rsid w:val="00CF5A2D"/>
    <w:rsid w:val="00D044DC"/>
    <w:rsid w:val="00D05A02"/>
    <w:rsid w:val="00D0725D"/>
    <w:rsid w:val="00D11F38"/>
    <w:rsid w:val="00D11F49"/>
    <w:rsid w:val="00D17467"/>
    <w:rsid w:val="00D2150F"/>
    <w:rsid w:val="00D215DF"/>
    <w:rsid w:val="00D33E3B"/>
    <w:rsid w:val="00D40B85"/>
    <w:rsid w:val="00D5304A"/>
    <w:rsid w:val="00D535AC"/>
    <w:rsid w:val="00D555C7"/>
    <w:rsid w:val="00D566F4"/>
    <w:rsid w:val="00D60855"/>
    <w:rsid w:val="00D621F5"/>
    <w:rsid w:val="00D81F86"/>
    <w:rsid w:val="00D87A92"/>
    <w:rsid w:val="00DC075C"/>
    <w:rsid w:val="00DC6FBB"/>
    <w:rsid w:val="00DD5D38"/>
    <w:rsid w:val="00DE05FE"/>
    <w:rsid w:val="00DE5EE8"/>
    <w:rsid w:val="00DE74EC"/>
    <w:rsid w:val="00DF0B01"/>
    <w:rsid w:val="00DF56B6"/>
    <w:rsid w:val="00DF5A46"/>
    <w:rsid w:val="00E10B5B"/>
    <w:rsid w:val="00E11105"/>
    <w:rsid w:val="00E16939"/>
    <w:rsid w:val="00E1766A"/>
    <w:rsid w:val="00E267E6"/>
    <w:rsid w:val="00E34501"/>
    <w:rsid w:val="00E35B8F"/>
    <w:rsid w:val="00E40078"/>
    <w:rsid w:val="00E4461B"/>
    <w:rsid w:val="00E4520C"/>
    <w:rsid w:val="00E62B01"/>
    <w:rsid w:val="00E64B67"/>
    <w:rsid w:val="00E669CD"/>
    <w:rsid w:val="00E70A2C"/>
    <w:rsid w:val="00E808EB"/>
    <w:rsid w:val="00E81A92"/>
    <w:rsid w:val="00E83A1D"/>
    <w:rsid w:val="00E847A7"/>
    <w:rsid w:val="00E85FF2"/>
    <w:rsid w:val="00E86CBA"/>
    <w:rsid w:val="00E90E39"/>
    <w:rsid w:val="00E93C25"/>
    <w:rsid w:val="00EA5D8D"/>
    <w:rsid w:val="00EB1557"/>
    <w:rsid w:val="00EC2A56"/>
    <w:rsid w:val="00ED3522"/>
    <w:rsid w:val="00ED41DA"/>
    <w:rsid w:val="00EE570F"/>
    <w:rsid w:val="00EE5C64"/>
    <w:rsid w:val="00EE5F89"/>
    <w:rsid w:val="00EF1B2D"/>
    <w:rsid w:val="00F0196A"/>
    <w:rsid w:val="00F07B2D"/>
    <w:rsid w:val="00F172EE"/>
    <w:rsid w:val="00F22FC2"/>
    <w:rsid w:val="00F248B6"/>
    <w:rsid w:val="00F309EF"/>
    <w:rsid w:val="00F31637"/>
    <w:rsid w:val="00F33B9F"/>
    <w:rsid w:val="00F375E5"/>
    <w:rsid w:val="00F41932"/>
    <w:rsid w:val="00F44C22"/>
    <w:rsid w:val="00F4789A"/>
    <w:rsid w:val="00F51C00"/>
    <w:rsid w:val="00F51FDE"/>
    <w:rsid w:val="00F55D71"/>
    <w:rsid w:val="00F565D2"/>
    <w:rsid w:val="00F61364"/>
    <w:rsid w:val="00F614C4"/>
    <w:rsid w:val="00F61E2F"/>
    <w:rsid w:val="00F7256C"/>
    <w:rsid w:val="00F75A59"/>
    <w:rsid w:val="00F7650A"/>
    <w:rsid w:val="00F95DDF"/>
    <w:rsid w:val="00F96108"/>
    <w:rsid w:val="00FA70A7"/>
    <w:rsid w:val="00FB5337"/>
    <w:rsid w:val="00FB6537"/>
    <w:rsid w:val="00FB7AEB"/>
    <w:rsid w:val="00FC2874"/>
    <w:rsid w:val="00FC2E34"/>
    <w:rsid w:val="00FD06DF"/>
    <w:rsid w:val="00FD0B4D"/>
    <w:rsid w:val="00FD32FB"/>
    <w:rsid w:val="00FE316C"/>
    <w:rsid w:val="00FF4459"/>
    <w:rsid w:val="00FF59C1"/>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044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imes New Roman"/>
        <w:lang w:val="en-AU" w:eastAsia="en-US" w:bidi="ar-SA"/>
      </w:rPr>
    </w:rPrDefault>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2C73"/>
    <w:pPr>
      <w:spacing w:before="120" w:after="120"/>
    </w:pPr>
    <w:rPr>
      <w:rFonts w:ascii="Calibri Light" w:eastAsia="Times New Roman" w:hAnsi="Calibri Light"/>
      <w:sz w:val="22"/>
      <w:lang w:eastAsia="en-AU"/>
    </w:rPr>
  </w:style>
  <w:style w:type="paragraph" w:styleId="Heading1">
    <w:name w:val="heading 1"/>
    <w:basedOn w:val="Normal"/>
    <w:next w:val="Normal"/>
    <w:link w:val="Heading1Char"/>
    <w:rsid w:val="002F269E"/>
    <w:pPr>
      <w:keepNext/>
      <w:spacing w:before="240" w:line="460" w:lineRule="exact"/>
      <w:outlineLvl w:val="0"/>
    </w:pPr>
    <w:rPr>
      <w:rFonts w:ascii="Calibri" w:hAnsi="Calibri" w:cs="Arial"/>
      <w:b/>
      <w:color w:val="2C384A" w:themeColor="accent1"/>
      <w:kern w:val="32"/>
      <w:sz w:val="28"/>
      <w:szCs w:val="28"/>
    </w:rPr>
  </w:style>
  <w:style w:type="paragraph" w:styleId="Heading2">
    <w:name w:val="heading 2"/>
    <w:basedOn w:val="Normal"/>
    <w:next w:val="Normal"/>
    <w:link w:val="Heading2Char"/>
    <w:qFormat/>
    <w:rsid w:val="00510357"/>
    <w:pPr>
      <w:keepNext/>
      <w:spacing w:before="360" w:line="460" w:lineRule="exact"/>
      <w:outlineLvl w:val="1"/>
    </w:pPr>
    <w:rPr>
      <w:rFonts w:ascii="Calibri" w:hAnsi="Calibri" w:cs="Arial"/>
      <w:iCs/>
      <w:color w:val="5D779D" w:themeColor="accent3"/>
      <w:kern w:val="32"/>
      <w:sz w:val="36"/>
      <w:szCs w:val="28"/>
    </w:rPr>
  </w:style>
  <w:style w:type="paragraph" w:styleId="Heading3">
    <w:name w:val="heading 3"/>
    <w:basedOn w:val="Normal"/>
    <w:next w:val="Normal"/>
    <w:link w:val="Heading3Char"/>
    <w:qFormat/>
    <w:rsid w:val="00062CBB"/>
    <w:pPr>
      <w:keepNext/>
      <w:spacing w:before="320" w:after="0" w:line="276" w:lineRule="auto"/>
      <w:outlineLvl w:val="2"/>
    </w:pPr>
    <w:rPr>
      <w:rFonts w:ascii="Calibri" w:hAnsi="Calibri" w:cs="Arial"/>
      <w:b/>
      <w:color w:val="2C384A" w:themeColor="accent1"/>
      <w:kern w:val="32"/>
      <w:sz w:val="28"/>
      <w:szCs w:val="26"/>
    </w:rPr>
  </w:style>
  <w:style w:type="paragraph" w:styleId="Heading4">
    <w:name w:val="heading 4"/>
    <w:basedOn w:val="Normal"/>
    <w:next w:val="Normal"/>
    <w:link w:val="Heading4Char"/>
    <w:qFormat/>
    <w:rsid w:val="003D0BC9"/>
    <w:pPr>
      <w:keepNext/>
      <w:spacing w:before="280" w:after="0" w:line="276" w:lineRule="auto"/>
      <w:outlineLvl w:val="3"/>
    </w:pPr>
    <w:rPr>
      <w:rFonts w:cs="Arial"/>
      <w:color w:val="5D779D" w:themeColor="accent3"/>
      <w:kern w:val="32"/>
      <w:sz w:val="24"/>
      <w:szCs w:val="26"/>
    </w:rPr>
  </w:style>
  <w:style w:type="paragraph" w:styleId="Heading5">
    <w:name w:val="heading 5"/>
    <w:basedOn w:val="Normal"/>
    <w:next w:val="Normal"/>
    <w:link w:val="Heading5Char"/>
    <w:rsid w:val="00062CBB"/>
    <w:pPr>
      <w:keepNext/>
      <w:spacing w:before="240" w:after="0" w:line="276" w:lineRule="auto"/>
      <w:outlineLvl w:val="4"/>
    </w:pPr>
    <w:rPr>
      <w:rFonts w:asciiTheme="majorHAnsi" w:hAnsiTheme="majorHAnsi" w:cs="Arial"/>
      <w:b/>
      <w:iCs/>
      <w:color w:val="2C384A" w:themeColor="accent1"/>
      <w:kern w:val="32"/>
      <w:szCs w:val="36"/>
    </w:rPr>
  </w:style>
  <w:style w:type="paragraph" w:styleId="Heading6">
    <w:name w:val="heading 6"/>
    <w:basedOn w:val="Normal"/>
    <w:next w:val="Normal"/>
    <w:link w:val="Heading6Char"/>
    <w:rsid w:val="00062CBB"/>
    <w:pPr>
      <w:keepNext/>
      <w:spacing w:after="0" w:line="276" w:lineRule="auto"/>
      <w:outlineLvl w:val="5"/>
    </w:pPr>
    <w:rPr>
      <w:rFonts w:cs="Arial"/>
      <w:color w:val="2C384A" w:themeColor="accent1"/>
      <w:kern w:val="32"/>
      <w:szCs w:val="22"/>
    </w:rPr>
  </w:style>
  <w:style w:type="paragraph" w:styleId="Heading7">
    <w:name w:val="heading 7"/>
    <w:basedOn w:val="Normal"/>
    <w:next w:val="Normal"/>
    <w:link w:val="Heading7Char"/>
    <w:uiPriority w:val="9"/>
    <w:semiHidden/>
    <w:unhideWhenUsed/>
    <w:rsid w:val="00C23C8C"/>
    <w:pPr>
      <w:keepNext/>
      <w:keepLines/>
      <w:spacing w:before="40"/>
      <w:outlineLvl w:val="6"/>
    </w:pPr>
    <w:rPr>
      <w:rFonts w:asciiTheme="majorHAnsi" w:eastAsiaTheme="majorEastAsia" w:hAnsiTheme="majorHAnsi" w:cstheme="majorBidi"/>
      <w:iCs/>
      <w:color w:val="161B24" w:themeColor="accent1" w:themeShade="7F"/>
    </w:rPr>
  </w:style>
  <w:style w:type="paragraph" w:styleId="Heading8">
    <w:name w:val="heading 8"/>
    <w:basedOn w:val="Normal"/>
    <w:next w:val="Normal"/>
    <w:link w:val="Heading8Char"/>
    <w:uiPriority w:val="9"/>
    <w:unhideWhenUsed/>
    <w:rsid w:val="00C23C8C"/>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rsid w:val="00C23C8C"/>
    <w:pPr>
      <w:keepNext/>
      <w:keepLines/>
      <w:spacing w:before="40"/>
      <w:outlineLvl w:val="8"/>
    </w:pPr>
    <w:rPr>
      <w:rFonts w:asciiTheme="majorHAnsi" w:eastAsiaTheme="majorEastAsia" w:hAnsiTheme="majorHAnsi" w:cstheme="majorBid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C0DD9"/>
    <w:pPr>
      <w:tabs>
        <w:tab w:val="center" w:pos="4320"/>
        <w:tab w:val="right" w:pos="8640"/>
      </w:tabs>
    </w:pPr>
    <w:rPr>
      <w:color w:val="2C384A" w:themeColor="accent1"/>
      <w:sz w:val="20"/>
      <w:szCs w:val="18"/>
    </w:rPr>
  </w:style>
  <w:style w:type="character" w:customStyle="1" w:styleId="HeaderChar">
    <w:name w:val="Header Char"/>
    <w:basedOn w:val="DefaultParagraphFont"/>
    <w:link w:val="Header"/>
    <w:rsid w:val="008C0DD9"/>
    <w:rPr>
      <w:rFonts w:ascii="Calibri Light" w:eastAsia="Times New Roman" w:hAnsi="Calibri Light"/>
      <w:color w:val="2C384A" w:themeColor="accent1"/>
      <w:szCs w:val="18"/>
      <w:lang w:eastAsia="en-AU"/>
    </w:rPr>
  </w:style>
  <w:style w:type="paragraph" w:styleId="Footer">
    <w:name w:val="footer"/>
    <w:basedOn w:val="Normal"/>
    <w:link w:val="FooterChar"/>
    <w:uiPriority w:val="99"/>
    <w:rsid w:val="00BA123B"/>
    <w:pPr>
      <w:tabs>
        <w:tab w:val="center" w:pos="4320"/>
        <w:tab w:val="right" w:pos="8640"/>
      </w:tabs>
    </w:pPr>
    <w:rPr>
      <w:sz w:val="20"/>
    </w:rPr>
  </w:style>
  <w:style w:type="character" w:customStyle="1" w:styleId="FooterChar">
    <w:name w:val="Footer Char"/>
    <w:basedOn w:val="DefaultParagraphFont"/>
    <w:link w:val="Footer"/>
    <w:uiPriority w:val="99"/>
    <w:rsid w:val="00BA123B"/>
    <w:rPr>
      <w:rFonts w:ascii="Calibri Light" w:eastAsia="Times New Roman" w:hAnsi="Calibri Light"/>
      <w:lang w:eastAsia="en-AU"/>
    </w:rPr>
  </w:style>
  <w:style w:type="paragraph" w:customStyle="1" w:styleId="Factsheettitle">
    <w:name w:val="Fact sheet title"/>
    <w:basedOn w:val="Normal"/>
    <w:qFormat/>
    <w:rsid w:val="00166E03"/>
    <w:pPr>
      <w:spacing w:before="400" w:after="240" w:line="520" w:lineRule="exact"/>
    </w:pPr>
    <w:rPr>
      <w:rFonts w:ascii="Calibri" w:hAnsi="Calibri"/>
      <w:b/>
      <w:color w:val="FFFFFF" w:themeColor="background1"/>
      <w:spacing w:val="-6"/>
      <w:sz w:val="48"/>
      <w:szCs w:val="48"/>
    </w:rPr>
  </w:style>
  <w:style w:type="character" w:customStyle="1" w:styleId="Heading1Char">
    <w:name w:val="Heading 1 Char"/>
    <w:basedOn w:val="DefaultParagraphFont"/>
    <w:link w:val="Heading1"/>
    <w:rsid w:val="002F269E"/>
    <w:rPr>
      <w:rFonts w:eastAsia="Times New Roman" w:cs="Arial"/>
      <w:b/>
      <w:color w:val="2C384A" w:themeColor="accent1"/>
      <w:kern w:val="32"/>
      <w:sz w:val="28"/>
      <w:szCs w:val="28"/>
      <w:lang w:eastAsia="en-AU"/>
    </w:rPr>
  </w:style>
  <w:style w:type="paragraph" w:customStyle="1" w:styleId="Dash">
    <w:name w:val="Dash"/>
    <w:basedOn w:val="Normal"/>
    <w:link w:val="DashChar"/>
    <w:qFormat/>
    <w:rsid w:val="00BA123B"/>
    <w:pPr>
      <w:numPr>
        <w:ilvl w:val="1"/>
        <w:numId w:val="9"/>
      </w:numPr>
      <w:tabs>
        <w:tab w:val="clear" w:pos="567"/>
      </w:tabs>
      <w:spacing w:before="0"/>
      <w:ind w:left="397" w:hanging="170"/>
    </w:pPr>
  </w:style>
  <w:style w:type="character" w:customStyle="1" w:styleId="DashChar">
    <w:name w:val="Dash Char"/>
    <w:basedOn w:val="DefaultParagraphFont"/>
    <w:link w:val="Dash"/>
    <w:rsid w:val="00BA123B"/>
    <w:rPr>
      <w:rFonts w:ascii="Calibri Light" w:eastAsia="Times New Roman" w:hAnsi="Calibri Light"/>
      <w:sz w:val="22"/>
      <w:lang w:eastAsia="en-AU"/>
    </w:rPr>
  </w:style>
  <w:style w:type="paragraph" w:customStyle="1" w:styleId="DoubleDot">
    <w:name w:val="Double Dot"/>
    <w:basedOn w:val="Normal"/>
    <w:link w:val="DoubleDotChar"/>
    <w:qFormat/>
    <w:rsid w:val="00BA123B"/>
    <w:pPr>
      <w:numPr>
        <w:ilvl w:val="2"/>
        <w:numId w:val="9"/>
      </w:numPr>
      <w:tabs>
        <w:tab w:val="clear" w:pos="850"/>
      </w:tabs>
      <w:spacing w:before="0"/>
      <w:ind w:left="567" w:hanging="170"/>
    </w:pPr>
  </w:style>
  <w:style w:type="character" w:customStyle="1" w:styleId="DoubleDotChar">
    <w:name w:val="Double Dot Char"/>
    <w:basedOn w:val="DefaultParagraphFont"/>
    <w:link w:val="DoubleDot"/>
    <w:rsid w:val="00BA123B"/>
    <w:rPr>
      <w:rFonts w:ascii="Calibri Light" w:eastAsia="Times New Roman" w:hAnsi="Calibri Light"/>
      <w:sz w:val="22"/>
      <w:lang w:eastAsia="en-AU"/>
    </w:rPr>
  </w:style>
  <w:style w:type="paragraph" w:styleId="BalloonText">
    <w:name w:val="Balloon Text"/>
    <w:basedOn w:val="Normal"/>
    <w:link w:val="BalloonTextChar"/>
    <w:semiHidden/>
    <w:rsid w:val="008F0B15"/>
    <w:rPr>
      <w:rFonts w:ascii="Tahoma" w:hAnsi="Tahoma" w:cs="Tahoma"/>
      <w:sz w:val="16"/>
      <w:szCs w:val="16"/>
    </w:rPr>
  </w:style>
  <w:style w:type="character" w:customStyle="1" w:styleId="BalloonTextChar">
    <w:name w:val="Balloon Text Char"/>
    <w:basedOn w:val="DefaultParagraphFont"/>
    <w:link w:val="BalloonText"/>
    <w:semiHidden/>
    <w:rsid w:val="00627218"/>
    <w:rPr>
      <w:rFonts w:ascii="Tahoma" w:eastAsia="Times New Roman" w:hAnsi="Tahoma" w:cs="Tahoma"/>
      <w:sz w:val="16"/>
      <w:szCs w:val="16"/>
    </w:rPr>
  </w:style>
  <w:style w:type="character" w:customStyle="1" w:styleId="Heading2Char">
    <w:name w:val="Heading 2 Char"/>
    <w:basedOn w:val="DefaultParagraphFont"/>
    <w:link w:val="Heading2"/>
    <w:rsid w:val="00510357"/>
    <w:rPr>
      <w:rFonts w:eastAsia="Times New Roman" w:cs="Arial"/>
      <w:iCs/>
      <w:color w:val="5D779D" w:themeColor="accent3"/>
      <w:kern w:val="32"/>
      <w:sz w:val="36"/>
      <w:szCs w:val="28"/>
      <w:lang w:eastAsia="en-AU"/>
    </w:rPr>
  </w:style>
  <w:style w:type="character" w:customStyle="1" w:styleId="Heading3Char">
    <w:name w:val="Heading 3 Char"/>
    <w:basedOn w:val="DefaultParagraphFont"/>
    <w:link w:val="Heading3"/>
    <w:rsid w:val="00062CBB"/>
    <w:rPr>
      <w:rFonts w:eastAsia="Times New Roman" w:cs="Arial"/>
      <w:b/>
      <w:color w:val="2C384A" w:themeColor="accent1"/>
      <w:kern w:val="32"/>
      <w:sz w:val="28"/>
      <w:szCs w:val="26"/>
      <w:lang w:eastAsia="en-AU"/>
    </w:rPr>
  </w:style>
  <w:style w:type="character" w:customStyle="1" w:styleId="Heading4Char">
    <w:name w:val="Heading 4 Char"/>
    <w:basedOn w:val="DefaultParagraphFont"/>
    <w:link w:val="Heading4"/>
    <w:rsid w:val="003D0BC9"/>
    <w:rPr>
      <w:rFonts w:ascii="Calibri Light" w:eastAsia="Times New Roman" w:hAnsi="Calibri Light" w:cs="Arial"/>
      <w:color w:val="5D779D" w:themeColor="accent3"/>
      <w:kern w:val="32"/>
      <w:sz w:val="24"/>
      <w:szCs w:val="26"/>
      <w:lang w:eastAsia="en-AU"/>
    </w:rPr>
  </w:style>
  <w:style w:type="table" w:styleId="TableGrid">
    <w:name w:val="Table Grid"/>
    <w:basedOn w:val="TableNormal"/>
    <w:uiPriority w:val="59"/>
    <w:rsid w:val="008F0B15"/>
    <w:rPr>
      <w:rFonts w:ascii="Times New Roman" w:eastAsia="Times New Roman" w:hAnsi="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3C4F86"/>
    <w:tblPr>
      <w:tblBorders>
        <w:top w:val="single" w:sz="2" w:space="0" w:color="2E74B5"/>
        <w:left w:val="single" w:sz="2" w:space="0" w:color="2E74B5"/>
        <w:bottom w:val="single" w:sz="2" w:space="0" w:color="2E74B5"/>
        <w:right w:val="single" w:sz="2" w:space="0" w:color="2E74B5"/>
        <w:insideH w:val="single" w:sz="2" w:space="0" w:color="2E74B5"/>
        <w:insideV w:val="single" w:sz="2" w:space="0" w:color="2E74B5"/>
      </w:tblBorders>
    </w:tblPr>
    <w:tblStylePr w:type="firstRow">
      <w:rPr>
        <w:rFonts w:ascii="Calibri" w:hAnsi="Calibri"/>
        <w:b/>
        <w:i w:val="0"/>
        <w:color w:val="FFFFFF"/>
        <w:sz w:val="20"/>
      </w:rPr>
      <w:tblPr/>
      <w:tcPr>
        <w:shd w:val="clear" w:color="auto" w:fill="2E74B5"/>
      </w:tcPr>
    </w:tblStylePr>
  </w:style>
  <w:style w:type="paragraph" w:customStyle="1" w:styleId="Introtext">
    <w:name w:val="Intro text"/>
    <w:basedOn w:val="Normal"/>
    <w:qFormat/>
    <w:rsid w:val="00BD0B30"/>
    <w:pPr>
      <w:numPr>
        <w:ilvl w:val="1"/>
      </w:numPr>
      <w:spacing w:before="320" w:after="240"/>
    </w:pPr>
    <w:rPr>
      <w:rFonts w:ascii="Calibri" w:eastAsiaTheme="minorEastAsia" w:hAnsi="Calibri" w:cstheme="minorBidi"/>
      <w:color w:val="10263B"/>
      <w:sz w:val="26"/>
      <w:szCs w:val="26"/>
      <w:lang w:eastAsia="zh-CN"/>
    </w:rPr>
  </w:style>
  <w:style w:type="character" w:styleId="Hyperlink">
    <w:name w:val="Hyperlink"/>
    <w:uiPriority w:val="99"/>
    <w:rsid w:val="008D5358"/>
    <w:rPr>
      <w:color w:val="5D779D" w:themeColor="accent3"/>
      <w:u w:val="single"/>
    </w:rPr>
  </w:style>
  <w:style w:type="character" w:styleId="FollowedHyperlink">
    <w:name w:val="FollowedHyperlink"/>
    <w:basedOn w:val="DefaultParagraphFont"/>
    <w:semiHidden/>
    <w:unhideWhenUsed/>
    <w:rsid w:val="008F0B15"/>
    <w:rPr>
      <w:color w:val="844D9E" w:themeColor="followedHyperlink"/>
      <w:u w:val="single"/>
    </w:rPr>
  </w:style>
  <w:style w:type="paragraph" w:styleId="Revision">
    <w:name w:val="Revision"/>
    <w:hidden/>
    <w:uiPriority w:val="99"/>
    <w:semiHidden/>
    <w:rsid w:val="008D4CD0"/>
    <w:rPr>
      <w:rFonts w:ascii="Calibri Light" w:hAnsi="Calibri Light"/>
      <w:color w:val="0D0D0D" w:themeColor="text1" w:themeTint="F2"/>
      <w:sz w:val="22"/>
    </w:rPr>
  </w:style>
  <w:style w:type="character" w:styleId="PlaceholderText">
    <w:name w:val="Placeholder Text"/>
    <w:basedOn w:val="DefaultParagraphFont"/>
    <w:uiPriority w:val="99"/>
    <w:semiHidden/>
    <w:rsid w:val="008F0B15"/>
    <w:rPr>
      <w:color w:val="808080"/>
    </w:rPr>
  </w:style>
  <w:style w:type="character" w:customStyle="1" w:styleId="Heading5Char">
    <w:name w:val="Heading 5 Char"/>
    <w:basedOn w:val="DefaultParagraphFont"/>
    <w:link w:val="Heading5"/>
    <w:rsid w:val="00062CBB"/>
    <w:rPr>
      <w:rFonts w:asciiTheme="majorHAnsi" w:eastAsia="Times New Roman" w:hAnsiTheme="majorHAnsi" w:cs="Arial"/>
      <w:b/>
      <w:iCs/>
      <w:color w:val="2C384A" w:themeColor="accent1"/>
      <w:kern w:val="32"/>
      <w:sz w:val="22"/>
      <w:szCs w:val="36"/>
      <w:lang w:eastAsia="en-AU"/>
    </w:rPr>
  </w:style>
  <w:style w:type="paragraph" w:customStyle="1" w:styleId="BoxHeading">
    <w:name w:val="Box Heading"/>
    <w:basedOn w:val="Normal"/>
    <w:next w:val="Normal"/>
    <w:rsid w:val="00550511"/>
    <w:pPr>
      <w:keepNext/>
    </w:pPr>
    <w:rPr>
      <w:b/>
      <w:color w:val="2C384A" w:themeColor="accent1"/>
      <w:sz w:val="26"/>
      <w:szCs w:val="26"/>
    </w:rPr>
  </w:style>
  <w:style w:type="paragraph" w:customStyle="1" w:styleId="BoxText">
    <w:name w:val="Box Text"/>
    <w:basedOn w:val="Normal"/>
    <w:link w:val="BoxTextChar"/>
    <w:rsid w:val="00506BF4"/>
    <w:pPr>
      <w:spacing w:before="60" w:after="60"/>
    </w:pPr>
  </w:style>
  <w:style w:type="paragraph" w:customStyle="1" w:styleId="Bullet">
    <w:name w:val="Bullet"/>
    <w:basedOn w:val="Normal"/>
    <w:link w:val="BulletChar"/>
    <w:qFormat/>
    <w:rsid w:val="00CE7942"/>
    <w:pPr>
      <w:numPr>
        <w:numId w:val="7"/>
      </w:numPr>
      <w:spacing w:before="0"/>
      <w:ind w:left="284" w:hanging="284"/>
    </w:pPr>
  </w:style>
  <w:style w:type="character" w:customStyle="1" w:styleId="BoxTextChar">
    <w:name w:val="Box Text Char"/>
    <w:basedOn w:val="DefaultParagraphFont"/>
    <w:link w:val="BoxText"/>
    <w:rsid w:val="00506BF4"/>
    <w:rPr>
      <w:rFonts w:ascii="Calibri Light" w:eastAsia="Times New Roman" w:hAnsi="Calibri Light"/>
      <w:sz w:val="22"/>
      <w:lang w:eastAsia="en-AU"/>
    </w:rPr>
  </w:style>
  <w:style w:type="character" w:customStyle="1" w:styleId="BulletChar">
    <w:name w:val="Bullet Char"/>
    <w:basedOn w:val="DefaultParagraphFont"/>
    <w:link w:val="Bullet"/>
    <w:rsid w:val="00CE7942"/>
    <w:rPr>
      <w:rFonts w:ascii="Calibri Light" w:eastAsia="Times New Roman" w:hAnsi="Calibri Light"/>
      <w:sz w:val="22"/>
      <w:lang w:eastAsia="en-AU"/>
    </w:rPr>
  </w:style>
  <w:style w:type="paragraph" w:customStyle="1" w:styleId="Boxbullet">
    <w:name w:val="Box bullet"/>
    <w:basedOn w:val="Bullet"/>
    <w:rsid w:val="00BA123B"/>
    <w:pPr>
      <w:spacing w:after="60"/>
    </w:pPr>
    <w:rPr>
      <w:color w:val="0D0D0D" w:themeColor="text1" w:themeTint="F2"/>
    </w:rPr>
  </w:style>
  <w:style w:type="paragraph" w:customStyle="1" w:styleId="Boxdash">
    <w:name w:val="Box dash"/>
    <w:basedOn w:val="Dash"/>
    <w:rsid w:val="00BA123B"/>
    <w:pPr>
      <w:tabs>
        <w:tab w:val="num" w:pos="1040"/>
      </w:tabs>
      <w:spacing w:after="60" w:line="276" w:lineRule="auto"/>
    </w:pPr>
    <w:rPr>
      <w:rFonts w:eastAsiaTheme="minorHAnsi"/>
      <w:color w:val="0D0D0D" w:themeColor="text1" w:themeTint="F2"/>
    </w:rPr>
  </w:style>
  <w:style w:type="paragraph" w:customStyle="1" w:styleId="Boxdoubledot">
    <w:name w:val="Box double dot"/>
    <w:basedOn w:val="DoubleDot"/>
    <w:rsid w:val="00BA123B"/>
    <w:pPr>
      <w:tabs>
        <w:tab w:val="num" w:pos="1560"/>
      </w:tabs>
      <w:spacing w:after="60" w:line="276" w:lineRule="auto"/>
    </w:pPr>
    <w:rPr>
      <w:rFonts w:eastAsiaTheme="minorHAnsi"/>
      <w:color w:val="0D0D0D" w:themeColor="text1" w:themeTint="F2"/>
    </w:rPr>
  </w:style>
  <w:style w:type="character" w:customStyle="1" w:styleId="Heading9Char">
    <w:name w:val="Heading 9 Char"/>
    <w:basedOn w:val="DefaultParagraphFont"/>
    <w:link w:val="Heading9"/>
    <w:uiPriority w:val="9"/>
    <w:rsid w:val="00C23C8C"/>
    <w:rPr>
      <w:rFonts w:asciiTheme="majorHAnsi" w:eastAsiaTheme="majorEastAsia" w:hAnsiTheme="majorHAnsi" w:cstheme="majorBidi"/>
      <w:iCs/>
      <w:color w:val="272727" w:themeColor="text1" w:themeTint="D8"/>
      <w:sz w:val="21"/>
      <w:szCs w:val="21"/>
    </w:rPr>
  </w:style>
  <w:style w:type="character" w:customStyle="1" w:styleId="Heading8Char">
    <w:name w:val="Heading 8 Char"/>
    <w:basedOn w:val="DefaultParagraphFont"/>
    <w:link w:val="Heading8"/>
    <w:uiPriority w:val="9"/>
    <w:rsid w:val="00C23C8C"/>
    <w:rPr>
      <w:rFonts w:asciiTheme="majorHAnsi" w:eastAsiaTheme="majorEastAsia" w:hAnsiTheme="majorHAnsi" w:cstheme="majorBidi"/>
      <w:color w:val="272727" w:themeColor="text1" w:themeTint="D8"/>
      <w:sz w:val="21"/>
      <w:szCs w:val="21"/>
    </w:rPr>
  </w:style>
  <w:style w:type="character" w:customStyle="1" w:styleId="Heading6Char">
    <w:name w:val="Heading 6 Char"/>
    <w:basedOn w:val="DefaultParagraphFont"/>
    <w:link w:val="Heading6"/>
    <w:rsid w:val="00062CBB"/>
    <w:rPr>
      <w:rFonts w:ascii="Calibri Light" w:eastAsia="Times New Roman" w:hAnsi="Calibri Light" w:cs="Arial"/>
      <w:color w:val="2C384A" w:themeColor="accent1"/>
      <w:kern w:val="32"/>
      <w:sz w:val="22"/>
      <w:szCs w:val="22"/>
      <w:lang w:eastAsia="en-AU"/>
    </w:rPr>
  </w:style>
  <w:style w:type="character" w:customStyle="1" w:styleId="Heading7Char">
    <w:name w:val="Heading 7 Char"/>
    <w:basedOn w:val="DefaultParagraphFont"/>
    <w:link w:val="Heading7"/>
    <w:uiPriority w:val="9"/>
    <w:semiHidden/>
    <w:rsid w:val="00C23C8C"/>
    <w:rPr>
      <w:rFonts w:asciiTheme="majorHAnsi" w:eastAsiaTheme="majorEastAsia" w:hAnsiTheme="majorHAnsi" w:cstheme="majorBidi"/>
      <w:iCs/>
      <w:color w:val="161B24" w:themeColor="accent1" w:themeShade="7F"/>
      <w:sz w:val="22"/>
    </w:rPr>
  </w:style>
  <w:style w:type="paragraph" w:styleId="NoSpacing">
    <w:name w:val="No Spacing"/>
    <w:link w:val="NoSpacingChar"/>
    <w:uiPriority w:val="1"/>
    <w:qFormat/>
    <w:rsid w:val="008F0B15"/>
    <w:rPr>
      <w:rFonts w:asciiTheme="minorHAnsi" w:eastAsiaTheme="minorEastAsia" w:hAnsiTheme="minorHAnsi" w:cstheme="minorBidi"/>
      <w:sz w:val="22"/>
      <w:szCs w:val="22"/>
      <w:lang w:val="en-US"/>
    </w:rPr>
  </w:style>
  <w:style w:type="paragraph" w:customStyle="1" w:styleId="Default">
    <w:name w:val="Default"/>
    <w:rsid w:val="008F0B15"/>
    <w:pPr>
      <w:autoSpaceDE w:val="0"/>
      <w:autoSpaceDN w:val="0"/>
      <w:adjustRightInd w:val="0"/>
    </w:pPr>
    <w:rPr>
      <w:rFonts w:ascii="Verdana" w:eastAsia="Times New Roman" w:hAnsi="Verdana" w:cs="Verdana"/>
      <w:color w:val="000000"/>
      <w:sz w:val="24"/>
      <w:szCs w:val="24"/>
      <w:lang w:eastAsia="en-AU"/>
    </w:rPr>
  </w:style>
  <w:style w:type="character" w:styleId="FootnoteReference">
    <w:name w:val="footnote reference"/>
    <w:basedOn w:val="DefaultParagraphFont"/>
    <w:rsid w:val="008F0B15"/>
    <w:rPr>
      <w:vertAlign w:val="superscript"/>
    </w:rPr>
  </w:style>
  <w:style w:type="paragraph" w:styleId="FootnoteText">
    <w:name w:val="footnote text"/>
    <w:basedOn w:val="Normal"/>
    <w:link w:val="FootnoteTextChar"/>
    <w:rsid w:val="008F0B15"/>
    <w:pPr>
      <w:spacing w:after="0"/>
    </w:pPr>
    <w:rPr>
      <w:sz w:val="20"/>
    </w:rPr>
  </w:style>
  <w:style w:type="character" w:customStyle="1" w:styleId="FootnoteTextChar">
    <w:name w:val="Footnote Text Char"/>
    <w:basedOn w:val="DefaultParagraphFont"/>
    <w:link w:val="FootnoteText"/>
    <w:rsid w:val="008F0B15"/>
    <w:rPr>
      <w:rFonts w:ascii="Times New Roman" w:eastAsia="Times New Roman" w:hAnsi="Times New Roman"/>
    </w:rPr>
  </w:style>
  <w:style w:type="table" w:customStyle="1" w:styleId="GridTable5Dark-Accent61">
    <w:name w:val="Grid Table 5 Dark - Accent 61"/>
    <w:basedOn w:val="TableNormal"/>
    <w:uiPriority w:val="50"/>
    <w:rsid w:val="008F0B15"/>
    <w:pPr>
      <w:spacing w:before="100"/>
    </w:pPr>
    <w:rPr>
      <w:rFonts w:asciiTheme="minorHAnsi" w:eastAsiaTheme="minorEastAsia" w:hAnsiTheme="minorHAnsi" w:cstheme="minorBidi"/>
      <w:lang w:eastAsia="en-AU"/>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EE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0AE81"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0AE81"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0AE81"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0AE81" w:themeFill="accent6"/>
      </w:tcPr>
    </w:tblStylePr>
    <w:tblStylePr w:type="band1Vert">
      <w:tblPr/>
      <w:tcPr>
        <w:shd w:val="clear" w:color="auto" w:fill="F9DECC" w:themeFill="accent6" w:themeFillTint="66"/>
      </w:tcPr>
    </w:tblStylePr>
    <w:tblStylePr w:type="band1Horz">
      <w:tblPr/>
      <w:tcPr>
        <w:shd w:val="clear" w:color="auto" w:fill="F9DECC" w:themeFill="accent6" w:themeFillTint="66"/>
      </w:tcPr>
    </w:tblStylePr>
  </w:style>
  <w:style w:type="paragraph" w:customStyle="1" w:styleId="KeyContactsName">
    <w:name w:val="KeyContacts Name"/>
    <w:basedOn w:val="Normal"/>
    <w:next w:val="Normal"/>
    <w:semiHidden/>
    <w:rsid w:val="008F2212"/>
    <w:pPr>
      <w:framePr w:w="2058" w:h="13054" w:hRule="exact" w:wrap="around" w:vAnchor="text" w:hAnchor="page" w:x="965" w:y="1"/>
      <w:pBdr>
        <w:top w:val="single" w:sz="18" w:space="1" w:color="CCD6E3"/>
        <w:left w:val="single" w:sz="18" w:space="4" w:color="CCD6E3"/>
        <w:bottom w:val="single" w:sz="18" w:space="1" w:color="CCD6E3"/>
        <w:right w:val="single" w:sz="18" w:space="4" w:color="CCD6E3"/>
      </w:pBdr>
      <w:shd w:val="clear" w:color="auto" w:fill="CCD6E3"/>
      <w:spacing w:before="240" w:after="0" w:afterAutospacing="1" w:line="264" w:lineRule="auto"/>
    </w:pPr>
    <w:rPr>
      <w:rFonts w:ascii="Univers 45 Light" w:hAnsi="Univers 45 Light"/>
      <w:b/>
      <w:color w:val="0C2D83"/>
      <w:sz w:val="18"/>
      <w:szCs w:val="24"/>
      <w:lang w:val="en-GB"/>
    </w:rPr>
  </w:style>
  <w:style w:type="paragraph" w:styleId="ListParagraph">
    <w:name w:val="List Paragraph"/>
    <w:basedOn w:val="Normal"/>
    <w:link w:val="ListParagraphChar"/>
    <w:uiPriority w:val="34"/>
    <w:qFormat/>
    <w:rsid w:val="008F0B15"/>
    <w:pPr>
      <w:ind w:left="720"/>
      <w:contextualSpacing/>
    </w:pPr>
  </w:style>
  <w:style w:type="character" w:customStyle="1" w:styleId="ListParagraphChar">
    <w:name w:val="List Paragraph Char"/>
    <w:basedOn w:val="DefaultParagraphFont"/>
    <w:link w:val="ListParagraph"/>
    <w:uiPriority w:val="34"/>
    <w:rsid w:val="008F0B15"/>
    <w:rPr>
      <w:rFonts w:ascii="Times New Roman" w:eastAsia="Times New Roman" w:hAnsi="Times New Roman"/>
      <w:sz w:val="24"/>
      <w:szCs w:val="24"/>
    </w:rPr>
  </w:style>
  <w:style w:type="table" w:customStyle="1" w:styleId="ListTable4-Accent61">
    <w:name w:val="List Table 4 - Accent 61"/>
    <w:basedOn w:val="TableNormal"/>
    <w:uiPriority w:val="49"/>
    <w:rsid w:val="008F0B15"/>
    <w:pPr>
      <w:spacing w:before="100"/>
    </w:pPr>
    <w:rPr>
      <w:rFonts w:asciiTheme="minorHAnsi" w:eastAsiaTheme="minorEastAsia" w:hAnsiTheme="minorHAnsi" w:cstheme="minorBidi"/>
      <w:lang w:eastAsia="en-AU"/>
    </w:rPr>
    <w:tblPr>
      <w:tblStyleRowBandSize w:val="1"/>
      <w:tblStyleColBandSize w:val="1"/>
      <w:tblBorders>
        <w:top w:val="single" w:sz="4" w:space="0" w:color="F6CEB3" w:themeColor="accent6" w:themeTint="99"/>
        <w:left w:val="single" w:sz="4" w:space="0" w:color="F6CEB3" w:themeColor="accent6" w:themeTint="99"/>
        <w:bottom w:val="single" w:sz="4" w:space="0" w:color="F6CEB3" w:themeColor="accent6" w:themeTint="99"/>
        <w:right w:val="single" w:sz="4" w:space="0" w:color="F6CEB3" w:themeColor="accent6" w:themeTint="99"/>
        <w:insideH w:val="single" w:sz="4" w:space="0" w:color="F6CEB3" w:themeColor="accent6" w:themeTint="99"/>
      </w:tblBorders>
    </w:tblPr>
    <w:tblStylePr w:type="firstRow">
      <w:rPr>
        <w:b/>
        <w:bCs/>
        <w:color w:val="FFFFFF" w:themeColor="background1"/>
      </w:rPr>
      <w:tblPr/>
      <w:tcPr>
        <w:tcBorders>
          <w:top w:val="single" w:sz="4" w:space="0" w:color="F0AE81" w:themeColor="accent6"/>
          <w:left w:val="single" w:sz="4" w:space="0" w:color="F0AE81" w:themeColor="accent6"/>
          <w:bottom w:val="single" w:sz="4" w:space="0" w:color="F0AE81" w:themeColor="accent6"/>
          <w:right w:val="single" w:sz="4" w:space="0" w:color="F0AE81" w:themeColor="accent6"/>
          <w:insideH w:val="nil"/>
        </w:tcBorders>
        <w:shd w:val="clear" w:color="auto" w:fill="F0AE81" w:themeFill="accent6"/>
      </w:tcPr>
    </w:tblStylePr>
    <w:tblStylePr w:type="lastRow">
      <w:rPr>
        <w:b/>
        <w:bCs/>
      </w:rPr>
      <w:tblPr/>
      <w:tcPr>
        <w:tcBorders>
          <w:top w:val="double" w:sz="4" w:space="0" w:color="F6CEB3" w:themeColor="accent6" w:themeTint="99"/>
        </w:tcBorders>
      </w:tcPr>
    </w:tblStylePr>
    <w:tblStylePr w:type="firstCol">
      <w:rPr>
        <w:b/>
        <w:bCs/>
      </w:rPr>
    </w:tblStylePr>
    <w:tblStylePr w:type="lastCol">
      <w:rPr>
        <w:b/>
        <w:bCs/>
      </w:rPr>
    </w:tblStylePr>
    <w:tblStylePr w:type="band1Vert">
      <w:tblPr/>
      <w:tcPr>
        <w:shd w:val="clear" w:color="auto" w:fill="FCEEE5" w:themeFill="accent6" w:themeFillTint="33"/>
      </w:tcPr>
    </w:tblStylePr>
    <w:tblStylePr w:type="band1Horz">
      <w:tblPr/>
      <w:tcPr>
        <w:shd w:val="clear" w:color="auto" w:fill="FCEEE5" w:themeFill="accent6" w:themeFillTint="33"/>
      </w:tcPr>
    </w:tblStylePr>
  </w:style>
  <w:style w:type="character" w:customStyle="1" w:styleId="NoSpacingChar">
    <w:name w:val="No Spacing Char"/>
    <w:basedOn w:val="DefaultParagraphFont"/>
    <w:link w:val="NoSpacing"/>
    <w:uiPriority w:val="1"/>
    <w:rsid w:val="008F0B15"/>
    <w:rPr>
      <w:rFonts w:asciiTheme="minorHAnsi" w:eastAsiaTheme="minorEastAsia" w:hAnsiTheme="minorHAnsi" w:cstheme="minorBidi"/>
      <w:sz w:val="22"/>
      <w:szCs w:val="22"/>
      <w:lang w:val="en-US"/>
    </w:rPr>
  </w:style>
  <w:style w:type="paragraph" w:styleId="NormalWeb">
    <w:name w:val="Normal (Web)"/>
    <w:basedOn w:val="Normal"/>
    <w:rsid w:val="008F0B15"/>
    <w:pPr>
      <w:spacing w:before="100" w:beforeAutospacing="1" w:after="100" w:afterAutospacing="1"/>
    </w:pPr>
  </w:style>
  <w:style w:type="character" w:styleId="PageNumber">
    <w:name w:val="page number"/>
    <w:basedOn w:val="DefaultParagraphFont"/>
    <w:rsid w:val="008F0B15"/>
  </w:style>
  <w:style w:type="numbering" w:customStyle="1" w:styleId="StyleBulletedSymbolsymbol11ptLeft4cmHanging05">
    <w:name w:val="Style Bulleted Symbol (symbol) 11 pt Left:  4 cm Hanging:  0.5 ..."/>
    <w:basedOn w:val="NoList"/>
    <w:rsid w:val="008F0B15"/>
    <w:pPr>
      <w:numPr>
        <w:numId w:val="1"/>
      </w:numPr>
    </w:pPr>
  </w:style>
  <w:style w:type="numbering" w:customStyle="1" w:styleId="StyleBulletedSymbolsymbol11ptLeft4cmHanging051">
    <w:name w:val="Style Bulleted Symbol (symbol) 11 pt Left:  4 cm Hanging:  0.5 ...1"/>
    <w:basedOn w:val="NoList"/>
    <w:rsid w:val="008F0B15"/>
    <w:pPr>
      <w:numPr>
        <w:numId w:val="2"/>
      </w:numPr>
    </w:pPr>
  </w:style>
  <w:style w:type="numbering" w:customStyle="1" w:styleId="BoxBulletedList">
    <w:name w:val="Box Bulleted List"/>
    <w:uiPriority w:val="99"/>
    <w:rsid w:val="00AE53E5"/>
    <w:pPr>
      <w:numPr>
        <w:numId w:val="8"/>
      </w:numPr>
    </w:pPr>
  </w:style>
  <w:style w:type="paragraph" w:customStyle="1" w:styleId="Tableheading">
    <w:name w:val="Table heading"/>
    <w:basedOn w:val="Normal"/>
    <w:rsid w:val="008F2212"/>
    <w:pPr>
      <w:keepLines/>
      <w:jc w:val="center"/>
    </w:pPr>
    <w:rPr>
      <w:b/>
    </w:rPr>
  </w:style>
  <w:style w:type="paragraph" w:customStyle="1" w:styleId="TableText">
    <w:name w:val="Table Text"/>
    <w:basedOn w:val="Normal"/>
    <w:rsid w:val="00BA123B"/>
    <w:pPr>
      <w:spacing w:before="100" w:line="264" w:lineRule="auto"/>
    </w:pPr>
    <w:rPr>
      <w:rFonts w:ascii="Calibri" w:eastAsia="Batang" w:hAnsi="Calibri" w:cstheme="minorBidi"/>
      <w:sz w:val="24"/>
    </w:rPr>
  </w:style>
  <w:style w:type="paragraph" w:customStyle="1" w:styleId="Tabletext0">
    <w:name w:val="Table text"/>
    <w:basedOn w:val="Normal"/>
    <w:link w:val="TabletextChar"/>
    <w:rsid w:val="00BA123B"/>
    <w:pPr>
      <w:spacing w:before="80" w:after="80"/>
    </w:pPr>
    <w:rPr>
      <w:rFonts w:ascii="Univers 45 Light" w:hAnsi="Univers 45 Light"/>
      <w:sz w:val="19"/>
    </w:rPr>
  </w:style>
  <w:style w:type="character" w:customStyle="1" w:styleId="TabletextChar">
    <w:name w:val="Table text Char"/>
    <w:basedOn w:val="DefaultParagraphFont"/>
    <w:link w:val="Tabletext0"/>
    <w:rsid w:val="008F0B15"/>
    <w:rPr>
      <w:rFonts w:ascii="Univers 45 Light" w:eastAsia="Times New Roman" w:hAnsi="Univers 45 Light"/>
      <w:sz w:val="19"/>
    </w:rPr>
  </w:style>
  <w:style w:type="character" w:customStyle="1" w:styleId="ui-provider">
    <w:name w:val="ui-provider"/>
    <w:basedOn w:val="DefaultParagraphFont"/>
    <w:rsid w:val="009A5EC9"/>
  </w:style>
  <w:style w:type="character" w:styleId="Strong">
    <w:name w:val="Strong"/>
    <w:basedOn w:val="DefaultParagraphFont"/>
    <w:uiPriority w:val="22"/>
    <w:qFormat/>
    <w:rsid w:val="00A32C73"/>
    <w:rPr>
      <w:b/>
      <w:bCs/>
      <w:color w:val="FFFFFF" w:themeColor="background1"/>
    </w:rPr>
  </w:style>
  <w:style w:type="character" w:styleId="Emphasis">
    <w:name w:val="Emphasis"/>
    <w:basedOn w:val="DefaultParagraphFont"/>
    <w:uiPriority w:val="20"/>
    <w:qFormat/>
    <w:rsid w:val="00F309EF"/>
    <w:rPr>
      <w:i/>
      <w:iCs/>
    </w:rPr>
  </w:style>
  <w:style w:type="paragraph" w:styleId="Subtitle">
    <w:name w:val="Subtitle"/>
    <w:basedOn w:val="Normal"/>
    <w:next w:val="Normal"/>
    <w:link w:val="SubtitleChar"/>
    <w:uiPriority w:val="11"/>
    <w:rsid w:val="00166E03"/>
    <w:pPr>
      <w:numPr>
        <w:ilvl w:val="1"/>
      </w:numPr>
      <w:spacing w:before="0" w:after="0" w:line="320" w:lineRule="exact"/>
      <w:contextualSpacing/>
    </w:pPr>
    <w:rPr>
      <w:rFonts w:asciiTheme="majorHAnsi" w:eastAsiaTheme="majorEastAsia" w:hAnsiTheme="majorHAnsi" w:cstheme="majorHAnsi"/>
      <w:bCs/>
      <w:iCs/>
      <w:color w:val="EEEEEE"/>
      <w:sz w:val="28"/>
      <w:szCs w:val="28"/>
    </w:rPr>
  </w:style>
  <w:style w:type="character" w:customStyle="1" w:styleId="SubtitleChar">
    <w:name w:val="Subtitle Char"/>
    <w:basedOn w:val="DefaultParagraphFont"/>
    <w:link w:val="Subtitle"/>
    <w:uiPriority w:val="11"/>
    <w:rsid w:val="00166E03"/>
    <w:rPr>
      <w:rFonts w:asciiTheme="majorHAnsi" w:eastAsiaTheme="majorEastAsia" w:hAnsiTheme="majorHAnsi" w:cstheme="majorHAnsi"/>
      <w:bCs/>
      <w:iCs/>
      <w:color w:val="EEEEEE"/>
      <w:sz w:val="28"/>
      <w:szCs w:val="28"/>
      <w:lang w:eastAsia="en-AU"/>
    </w:rPr>
  </w:style>
  <w:style w:type="character" w:styleId="UnresolvedMention">
    <w:name w:val="Unresolved Mention"/>
    <w:basedOn w:val="DefaultParagraphFont"/>
    <w:uiPriority w:val="99"/>
    <w:semiHidden/>
    <w:unhideWhenUsed/>
    <w:rsid w:val="00C45007"/>
    <w:rPr>
      <w:color w:val="605E5C"/>
      <w:shd w:val="clear" w:color="auto" w:fill="E1DFDD"/>
    </w:rPr>
  </w:style>
  <w:style w:type="paragraph" w:customStyle="1" w:styleId="Insertdate">
    <w:name w:val="Insert date"/>
    <w:qFormat/>
    <w:rsid w:val="00166E03"/>
    <w:pPr>
      <w:spacing w:before="320"/>
      <w:jc w:val="right"/>
    </w:pPr>
    <w:rPr>
      <w:rFonts w:ascii="Calibri Light" w:eastAsia="Times New Roman" w:hAnsi="Calibri Light"/>
      <w:sz w:val="22"/>
      <w:lang w:eastAsia="en-AU"/>
    </w:rPr>
  </w:style>
  <w:style w:type="paragraph" w:customStyle="1" w:styleId="cs2654ae3a">
    <w:name w:val="cs2654ae3a"/>
    <w:basedOn w:val="Normal"/>
    <w:rsid w:val="00341F2B"/>
    <w:pPr>
      <w:spacing w:before="0" w:after="0"/>
    </w:pPr>
    <w:rPr>
      <w:rFonts w:ascii="Calibri" w:eastAsiaTheme="minorHAnsi" w:hAnsi="Calibri" w:cs="Calibri"/>
      <w:szCs w:val="22"/>
    </w:rPr>
  </w:style>
  <w:style w:type="character" w:customStyle="1" w:styleId="cscca9035d1">
    <w:name w:val="cscca9035d1"/>
    <w:basedOn w:val="DefaultParagraphFont"/>
    <w:rsid w:val="00341F2B"/>
    <w:rPr>
      <w:rFonts w:ascii="Calibri" w:hAnsi="Calibri" w:cs="Calibri" w:hint="default"/>
      <w:b w:val="0"/>
      <w:bCs w:val="0"/>
      <w:i w:val="0"/>
      <w:iCs w:val="0"/>
      <w:color w:val="0000FF"/>
      <w:sz w:val="22"/>
      <w:szCs w:val="2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049332">
      <w:bodyDiv w:val="1"/>
      <w:marLeft w:val="0"/>
      <w:marRight w:val="0"/>
      <w:marTop w:val="0"/>
      <w:marBottom w:val="0"/>
      <w:divBdr>
        <w:top w:val="none" w:sz="0" w:space="0" w:color="auto"/>
        <w:left w:val="none" w:sz="0" w:space="0" w:color="auto"/>
        <w:bottom w:val="none" w:sz="0" w:space="0" w:color="auto"/>
        <w:right w:val="none" w:sz="0" w:space="0" w:color="auto"/>
      </w:divBdr>
    </w:div>
    <w:div w:id="181893848">
      <w:bodyDiv w:val="1"/>
      <w:marLeft w:val="0"/>
      <w:marRight w:val="0"/>
      <w:marTop w:val="0"/>
      <w:marBottom w:val="0"/>
      <w:divBdr>
        <w:top w:val="none" w:sz="0" w:space="0" w:color="auto"/>
        <w:left w:val="none" w:sz="0" w:space="0" w:color="auto"/>
        <w:bottom w:val="none" w:sz="0" w:space="0" w:color="auto"/>
        <w:right w:val="none" w:sz="0" w:space="0" w:color="auto"/>
      </w:divBdr>
    </w:div>
    <w:div w:id="215747185">
      <w:bodyDiv w:val="1"/>
      <w:marLeft w:val="0"/>
      <w:marRight w:val="0"/>
      <w:marTop w:val="0"/>
      <w:marBottom w:val="0"/>
      <w:divBdr>
        <w:top w:val="none" w:sz="0" w:space="0" w:color="auto"/>
        <w:left w:val="none" w:sz="0" w:space="0" w:color="auto"/>
        <w:bottom w:val="none" w:sz="0" w:space="0" w:color="auto"/>
        <w:right w:val="none" w:sz="0" w:space="0" w:color="auto"/>
      </w:divBdr>
    </w:div>
    <w:div w:id="324285451">
      <w:bodyDiv w:val="1"/>
      <w:marLeft w:val="0"/>
      <w:marRight w:val="0"/>
      <w:marTop w:val="0"/>
      <w:marBottom w:val="0"/>
      <w:divBdr>
        <w:top w:val="none" w:sz="0" w:space="0" w:color="auto"/>
        <w:left w:val="none" w:sz="0" w:space="0" w:color="auto"/>
        <w:bottom w:val="none" w:sz="0" w:space="0" w:color="auto"/>
        <w:right w:val="none" w:sz="0" w:space="0" w:color="auto"/>
      </w:divBdr>
    </w:div>
    <w:div w:id="326132246">
      <w:bodyDiv w:val="1"/>
      <w:marLeft w:val="0"/>
      <w:marRight w:val="0"/>
      <w:marTop w:val="0"/>
      <w:marBottom w:val="0"/>
      <w:divBdr>
        <w:top w:val="none" w:sz="0" w:space="0" w:color="auto"/>
        <w:left w:val="none" w:sz="0" w:space="0" w:color="auto"/>
        <w:bottom w:val="none" w:sz="0" w:space="0" w:color="auto"/>
        <w:right w:val="none" w:sz="0" w:space="0" w:color="auto"/>
      </w:divBdr>
    </w:div>
    <w:div w:id="401874862">
      <w:bodyDiv w:val="1"/>
      <w:marLeft w:val="0"/>
      <w:marRight w:val="0"/>
      <w:marTop w:val="0"/>
      <w:marBottom w:val="0"/>
      <w:divBdr>
        <w:top w:val="none" w:sz="0" w:space="0" w:color="auto"/>
        <w:left w:val="none" w:sz="0" w:space="0" w:color="auto"/>
        <w:bottom w:val="none" w:sz="0" w:space="0" w:color="auto"/>
        <w:right w:val="none" w:sz="0" w:space="0" w:color="auto"/>
      </w:divBdr>
    </w:div>
    <w:div w:id="423039229">
      <w:bodyDiv w:val="1"/>
      <w:marLeft w:val="0"/>
      <w:marRight w:val="0"/>
      <w:marTop w:val="0"/>
      <w:marBottom w:val="0"/>
      <w:divBdr>
        <w:top w:val="none" w:sz="0" w:space="0" w:color="auto"/>
        <w:left w:val="none" w:sz="0" w:space="0" w:color="auto"/>
        <w:bottom w:val="none" w:sz="0" w:space="0" w:color="auto"/>
        <w:right w:val="none" w:sz="0" w:space="0" w:color="auto"/>
      </w:divBdr>
    </w:div>
    <w:div w:id="433287954">
      <w:bodyDiv w:val="1"/>
      <w:marLeft w:val="0"/>
      <w:marRight w:val="0"/>
      <w:marTop w:val="0"/>
      <w:marBottom w:val="0"/>
      <w:divBdr>
        <w:top w:val="none" w:sz="0" w:space="0" w:color="auto"/>
        <w:left w:val="none" w:sz="0" w:space="0" w:color="auto"/>
        <w:bottom w:val="none" w:sz="0" w:space="0" w:color="auto"/>
        <w:right w:val="none" w:sz="0" w:space="0" w:color="auto"/>
      </w:divBdr>
    </w:div>
    <w:div w:id="873426115">
      <w:bodyDiv w:val="1"/>
      <w:marLeft w:val="0"/>
      <w:marRight w:val="0"/>
      <w:marTop w:val="0"/>
      <w:marBottom w:val="0"/>
      <w:divBdr>
        <w:top w:val="none" w:sz="0" w:space="0" w:color="auto"/>
        <w:left w:val="none" w:sz="0" w:space="0" w:color="auto"/>
        <w:bottom w:val="none" w:sz="0" w:space="0" w:color="auto"/>
        <w:right w:val="none" w:sz="0" w:space="0" w:color="auto"/>
      </w:divBdr>
    </w:div>
    <w:div w:id="936135573">
      <w:bodyDiv w:val="1"/>
      <w:marLeft w:val="0"/>
      <w:marRight w:val="0"/>
      <w:marTop w:val="0"/>
      <w:marBottom w:val="0"/>
      <w:divBdr>
        <w:top w:val="none" w:sz="0" w:space="0" w:color="auto"/>
        <w:left w:val="none" w:sz="0" w:space="0" w:color="auto"/>
        <w:bottom w:val="none" w:sz="0" w:space="0" w:color="auto"/>
        <w:right w:val="none" w:sz="0" w:space="0" w:color="auto"/>
      </w:divBdr>
    </w:div>
    <w:div w:id="989209604">
      <w:bodyDiv w:val="1"/>
      <w:marLeft w:val="0"/>
      <w:marRight w:val="0"/>
      <w:marTop w:val="0"/>
      <w:marBottom w:val="0"/>
      <w:divBdr>
        <w:top w:val="none" w:sz="0" w:space="0" w:color="auto"/>
        <w:left w:val="none" w:sz="0" w:space="0" w:color="auto"/>
        <w:bottom w:val="none" w:sz="0" w:space="0" w:color="auto"/>
        <w:right w:val="none" w:sz="0" w:space="0" w:color="auto"/>
      </w:divBdr>
    </w:div>
    <w:div w:id="991103191">
      <w:bodyDiv w:val="1"/>
      <w:marLeft w:val="0"/>
      <w:marRight w:val="0"/>
      <w:marTop w:val="0"/>
      <w:marBottom w:val="0"/>
      <w:divBdr>
        <w:top w:val="none" w:sz="0" w:space="0" w:color="auto"/>
        <w:left w:val="none" w:sz="0" w:space="0" w:color="auto"/>
        <w:bottom w:val="none" w:sz="0" w:space="0" w:color="auto"/>
        <w:right w:val="none" w:sz="0" w:space="0" w:color="auto"/>
      </w:divBdr>
    </w:div>
    <w:div w:id="1006908061">
      <w:bodyDiv w:val="1"/>
      <w:marLeft w:val="0"/>
      <w:marRight w:val="0"/>
      <w:marTop w:val="0"/>
      <w:marBottom w:val="0"/>
      <w:divBdr>
        <w:top w:val="none" w:sz="0" w:space="0" w:color="auto"/>
        <w:left w:val="none" w:sz="0" w:space="0" w:color="auto"/>
        <w:bottom w:val="none" w:sz="0" w:space="0" w:color="auto"/>
        <w:right w:val="none" w:sz="0" w:space="0" w:color="auto"/>
      </w:divBdr>
    </w:div>
    <w:div w:id="1167748318">
      <w:bodyDiv w:val="1"/>
      <w:marLeft w:val="0"/>
      <w:marRight w:val="0"/>
      <w:marTop w:val="0"/>
      <w:marBottom w:val="0"/>
      <w:divBdr>
        <w:top w:val="none" w:sz="0" w:space="0" w:color="auto"/>
        <w:left w:val="none" w:sz="0" w:space="0" w:color="auto"/>
        <w:bottom w:val="none" w:sz="0" w:space="0" w:color="auto"/>
        <w:right w:val="none" w:sz="0" w:space="0" w:color="auto"/>
      </w:divBdr>
    </w:div>
    <w:div w:id="1748529511">
      <w:bodyDiv w:val="1"/>
      <w:marLeft w:val="0"/>
      <w:marRight w:val="0"/>
      <w:marTop w:val="0"/>
      <w:marBottom w:val="0"/>
      <w:divBdr>
        <w:top w:val="none" w:sz="0" w:space="0" w:color="auto"/>
        <w:left w:val="none" w:sz="0" w:space="0" w:color="auto"/>
        <w:bottom w:val="none" w:sz="0" w:space="0" w:color="auto"/>
        <w:right w:val="none" w:sz="0" w:space="0" w:color="auto"/>
      </w:divBdr>
    </w:div>
    <w:div w:id="1866478470">
      <w:bodyDiv w:val="1"/>
      <w:marLeft w:val="0"/>
      <w:marRight w:val="0"/>
      <w:marTop w:val="0"/>
      <w:marBottom w:val="0"/>
      <w:divBdr>
        <w:top w:val="none" w:sz="0" w:space="0" w:color="auto"/>
        <w:left w:val="none" w:sz="0" w:space="0" w:color="auto"/>
        <w:bottom w:val="none" w:sz="0" w:space="0" w:color="auto"/>
        <w:right w:val="none" w:sz="0" w:space="0" w:color="auto"/>
      </w:divBdr>
    </w:div>
    <w:div w:id="1884059170">
      <w:bodyDiv w:val="1"/>
      <w:marLeft w:val="0"/>
      <w:marRight w:val="0"/>
      <w:marTop w:val="0"/>
      <w:marBottom w:val="0"/>
      <w:divBdr>
        <w:top w:val="none" w:sz="0" w:space="0" w:color="auto"/>
        <w:left w:val="none" w:sz="0" w:space="0" w:color="auto"/>
        <w:bottom w:val="none" w:sz="0" w:space="0" w:color="auto"/>
        <w:right w:val="none" w:sz="0" w:space="0" w:color="auto"/>
      </w:divBdr>
    </w:div>
    <w:div w:id="1942638317">
      <w:bodyDiv w:val="1"/>
      <w:marLeft w:val="0"/>
      <w:marRight w:val="0"/>
      <w:marTop w:val="0"/>
      <w:marBottom w:val="0"/>
      <w:divBdr>
        <w:top w:val="none" w:sz="0" w:space="0" w:color="auto"/>
        <w:left w:val="none" w:sz="0" w:space="0" w:color="auto"/>
        <w:bottom w:val="none" w:sz="0" w:space="0" w:color="auto"/>
        <w:right w:val="none" w:sz="0" w:space="0" w:color="auto"/>
      </w:divBdr>
    </w:div>
    <w:div w:id="2111655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SYBrand">
  <a:themeElements>
    <a:clrScheme name="TSY Corporate">
      <a:dk1>
        <a:sysClr val="windowText" lastClr="000000"/>
      </a:dk1>
      <a:lt1>
        <a:sysClr val="window" lastClr="FFFFFF"/>
      </a:lt1>
      <a:dk2>
        <a:srgbClr val="5F5F5F"/>
      </a:dk2>
      <a:lt2>
        <a:srgbClr val="EEEEEE"/>
      </a:lt2>
      <a:accent1>
        <a:srgbClr val="2C384A"/>
      </a:accent1>
      <a:accent2>
        <a:srgbClr val="4D7861"/>
      </a:accent2>
      <a:accent3>
        <a:srgbClr val="5D779D"/>
      </a:accent3>
      <a:accent4>
        <a:srgbClr val="B1F0CF"/>
      </a:accent4>
      <a:accent5>
        <a:srgbClr val="90B6F0"/>
      </a:accent5>
      <a:accent6>
        <a:srgbClr val="F0AE81"/>
      </a:accent6>
      <a:hlink>
        <a:srgbClr val="3A6FAF"/>
      </a:hlink>
      <a:folHlink>
        <a:srgbClr val="844D9E"/>
      </a:folHlink>
    </a:clrScheme>
    <a:fontScheme name="Custom 1">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1253</Words>
  <Characters>7148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Summary report – Rapid evaluation of a COVID-era apprentice wage subsidy program: The Boosting Apprenticeship Commencements (BAC) and Completing Apprenticeship Commencements (CAC) programs</vt:lpstr>
    </vt:vector>
  </TitlesOfParts>
  <Company/>
  <LinksUpToDate>false</LinksUpToDate>
  <CharactersWithSpaces>8385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report – Rapid evaluation of a COVID-era apprentice wage subsidy program: The Boosting Apprenticeship Commencements (BAC) and Completing Apprenticeship Commencements (CAC) programs</dc:title>
  <dc:subject/>
  <dc:creator>Australian Centre for Evaluation</dc:creator>
  <cp:keywords/>
  <dc:description/>
  <cp:lastModifiedBy/>
  <cp:revision>1</cp:revision>
  <dcterms:created xsi:type="dcterms:W3CDTF">2025-10-16T23:10:00Z</dcterms:created>
  <dcterms:modified xsi:type="dcterms:W3CDTF">2025-10-16T23:10:00Z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f932d64-9ab1-4d9b-81d2-a3a8b82dd47d_Enabled">
    <vt:lpwstr>true</vt:lpwstr>
  </property>
  <property fmtid="{D5CDD505-2E9C-101B-9397-08002B2CF9AE}" pid="3" name="MSIP_Label_4f932d64-9ab1-4d9b-81d2-a3a8b82dd47d_SetDate">
    <vt:lpwstr>2025-10-16T23:10:57Z</vt:lpwstr>
  </property>
  <property fmtid="{D5CDD505-2E9C-101B-9397-08002B2CF9AE}" pid="4" name="MSIP_Label_4f932d64-9ab1-4d9b-81d2-a3a8b82dd47d_Method">
    <vt:lpwstr>Privileged</vt:lpwstr>
  </property>
  <property fmtid="{D5CDD505-2E9C-101B-9397-08002B2CF9AE}" pid="5" name="MSIP_Label_4f932d64-9ab1-4d9b-81d2-a3a8b82dd47d_Name">
    <vt:lpwstr>OFFICIAL No Visual Marking</vt:lpwstr>
  </property>
  <property fmtid="{D5CDD505-2E9C-101B-9397-08002B2CF9AE}" pid="6" name="MSIP_Label_4f932d64-9ab1-4d9b-81d2-a3a8b82dd47d_SiteId">
    <vt:lpwstr>214f1646-2021-47cc-8397-e3d3a7ba7d9d</vt:lpwstr>
  </property>
  <property fmtid="{D5CDD505-2E9C-101B-9397-08002B2CF9AE}" pid="7" name="MSIP_Label_4f932d64-9ab1-4d9b-81d2-a3a8b82dd47d_ActionId">
    <vt:lpwstr>8d853018-dbf3-4e30-8a9c-cb4dde9df23e</vt:lpwstr>
  </property>
  <property fmtid="{D5CDD505-2E9C-101B-9397-08002B2CF9AE}" pid="8" name="MSIP_Label_4f932d64-9ab1-4d9b-81d2-a3a8b82dd47d_ContentBits">
    <vt:lpwstr>0</vt:lpwstr>
  </property>
  <property fmtid="{D5CDD505-2E9C-101B-9397-08002B2CF9AE}" pid="9" name="MSIP_Label_4f932d64-9ab1-4d9b-81d2-a3a8b82dd47d_Tag">
    <vt:lpwstr>10, 0, 1, 1</vt:lpwstr>
  </property>
</Properties>
</file>