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9CACC4" w:themeColor="accent1" w:themeTint="66"/>
          <w:sz w:val="32"/>
          <w:szCs w:val="32"/>
        </w:rPr>
        <w:id w:val="-1442289537"/>
        <w:docPartObj>
          <w:docPartGallery w:val="Cover Pages"/>
          <w:docPartUnique/>
        </w:docPartObj>
      </w:sdtPr>
      <w:sdtEndPr>
        <w:rPr>
          <w:color w:val="EEEEEE" w:themeColor="background2"/>
        </w:rPr>
      </w:sdtEndPr>
      <w:sdtContent>
        <w:p w14:paraId="066D8D0C" w14:textId="7FA4F1FD" w:rsidR="00A97160" w:rsidRPr="006D0240" w:rsidRDefault="00A97160" w:rsidP="006469CC">
          <w:pPr>
            <w:pStyle w:val="ListParagraph"/>
          </w:pPr>
          <w:r>
            <w:rPr>
              <w:noProof/>
            </w:rPr>
            <w:drawing>
              <wp:anchor distT="0" distB="0" distL="114300" distR="114300" simplePos="0" relativeHeight="251658240" behindDoc="1" locked="0" layoutInCell="1" allowOverlap="1" wp14:anchorId="767E0C00" wp14:editId="01D52C7E">
                <wp:simplePos x="0" y="0"/>
                <wp:positionH relativeFrom="margin">
                  <wp:posOffset>-900430</wp:posOffset>
                </wp:positionH>
                <wp:positionV relativeFrom="page">
                  <wp:posOffset>-21264</wp:posOffset>
                </wp:positionV>
                <wp:extent cx="7570798" cy="10709016"/>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0798" cy="107090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B5DA74" w14:textId="57D8EB02" w:rsidR="00A97160" w:rsidRPr="00AC2C5F" w:rsidRDefault="00D67839" w:rsidP="00AC2C5F">
          <w:pPr>
            <w:pStyle w:val="Title"/>
            <w:spacing w:before="1200" w:after="120" w:line="720" w:lineRule="exact"/>
            <w:ind w:right="139"/>
            <w:rPr>
              <w:bCs/>
            </w:rPr>
          </w:pPr>
          <w:r w:rsidRPr="00D67839">
            <w:rPr>
              <w:bCs/>
            </w:rPr>
            <w:t>Improving on</w:t>
          </w:r>
          <w:r w:rsidR="00A35073">
            <w:rPr>
              <w:bCs/>
            </w:rPr>
            <w:t>-</w:t>
          </w:r>
          <w:r w:rsidRPr="00D67839">
            <w:rPr>
              <w:bCs/>
            </w:rPr>
            <w:t>time submission rates for</w:t>
          </w:r>
          <w:r w:rsidR="00AC2C5F">
            <w:rPr>
              <w:bCs/>
            </w:rPr>
            <w:t xml:space="preserve"> </w:t>
          </w:r>
          <w:r w:rsidRPr="00D67839">
            <w:rPr>
              <w:bCs/>
            </w:rPr>
            <w:t>charity Annual Information Statements</w:t>
          </w:r>
          <w:r w:rsidR="00A13BD2">
            <w:rPr>
              <w:bCs/>
            </w:rPr>
            <w:t>: a</w:t>
          </w:r>
          <w:r w:rsidR="00AC2C5F">
            <w:rPr>
              <w:bCs/>
            </w:rPr>
            <w:t> </w:t>
          </w:r>
          <w:r w:rsidR="00A13BD2">
            <w:rPr>
              <w:bCs/>
            </w:rPr>
            <w:t xml:space="preserve">randomised </w:t>
          </w:r>
          <w:r w:rsidR="003F6E3F">
            <w:rPr>
              <w:bCs/>
            </w:rPr>
            <w:t>trial</w:t>
          </w:r>
        </w:p>
        <w:p w14:paraId="628A6523" w14:textId="1F02F1BD" w:rsidR="00A97160" w:rsidRPr="006923DF" w:rsidRDefault="00A97160" w:rsidP="00AC2C5F">
          <w:pPr>
            <w:pStyle w:val="NoSpacing"/>
          </w:pPr>
        </w:p>
        <w:p w14:paraId="7256D71D" w14:textId="26D04D6D" w:rsidR="00A97160" w:rsidRDefault="00501562" w:rsidP="005338D2">
          <w:pPr>
            <w:pStyle w:val="ReportDate"/>
          </w:pPr>
          <w:r>
            <w:rPr>
              <w:rStyle w:val="ReportDateChar"/>
            </w:rPr>
            <w:t>September</w:t>
          </w:r>
          <w:r w:rsidR="004602D6">
            <w:rPr>
              <w:rStyle w:val="ReportDateChar"/>
            </w:rPr>
            <w:t xml:space="preserve"> </w:t>
          </w:r>
          <w:r w:rsidR="00E3792F">
            <w:rPr>
              <w:rStyle w:val="ReportDateChar"/>
            </w:rPr>
            <w:t>2025</w:t>
          </w:r>
          <w:r w:rsidR="00A97160">
            <w:br w:type="page"/>
          </w:r>
        </w:p>
      </w:sdtContent>
    </w:sdt>
    <w:p w14:paraId="62D041AA" w14:textId="49107582" w:rsidR="000E0B74" w:rsidRDefault="000E0B74" w:rsidP="005877AC">
      <w:pPr>
        <w:spacing w:before="0" w:after="160" w:line="259" w:lineRule="auto"/>
      </w:pPr>
      <w:r w:rsidRPr="00661BF0">
        <w:lastRenderedPageBreak/>
        <w:t xml:space="preserve">© Commonwealth of Australia </w:t>
      </w:r>
      <w:r w:rsidRPr="0088411C">
        <w:t>20</w:t>
      </w:r>
      <w:r w:rsidR="00D64CEC" w:rsidRPr="0088411C">
        <w:t>2</w:t>
      </w:r>
      <w:r w:rsidR="00CD1DD9">
        <w:t>5</w:t>
      </w:r>
    </w:p>
    <w:p w14:paraId="6A73F53D" w14:textId="4741D516" w:rsidR="006469CC" w:rsidRDefault="006469CC" w:rsidP="005877AC">
      <w:pPr>
        <w:spacing w:before="0" w:after="160" w:line="259" w:lineRule="auto"/>
        <w:rPr>
          <w:noProof/>
        </w:rPr>
      </w:pPr>
      <w:r>
        <w:t xml:space="preserve">ISBN: </w:t>
      </w:r>
      <w:r w:rsidR="007225E4" w:rsidRPr="007225E4">
        <w:t>978</w:t>
      </w:r>
      <w:r w:rsidR="00C26062">
        <w:noBreakHyphen/>
      </w:r>
      <w:r w:rsidR="007225E4" w:rsidRPr="007225E4">
        <w:t>1</w:t>
      </w:r>
      <w:r w:rsidR="00C26062">
        <w:noBreakHyphen/>
      </w:r>
      <w:r w:rsidR="007225E4" w:rsidRPr="007225E4">
        <w:t>923278</w:t>
      </w:r>
      <w:r w:rsidR="00C26062">
        <w:noBreakHyphen/>
      </w:r>
      <w:r w:rsidR="007225E4" w:rsidRPr="007225E4">
        <w:t>26</w:t>
      </w:r>
      <w:r w:rsidR="00C26062">
        <w:noBreakHyphen/>
      </w:r>
      <w:r w:rsidR="007225E4" w:rsidRPr="007225E4">
        <w:t>4</w:t>
      </w:r>
    </w:p>
    <w:p w14:paraId="7AE61FD0" w14:textId="77777777" w:rsidR="0088411C" w:rsidRPr="00086F82" w:rsidRDefault="0088411C" w:rsidP="0088411C">
      <w:pPr>
        <w:tabs>
          <w:tab w:val="left" w:pos="1650"/>
        </w:tabs>
        <w:rPr>
          <w:rStyle w:val="A5"/>
          <w:rFonts w:cstheme="minorBidi"/>
          <w:sz w:val="24"/>
          <w:szCs w:val="24"/>
        </w:rPr>
      </w:pPr>
      <w:r w:rsidRPr="002F1BC2">
        <w:t>This publication is available for your use under a</w:t>
      </w:r>
      <w:r w:rsidRPr="00476F09">
        <w:rPr>
          <w:rStyle w:val="A5"/>
          <w:rFonts w:cstheme="minorHAnsi"/>
          <w:sz w:val="24"/>
          <w:szCs w:val="24"/>
        </w:rPr>
        <w:t xml:space="preserve"> </w:t>
      </w:r>
      <w:hyperlink r:id="rId8" w:history="1">
        <w:r>
          <w:rPr>
            <w:rStyle w:val="Hyperlink"/>
          </w:rPr>
          <w:t>Creative Commons Attribution 4.0 International</w:t>
        </w:r>
      </w:hyperlink>
      <w:r w:rsidRPr="00476F09">
        <w:rPr>
          <w:rStyle w:val="A5"/>
          <w:rFonts w:cstheme="minorHAnsi"/>
          <w:sz w:val="24"/>
          <w:szCs w:val="24"/>
        </w:rPr>
        <w:t xml:space="preserve"> </w:t>
      </w:r>
      <w:r w:rsidRPr="002F1BC2">
        <w:t>licence, with the exception of the Commonwealth Coat of Arms, the Treasury logo</w:t>
      </w:r>
      <w:r>
        <w:t xml:space="preserve">, photographs, images, </w:t>
      </w:r>
      <w:r w:rsidRPr="004F5ACF">
        <w:t xml:space="preserve">third party materials, materials protected by a trademark, </w:t>
      </w:r>
      <w:r>
        <w:t>signatures and where otherwise stated</w:t>
      </w:r>
      <w:r w:rsidRPr="002F1BC2">
        <w:t>. The full licence terms are available from</w:t>
      </w:r>
      <w:r w:rsidRPr="00476F09">
        <w:rPr>
          <w:rStyle w:val="A5"/>
          <w:rFonts w:cstheme="minorHAnsi"/>
          <w:sz w:val="24"/>
          <w:szCs w:val="24"/>
        </w:rPr>
        <w:t xml:space="preserve"> </w:t>
      </w:r>
      <w:hyperlink r:id="rId9" w:history="1">
        <w:r>
          <w:rPr>
            <w:rStyle w:val="Hyperlink"/>
          </w:rPr>
          <w:t>creativecommons.org/licenses/by/4.0/</w:t>
        </w:r>
        <w:proofErr w:type="spellStart"/>
        <w:r>
          <w:rPr>
            <w:rStyle w:val="Hyperlink"/>
          </w:rPr>
          <w:t>legalcode</w:t>
        </w:r>
        <w:proofErr w:type="spellEnd"/>
      </w:hyperlink>
      <w:r w:rsidRPr="00272951">
        <w:t>.</w:t>
      </w:r>
    </w:p>
    <w:p w14:paraId="695F67F2" w14:textId="77777777" w:rsidR="0088411C" w:rsidRDefault="0088411C" w:rsidP="00C33623">
      <w:pPr>
        <w:pStyle w:val="NoSpacing"/>
      </w:pPr>
      <w:r w:rsidRPr="00E56DFB">
        <w:rPr>
          <w:noProof/>
          <w:lang w:eastAsia="zh-CN"/>
        </w:rPr>
        <w:drawing>
          <wp:inline distT="0" distB="0" distL="0" distR="0" wp14:anchorId="4BBD94B7" wp14:editId="6013480D">
            <wp:extent cx="809625" cy="285750"/>
            <wp:effectExtent l="19050" t="0" r="9525" b="0"/>
            <wp:docPr id="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0C2392A6" w14:textId="77777777" w:rsidR="0088411C" w:rsidRPr="006627B4" w:rsidRDefault="0088411C" w:rsidP="0088411C">
      <w:pPr>
        <w:tabs>
          <w:tab w:val="left" w:pos="1650"/>
        </w:tabs>
      </w:pPr>
      <w:r w:rsidRPr="006627B4">
        <w:t>Use of Treasury material under a</w:t>
      </w:r>
      <w:r w:rsidRPr="00476F09">
        <w:rPr>
          <w:rFonts w:cstheme="minorHAnsi"/>
          <w:sz w:val="24"/>
          <w:szCs w:val="24"/>
        </w:rPr>
        <w:t xml:space="preserve"> </w:t>
      </w:r>
      <w:hyperlink r:id="rId11" w:history="1">
        <w:r>
          <w:rPr>
            <w:rStyle w:val="Hyperlink"/>
          </w:rPr>
          <w:t>Creative Commons Attribution 4.0 International</w:t>
        </w:r>
      </w:hyperlink>
      <w:r w:rsidRPr="002F1BC2">
        <w:rPr>
          <w:rStyle w:val="Hyperlink"/>
        </w:rPr>
        <w:t xml:space="preserve"> </w:t>
      </w:r>
      <w:r w:rsidRPr="006627B4">
        <w:t>licence requires you to attribute the work (but not in any way that suggests that the Treasury endorses you or your use of the work).</w:t>
      </w:r>
    </w:p>
    <w:p w14:paraId="0160535C" w14:textId="085D0C57" w:rsidR="000E0B74" w:rsidRPr="006469CC" w:rsidRDefault="000E0B74" w:rsidP="006469CC">
      <w:pPr>
        <w:spacing w:before="240"/>
        <w:rPr>
          <w:b/>
        </w:rPr>
      </w:pPr>
      <w:r w:rsidRPr="006469CC">
        <w:rPr>
          <w:b/>
        </w:rPr>
        <w:t xml:space="preserve">Treasury material used </w:t>
      </w:r>
      <w:r w:rsidR="00C26062">
        <w:rPr>
          <w:b/>
        </w:rPr>
        <w:t>‘</w:t>
      </w:r>
      <w:r w:rsidRPr="006469CC">
        <w:rPr>
          <w:b/>
        </w:rPr>
        <w:t>as supplied</w:t>
      </w:r>
      <w:r w:rsidR="00C26062">
        <w:rPr>
          <w:b/>
        </w:rPr>
        <w:t>’</w:t>
      </w:r>
    </w:p>
    <w:p w14:paraId="676AACBD" w14:textId="5E34148E" w:rsidR="000E0B74" w:rsidRPr="00476F09" w:rsidRDefault="000E0B74" w:rsidP="00386297">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rsidR="00C26062">
        <w:t xml:space="preserve"> – </w:t>
      </w:r>
      <w:r>
        <w:t>then Treasury prefers t</w:t>
      </w:r>
      <w:r w:rsidRPr="00476F09">
        <w:t xml:space="preserve">he following attribution: </w:t>
      </w:r>
    </w:p>
    <w:p w14:paraId="2FFC4F90" w14:textId="50424AFA" w:rsidR="00A675AD" w:rsidRPr="00831E3B" w:rsidRDefault="00A675AD" w:rsidP="00831E3B">
      <w:pPr>
        <w:ind w:left="720"/>
      </w:pPr>
      <w:r w:rsidRPr="00831E3B">
        <w:rPr>
          <w:iCs/>
        </w:rPr>
        <w:t>Source: Nguyen V, Newman V</w:t>
      </w:r>
      <w:r w:rsidR="007B763B">
        <w:rPr>
          <w:iCs/>
        </w:rPr>
        <w:t>E</w:t>
      </w:r>
      <w:r w:rsidRPr="00831E3B">
        <w:rPr>
          <w:iCs/>
        </w:rPr>
        <w:t xml:space="preserve">, </w:t>
      </w:r>
      <w:r w:rsidR="00297D41">
        <w:rPr>
          <w:iCs/>
        </w:rPr>
        <w:t xml:space="preserve">Copley S, </w:t>
      </w:r>
      <w:r w:rsidRPr="00831E3B">
        <w:rPr>
          <w:iCs/>
        </w:rPr>
        <w:t xml:space="preserve">Greenwell H and Williams E (2025) </w:t>
      </w:r>
      <w:r w:rsidR="00831E3B" w:rsidRPr="003815C7">
        <w:rPr>
          <w:i/>
        </w:rPr>
        <w:t>Improving on</w:t>
      </w:r>
      <w:r w:rsidR="00C26062">
        <w:rPr>
          <w:i/>
        </w:rPr>
        <w:noBreakHyphen/>
      </w:r>
      <w:r w:rsidR="00831E3B" w:rsidRPr="003815C7">
        <w:rPr>
          <w:i/>
        </w:rPr>
        <w:t xml:space="preserve">time submission rates for </w:t>
      </w:r>
      <w:r w:rsidR="00831E3B" w:rsidRPr="00831E3B">
        <w:rPr>
          <w:i/>
        </w:rPr>
        <w:t>charity Annual Information Statements: a randomised trial</w:t>
      </w:r>
      <w:r w:rsidRPr="00831E3B">
        <w:rPr>
          <w:iCs/>
        </w:rPr>
        <w:t>, the Australian Centre for Evaluation, the Australian Treasury.</w:t>
      </w:r>
    </w:p>
    <w:p w14:paraId="5E9EE505" w14:textId="77777777" w:rsidR="000E0B74" w:rsidRPr="006627B4" w:rsidRDefault="000E0B74" w:rsidP="000E0B74">
      <w:pPr>
        <w:spacing w:before="240"/>
      </w:pPr>
      <w:r w:rsidRPr="00CC63CC">
        <w:rPr>
          <w:b/>
        </w:rPr>
        <w:t>Derivative</w:t>
      </w:r>
      <w:r w:rsidRPr="006627B4">
        <w:t xml:space="preserve"> </w:t>
      </w:r>
      <w:r w:rsidRPr="00CC63CC">
        <w:rPr>
          <w:b/>
        </w:rPr>
        <w:t>material</w:t>
      </w:r>
    </w:p>
    <w:p w14:paraId="6C4E4D49" w14:textId="193C6438" w:rsidR="000E0B74" w:rsidRPr="006627B4" w:rsidRDefault="000E0B74" w:rsidP="004C0ECC">
      <w:r w:rsidRPr="006627B4">
        <w:t xml:space="preserve">If you have modified or transformed Treasury material, or derived new material from those of the Treasury in any way, then Treasury prefers the following attribution: </w:t>
      </w:r>
      <w:r w:rsidRPr="002F1BC2">
        <w:rPr>
          <w:i/>
        </w:rPr>
        <w:t>Based on Treasury data</w:t>
      </w:r>
      <w:r w:rsidRPr="006627B4">
        <w:t xml:space="preserve"> </w:t>
      </w:r>
    </w:p>
    <w:p w14:paraId="12F7D738" w14:textId="77777777" w:rsidR="000E0B74" w:rsidRPr="006627B4" w:rsidRDefault="000E0B74" w:rsidP="000E0B74">
      <w:pPr>
        <w:spacing w:before="240"/>
        <w:rPr>
          <w:b/>
        </w:rPr>
      </w:pPr>
      <w:r w:rsidRPr="006627B4">
        <w:rPr>
          <w:b/>
        </w:rPr>
        <w:t>Use of the Coat of Arms</w:t>
      </w:r>
    </w:p>
    <w:p w14:paraId="49082FD2" w14:textId="547BB895" w:rsidR="005C503A" w:rsidRPr="005C503A" w:rsidRDefault="005C503A" w:rsidP="005C503A">
      <w:pPr>
        <w:spacing w:before="240"/>
      </w:pPr>
      <w:r w:rsidRPr="005C503A">
        <w:t xml:space="preserve">The terms under which the Coat of Arms can be used are set out on the Department of the Prime Minister and Cabinet website (see </w:t>
      </w:r>
      <w:hyperlink r:id="rId12" w:history="1">
        <w:r w:rsidR="00D64CEC">
          <w:rPr>
            <w:rStyle w:val="Hyperlink"/>
          </w:rPr>
          <w:t>https://www.pmc.gov.au/honours</w:t>
        </w:r>
        <w:r w:rsidR="00C26062">
          <w:rPr>
            <w:rStyle w:val="Hyperlink"/>
          </w:rPr>
          <w:noBreakHyphen/>
        </w:r>
        <w:r w:rsidR="00D64CEC">
          <w:rPr>
            <w:rStyle w:val="Hyperlink"/>
          </w:rPr>
          <w:t>and</w:t>
        </w:r>
        <w:r w:rsidR="00C26062">
          <w:rPr>
            <w:rStyle w:val="Hyperlink"/>
          </w:rPr>
          <w:noBreakHyphen/>
        </w:r>
        <w:r w:rsidR="00D64CEC">
          <w:rPr>
            <w:rStyle w:val="Hyperlink"/>
          </w:rPr>
          <w:t>symbols/commonwealth</w:t>
        </w:r>
        <w:r w:rsidR="00C26062">
          <w:rPr>
            <w:rStyle w:val="Hyperlink"/>
          </w:rPr>
          <w:noBreakHyphen/>
        </w:r>
        <w:r w:rsidR="00D64CEC">
          <w:rPr>
            <w:rStyle w:val="Hyperlink"/>
          </w:rPr>
          <w:t>coat</w:t>
        </w:r>
        <w:r w:rsidR="00C26062">
          <w:rPr>
            <w:rStyle w:val="Hyperlink"/>
          </w:rPr>
          <w:noBreakHyphen/>
        </w:r>
        <w:r w:rsidR="00D64CEC">
          <w:rPr>
            <w:rStyle w:val="Hyperlink"/>
          </w:rPr>
          <w:t>arms</w:t>
        </w:r>
      </w:hyperlink>
      <w:r w:rsidRPr="005C503A">
        <w:t>).</w:t>
      </w:r>
    </w:p>
    <w:p w14:paraId="5A1F7922" w14:textId="77777777" w:rsidR="000E0B74" w:rsidRPr="006627B4" w:rsidRDefault="000E0B74" w:rsidP="000E0B74">
      <w:pPr>
        <w:spacing w:before="240"/>
        <w:rPr>
          <w:b/>
        </w:rPr>
      </w:pPr>
      <w:r>
        <w:rPr>
          <w:b/>
        </w:rPr>
        <w:t>Other u</w:t>
      </w:r>
      <w:r w:rsidRPr="006627B4">
        <w:rPr>
          <w:b/>
        </w:rPr>
        <w:t>ses</w:t>
      </w:r>
    </w:p>
    <w:p w14:paraId="0476F222" w14:textId="77777777" w:rsidR="000E0B74" w:rsidRPr="006627B4" w:rsidRDefault="000E0B74" w:rsidP="000E0B74">
      <w:r>
        <w:t>E</w:t>
      </w:r>
      <w:r w:rsidRPr="006627B4">
        <w:t>nquiries regarding this licence and any other use of this document are welcome at:</w:t>
      </w:r>
    </w:p>
    <w:p w14:paraId="6233C197" w14:textId="7134C40F" w:rsidR="00F836F9" w:rsidRDefault="000E0B74" w:rsidP="00472060">
      <w:pPr>
        <w:ind w:left="720"/>
      </w:pPr>
      <w:r w:rsidRPr="006627B4">
        <w:t>Manager</w:t>
      </w:r>
      <w:r w:rsidR="00A72960">
        <w:br/>
      </w:r>
      <w:r>
        <w:t>Media Unit</w:t>
      </w:r>
      <w:r>
        <w:br/>
      </w:r>
      <w:r w:rsidRPr="006627B4">
        <w:t>The Treasury</w:t>
      </w:r>
      <w:r>
        <w:br/>
      </w:r>
      <w:r w:rsidRPr="006627B4">
        <w:t xml:space="preserve">Langton Crescent </w:t>
      </w:r>
      <w:r>
        <w:br/>
      </w:r>
      <w:r w:rsidRPr="006627B4">
        <w:t>Parkes ACT</w:t>
      </w:r>
      <w:r>
        <w:t xml:space="preserve"> </w:t>
      </w:r>
      <w:r w:rsidRPr="006627B4">
        <w:t>2600</w:t>
      </w:r>
      <w:r>
        <w:br/>
      </w:r>
      <w:r w:rsidRPr="006627B4">
        <w:t xml:space="preserve">Email: </w:t>
      </w:r>
      <w:hyperlink r:id="rId13" w:history="1">
        <w:r w:rsidR="00386297">
          <w:rPr>
            <w:rStyle w:val="Hyperlink"/>
          </w:rPr>
          <w:t>media@treasury.gov.au</w:t>
        </w:r>
      </w:hyperlink>
    </w:p>
    <w:p w14:paraId="476E3ADC" w14:textId="77777777" w:rsidR="00472060" w:rsidRPr="00472060" w:rsidRDefault="00472060" w:rsidP="00472060">
      <w:pPr>
        <w:rPr>
          <w:b/>
          <w:bCs/>
        </w:rPr>
      </w:pPr>
      <w:r w:rsidRPr="00472060">
        <w:rPr>
          <w:b/>
          <w:bCs/>
        </w:rPr>
        <w:t>Acknowledgements</w:t>
      </w:r>
    </w:p>
    <w:p w14:paraId="6AD4F4D8" w14:textId="5AACCE91" w:rsidR="00472060" w:rsidRPr="00472060" w:rsidRDefault="00472060" w:rsidP="00472060">
      <w:r w:rsidRPr="00472060">
        <w:t>The evaluation was undertaken in collaboration with the Australian Charities and Not</w:t>
      </w:r>
      <w:r w:rsidR="00C26062">
        <w:noBreakHyphen/>
      </w:r>
      <w:r w:rsidRPr="00472060">
        <w:t>for</w:t>
      </w:r>
      <w:r w:rsidR="00C26062">
        <w:noBreakHyphen/>
      </w:r>
      <w:r w:rsidRPr="00472060">
        <w:t>profits Commission (ACNC). The authors would like to thank Tim Liu, Alexandra Lara, and Robert Mulderry from the ACNC for their valuable feedback and support throughout the project. The</w:t>
      </w:r>
      <w:r w:rsidR="002A65DE">
        <w:t xml:space="preserve"> authors</w:t>
      </w:r>
      <w:r w:rsidRPr="00472060">
        <w:t xml:space="preserve"> also acknowledge the contribution of the Behavioural Economics Team of the Australian Government (BETA) in the design of the intervention.</w:t>
      </w:r>
    </w:p>
    <w:p w14:paraId="7696A361" w14:textId="77777777" w:rsidR="00472060" w:rsidRPr="00472060" w:rsidRDefault="00472060" w:rsidP="00873538">
      <w:pPr>
        <w:sectPr w:rsidR="00472060" w:rsidRPr="00472060" w:rsidSect="001004E1">
          <w:headerReference w:type="even" r:id="rId14"/>
          <w:footerReference w:type="even" r:id="rId15"/>
          <w:headerReference w:type="first" r:id="rId16"/>
          <w:footerReference w:type="first" r:id="rId17"/>
          <w:pgSz w:w="11906" w:h="16838" w:code="9"/>
          <w:pgMar w:top="1843" w:right="1418" w:bottom="1418" w:left="1418" w:header="709" w:footer="709" w:gutter="0"/>
          <w:pgNumType w:fmt="lowerRoman" w:start="0"/>
          <w:cols w:space="708"/>
          <w:titlePg/>
          <w:docGrid w:linePitch="360"/>
        </w:sectPr>
      </w:pPr>
    </w:p>
    <w:p w14:paraId="059512D4" w14:textId="77777777" w:rsidR="002C1A2A" w:rsidRDefault="000E0B74" w:rsidP="00C847F3">
      <w:pPr>
        <w:pStyle w:val="Heading1"/>
        <w:spacing w:before="0"/>
      </w:pPr>
      <w:bookmarkStart w:id="0" w:name="_Toc111026801"/>
      <w:r w:rsidRPr="001F1B27">
        <w:lastRenderedPageBreak/>
        <w:t>Contents</w:t>
      </w:r>
      <w:bookmarkEnd w:id="0"/>
    </w:p>
    <w:bookmarkStart w:id="1" w:name="_Toc432067103"/>
    <w:bookmarkStart w:id="2" w:name="_Toc452635030"/>
    <w:p w14:paraId="01DE5ED4" w14:textId="2CE66E2E" w:rsidR="002F7D9D" w:rsidRDefault="00783851">
      <w:pPr>
        <w:pStyle w:val="TOC1"/>
        <w:rPr>
          <w:rFonts w:asciiTheme="minorHAnsi" w:eastAsiaTheme="minorEastAsia" w:hAnsiTheme="minorHAnsi" w:cstheme="minorBidi"/>
          <w:b w:val="0"/>
          <w:color w:val="auto"/>
          <w:kern w:val="2"/>
          <w:sz w:val="24"/>
          <w:szCs w:val="24"/>
          <w14:ligatures w14:val="standardContextual"/>
        </w:rPr>
      </w:pPr>
      <w:r>
        <w:rPr>
          <w:rFonts w:ascii="Calibri" w:hAnsi="Calibri" w:cs="Arial"/>
          <w:b w:val="0"/>
          <w:color w:val="004A7F"/>
          <w:kern w:val="32"/>
          <w:sz w:val="44"/>
        </w:rPr>
        <w:fldChar w:fldCharType="begin"/>
      </w:r>
      <w:r>
        <w:rPr>
          <w:rFonts w:ascii="Calibri" w:hAnsi="Calibri" w:cs="Arial"/>
          <w:b w:val="0"/>
          <w:color w:val="004A7F"/>
          <w:kern w:val="32"/>
          <w:sz w:val="44"/>
        </w:rPr>
        <w:instrText xml:space="preserve"> TOC \o "1-2" \h \z \u </w:instrText>
      </w:r>
      <w:r>
        <w:rPr>
          <w:rFonts w:ascii="Calibri" w:hAnsi="Calibri" w:cs="Arial"/>
          <w:b w:val="0"/>
          <w:color w:val="004A7F"/>
          <w:kern w:val="32"/>
          <w:sz w:val="44"/>
        </w:rPr>
        <w:fldChar w:fldCharType="separate"/>
      </w:r>
      <w:hyperlink w:anchor="_Toc207712018" w:history="1">
        <w:r w:rsidR="002F7D9D" w:rsidRPr="00743947">
          <w:rPr>
            <w:rStyle w:val="Hyperlink"/>
          </w:rPr>
          <w:t>Executive Summary</w:t>
        </w:r>
        <w:r w:rsidR="002F7D9D">
          <w:rPr>
            <w:webHidden/>
          </w:rPr>
          <w:tab/>
        </w:r>
        <w:r w:rsidR="002F7D9D">
          <w:rPr>
            <w:webHidden/>
          </w:rPr>
          <w:fldChar w:fldCharType="begin"/>
        </w:r>
        <w:r w:rsidR="002F7D9D">
          <w:rPr>
            <w:webHidden/>
          </w:rPr>
          <w:instrText xml:space="preserve"> PAGEREF _Toc207712018 \h </w:instrText>
        </w:r>
        <w:r w:rsidR="002F7D9D">
          <w:rPr>
            <w:webHidden/>
          </w:rPr>
        </w:r>
        <w:r w:rsidR="002F7D9D">
          <w:rPr>
            <w:webHidden/>
          </w:rPr>
          <w:fldChar w:fldCharType="separate"/>
        </w:r>
        <w:r w:rsidR="005F5963">
          <w:rPr>
            <w:webHidden/>
          </w:rPr>
          <w:t>4</w:t>
        </w:r>
        <w:r w:rsidR="002F7D9D">
          <w:rPr>
            <w:webHidden/>
          </w:rPr>
          <w:fldChar w:fldCharType="end"/>
        </w:r>
      </w:hyperlink>
    </w:p>
    <w:p w14:paraId="4AE88E9B" w14:textId="2419A0AF" w:rsidR="002F7D9D" w:rsidRDefault="002F7D9D">
      <w:pPr>
        <w:pStyle w:val="TOC2"/>
        <w:rPr>
          <w:rFonts w:asciiTheme="minorHAnsi" w:eastAsiaTheme="minorEastAsia" w:hAnsiTheme="minorHAnsi" w:cstheme="minorBidi"/>
          <w:color w:val="auto"/>
          <w:kern w:val="2"/>
          <w:sz w:val="24"/>
          <w:szCs w:val="24"/>
          <w14:ligatures w14:val="standardContextual"/>
        </w:rPr>
      </w:pPr>
      <w:hyperlink w:anchor="_Toc207712019" w:history="1">
        <w:r w:rsidRPr="00743947">
          <w:rPr>
            <w:rStyle w:val="Hyperlink"/>
          </w:rPr>
          <w:t>Evaluation approach</w:t>
        </w:r>
        <w:r>
          <w:rPr>
            <w:webHidden/>
          </w:rPr>
          <w:tab/>
        </w:r>
        <w:r>
          <w:rPr>
            <w:webHidden/>
          </w:rPr>
          <w:fldChar w:fldCharType="begin"/>
        </w:r>
        <w:r>
          <w:rPr>
            <w:webHidden/>
          </w:rPr>
          <w:instrText xml:space="preserve"> PAGEREF _Toc207712019 \h </w:instrText>
        </w:r>
        <w:r>
          <w:rPr>
            <w:webHidden/>
          </w:rPr>
        </w:r>
        <w:r>
          <w:rPr>
            <w:webHidden/>
          </w:rPr>
          <w:fldChar w:fldCharType="separate"/>
        </w:r>
        <w:r w:rsidR="005F5963">
          <w:rPr>
            <w:webHidden/>
          </w:rPr>
          <w:t>4</w:t>
        </w:r>
        <w:r>
          <w:rPr>
            <w:webHidden/>
          </w:rPr>
          <w:fldChar w:fldCharType="end"/>
        </w:r>
      </w:hyperlink>
    </w:p>
    <w:p w14:paraId="56B3B4DD" w14:textId="633216CC" w:rsidR="002F7D9D" w:rsidRDefault="002F7D9D">
      <w:pPr>
        <w:pStyle w:val="TOC2"/>
        <w:rPr>
          <w:rFonts w:asciiTheme="minorHAnsi" w:eastAsiaTheme="minorEastAsia" w:hAnsiTheme="minorHAnsi" w:cstheme="minorBidi"/>
          <w:color w:val="auto"/>
          <w:kern w:val="2"/>
          <w:sz w:val="24"/>
          <w:szCs w:val="24"/>
          <w14:ligatures w14:val="standardContextual"/>
        </w:rPr>
      </w:pPr>
      <w:hyperlink w:anchor="_Toc207712020" w:history="1">
        <w:r w:rsidRPr="00743947">
          <w:rPr>
            <w:rStyle w:val="Hyperlink"/>
          </w:rPr>
          <w:t>Key findings</w:t>
        </w:r>
        <w:r>
          <w:rPr>
            <w:webHidden/>
          </w:rPr>
          <w:tab/>
        </w:r>
        <w:r>
          <w:rPr>
            <w:webHidden/>
          </w:rPr>
          <w:fldChar w:fldCharType="begin"/>
        </w:r>
        <w:r>
          <w:rPr>
            <w:webHidden/>
          </w:rPr>
          <w:instrText xml:space="preserve"> PAGEREF _Toc207712020 \h </w:instrText>
        </w:r>
        <w:r>
          <w:rPr>
            <w:webHidden/>
          </w:rPr>
        </w:r>
        <w:r>
          <w:rPr>
            <w:webHidden/>
          </w:rPr>
          <w:fldChar w:fldCharType="separate"/>
        </w:r>
        <w:r w:rsidR="005F5963">
          <w:rPr>
            <w:webHidden/>
          </w:rPr>
          <w:t>4</w:t>
        </w:r>
        <w:r>
          <w:rPr>
            <w:webHidden/>
          </w:rPr>
          <w:fldChar w:fldCharType="end"/>
        </w:r>
      </w:hyperlink>
    </w:p>
    <w:p w14:paraId="472E69FC" w14:textId="35589F32" w:rsidR="002F7D9D" w:rsidRDefault="002F7D9D">
      <w:pPr>
        <w:pStyle w:val="TOC2"/>
        <w:rPr>
          <w:rFonts w:asciiTheme="minorHAnsi" w:eastAsiaTheme="minorEastAsia" w:hAnsiTheme="minorHAnsi" w:cstheme="minorBidi"/>
          <w:color w:val="auto"/>
          <w:kern w:val="2"/>
          <w:sz w:val="24"/>
          <w:szCs w:val="24"/>
          <w14:ligatures w14:val="standardContextual"/>
        </w:rPr>
      </w:pPr>
      <w:hyperlink w:anchor="_Toc207712021" w:history="1">
        <w:r w:rsidRPr="00743947">
          <w:rPr>
            <w:rStyle w:val="Hyperlink"/>
          </w:rPr>
          <w:t>Conclusions and recommendations</w:t>
        </w:r>
        <w:r>
          <w:rPr>
            <w:webHidden/>
          </w:rPr>
          <w:tab/>
        </w:r>
        <w:r>
          <w:rPr>
            <w:webHidden/>
          </w:rPr>
          <w:fldChar w:fldCharType="begin"/>
        </w:r>
        <w:r>
          <w:rPr>
            <w:webHidden/>
          </w:rPr>
          <w:instrText xml:space="preserve"> PAGEREF _Toc207712021 \h </w:instrText>
        </w:r>
        <w:r>
          <w:rPr>
            <w:webHidden/>
          </w:rPr>
        </w:r>
        <w:r>
          <w:rPr>
            <w:webHidden/>
          </w:rPr>
          <w:fldChar w:fldCharType="separate"/>
        </w:r>
        <w:r w:rsidR="005F5963">
          <w:rPr>
            <w:webHidden/>
          </w:rPr>
          <w:t>5</w:t>
        </w:r>
        <w:r>
          <w:rPr>
            <w:webHidden/>
          </w:rPr>
          <w:fldChar w:fldCharType="end"/>
        </w:r>
      </w:hyperlink>
    </w:p>
    <w:p w14:paraId="5AA4D15F" w14:textId="6730EA44" w:rsidR="002F7D9D" w:rsidRDefault="002F7D9D" w:rsidP="00395F17">
      <w:pPr>
        <w:pStyle w:val="TOC1"/>
        <w:rPr>
          <w:rFonts w:asciiTheme="minorHAnsi" w:eastAsiaTheme="minorEastAsia" w:hAnsiTheme="minorHAnsi" w:cstheme="minorBidi"/>
          <w:b w:val="0"/>
          <w:color w:val="auto"/>
          <w:kern w:val="2"/>
          <w:sz w:val="24"/>
          <w:szCs w:val="24"/>
          <w14:ligatures w14:val="standardContextual"/>
        </w:rPr>
      </w:pPr>
      <w:hyperlink w:anchor="_Toc207712022" w:history="1">
        <w:r w:rsidRPr="00743947">
          <w:rPr>
            <w:rStyle w:val="Hyperlink"/>
          </w:rPr>
          <w:t>1.</w:t>
        </w:r>
        <w:r w:rsidR="00395F17">
          <w:rPr>
            <w:rFonts w:asciiTheme="minorHAnsi" w:eastAsiaTheme="minorEastAsia" w:hAnsiTheme="minorHAnsi" w:cstheme="minorBidi"/>
            <w:b w:val="0"/>
            <w:color w:val="auto"/>
            <w:kern w:val="2"/>
            <w:sz w:val="24"/>
            <w:szCs w:val="24"/>
            <w14:ligatures w14:val="standardContextual"/>
          </w:rPr>
          <w:t xml:space="preserve"> </w:t>
        </w:r>
        <w:r w:rsidRPr="00743947">
          <w:rPr>
            <w:rStyle w:val="Hyperlink"/>
          </w:rPr>
          <w:t>Introduction and policy context</w:t>
        </w:r>
        <w:r>
          <w:rPr>
            <w:webHidden/>
          </w:rPr>
          <w:tab/>
        </w:r>
        <w:r>
          <w:rPr>
            <w:webHidden/>
          </w:rPr>
          <w:fldChar w:fldCharType="begin"/>
        </w:r>
        <w:r>
          <w:rPr>
            <w:webHidden/>
          </w:rPr>
          <w:instrText xml:space="preserve"> PAGEREF _Toc207712022 \h </w:instrText>
        </w:r>
        <w:r>
          <w:rPr>
            <w:webHidden/>
          </w:rPr>
        </w:r>
        <w:r>
          <w:rPr>
            <w:webHidden/>
          </w:rPr>
          <w:fldChar w:fldCharType="separate"/>
        </w:r>
        <w:r w:rsidR="005F5963">
          <w:rPr>
            <w:webHidden/>
          </w:rPr>
          <w:t>7</w:t>
        </w:r>
        <w:r>
          <w:rPr>
            <w:webHidden/>
          </w:rPr>
          <w:fldChar w:fldCharType="end"/>
        </w:r>
      </w:hyperlink>
    </w:p>
    <w:p w14:paraId="000107C7" w14:textId="1A05B58E" w:rsidR="002F7D9D" w:rsidRDefault="002F7D9D">
      <w:pPr>
        <w:pStyle w:val="TOC1"/>
        <w:tabs>
          <w:tab w:val="left" w:pos="720"/>
        </w:tabs>
        <w:rPr>
          <w:rFonts w:asciiTheme="minorHAnsi" w:eastAsiaTheme="minorEastAsia" w:hAnsiTheme="minorHAnsi" w:cstheme="minorBidi"/>
          <w:b w:val="0"/>
          <w:color w:val="auto"/>
          <w:kern w:val="2"/>
          <w:sz w:val="24"/>
          <w:szCs w:val="24"/>
          <w14:ligatures w14:val="standardContextual"/>
        </w:rPr>
      </w:pPr>
      <w:hyperlink w:anchor="_Toc207712023" w:history="1">
        <w:r w:rsidRPr="00743947">
          <w:rPr>
            <w:rStyle w:val="Hyperlink"/>
          </w:rPr>
          <w:t>2.</w:t>
        </w:r>
        <w:r w:rsidR="00395F17">
          <w:rPr>
            <w:rFonts w:asciiTheme="minorHAnsi" w:eastAsiaTheme="minorEastAsia" w:hAnsiTheme="minorHAnsi" w:cstheme="minorBidi"/>
            <w:b w:val="0"/>
            <w:color w:val="auto"/>
            <w:kern w:val="2"/>
            <w:sz w:val="24"/>
            <w:szCs w:val="24"/>
            <w14:ligatures w14:val="standardContextual"/>
          </w:rPr>
          <w:t xml:space="preserve"> </w:t>
        </w:r>
        <w:r w:rsidRPr="00743947">
          <w:rPr>
            <w:rStyle w:val="Hyperlink"/>
          </w:rPr>
          <w:t>Evaluation design and implementation</w:t>
        </w:r>
        <w:r>
          <w:rPr>
            <w:webHidden/>
          </w:rPr>
          <w:tab/>
        </w:r>
        <w:r>
          <w:rPr>
            <w:webHidden/>
          </w:rPr>
          <w:fldChar w:fldCharType="begin"/>
        </w:r>
        <w:r>
          <w:rPr>
            <w:webHidden/>
          </w:rPr>
          <w:instrText xml:space="preserve"> PAGEREF _Toc207712023 \h </w:instrText>
        </w:r>
        <w:r>
          <w:rPr>
            <w:webHidden/>
          </w:rPr>
        </w:r>
        <w:r>
          <w:rPr>
            <w:webHidden/>
          </w:rPr>
          <w:fldChar w:fldCharType="separate"/>
        </w:r>
        <w:r w:rsidR="005F5963">
          <w:rPr>
            <w:webHidden/>
          </w:rPr>
          <w:t>8</w:t>
        </w:r>
        <w:r>
          <w:rPr>
            <w:webHidden/>
          </w:rPr>
          <w:fldChar w:fldCharType="end"/>
        </w:r>
      </w:hyperlink>
    </w:p>
    <w:p w14:paraId="4293FDBD" w14:textId="315B2845" w:rsidR="002F7D9D" w:rsidRDefault="002F7D9D">
      <w:pPr>
        <w:pStyle w:val="TOC2"/>
        <w:rPr>
          <w:rFonts w:asciiTheme="minorHAnsi" w:eastAsiaTheme="minorEastAsia" w:hAnsiTheme="minorHAnsi" w:cstheme="minorBidi"/>
          <w:color w:val="auto"/>
          <w:kern w:val="2"/>
          <w:sz w:val="24"/>
          <w:szCs w:val="24"/>
          <w14:ligatures w14:val="standardContextual"/>
        </w:rPr>
      </w:pPr>
      <w:hyperlink w:anchor="_Toc207712024" w:history="1">
        <w:r w:rsidRPr="00743947">
          <w:rPr>
            <w:rStyle w:val="Hyperlink"/>
          </w:rPr>
          <w:t>Summary of design</w:t>
        </w:r>
        <w:r>
          <w:rPr>
            <w:webHidden/>
          </w:rPr>
          <w:tab/>
        </w:r>
        <w:r>
          <w:rPr>
            <w:webHidden/>
          </w:rPr>
          <w:fldChar w:fldCharType="begin"/>
        </w:r>
        <w:r>
          <w:rPr>
            <w:webHidden/>
          </w:rPr>
          <w:instrText xml:space="preserve"> PAGEREF _Toc207712024 \h </w:instrText>
        </w:r>
        <w:r>
          <w:rPr>
            <w:webHidden/>
          </w:rPr>
        </w:r>
        <w:r>
          <w:rPr>
            <w:webHidden/>
          </w:rPr>
          <w:fldChar w:fldCharType="separate"/>
        </w:r>
        <w:r w:rsidR="005F5963">
          <w:rPr>
            <w:webHidden/>
          </w:rPr>
          <w:t>8</w:t>
        </w:r>
        <w:r>
          <w:rPr>
            <w:webHidden/>
          </w:rPr>
          <w:fldChar w:fldCharType="end"/>
        </w:r>
      </w:hyperlink>
    </w:p>
    <w:p w14:paraId="427A0817" w14:textId="489FD069" w:rsidR="002F7D9D" w:rsidRDefault="002F7D9D">
      <w:pPr>
        <w:pStyle w:val="TOC2"/>
        <w:rPr>
          <w:rFonts w:asciiTheme="minorHAnsi" w:eastAsiaTheme="minorEastAsia" w:hAnsiTheme="minorHAnsi" w:cstheme="minorBidi"/>
          <w:color w:val="auto"/>
          <w:kern w:val="2"/>
          <w:sz w:val="24"/>
          <w:szCs w:val="24"/>
          <w14:ligatures w14:val="standardContextual"/>
        </w:rPr>
      </w:pPr>
      <w:hyperlink w:anchor="_Toc207712025" w:history="1">
        <w:r w:rsidRPr="00743947">
          <w:rPr>
            <w:rStyle w:val="Hyperlink"/>
          </w:rPr>
          <w:t>Implementation</w:t>
        </w:r>
        <w:r>
          <w:rPr>
            <w:webHidden/>
          </w:rPr>
          <w:tab/>
        </w:r>
        <w:r>
          <w:rPr>
            <w:webHidden/>
          </w:rPr>
          <w:fldChar w:fldCharType="begin"/>
        </w:r>
        <w:r>
          <w:rPr>
            <w:webHidden/>
          </w:rPr>
          <w:instrText xml:space="preserve"> PAGEREF _Toc207712025 \h </w:instrText>
        </w:r>
        <w:r>
          <w:rPr>
            <w:webHidden/>
          </w:rPr>
        </w:r>
        <w:r>
          <w:rPr>
            <w:webHidden/>
          </w:rPr>
          <w:fldChar w:fldCharType="separate"/>
        </w:r>
        <w:r w:rsidR="005F5963">
          <w:rPr>
            <w:webHidden/>
          </w:rPr>
          <w:t>8</w:t>
        </w:r>
        <w:r>
          <w:rPr>
            <w:webHidden/>
          </w:rPr>
          <w:fldChar w:fldCharType="end"/>
        </w:r>
      </w:hyperlink>
    </w:p>
    <w:p w14:paraId="5E95262E" w14:textId="64E82447" w:rsidR="002F7D9D" w:rsidRDefault="002F7D9D">
      <w:pPr>
        <w:pStyle w:val="TOC1"/>
        <w:tabs>
          <w:tab w:val="left" w:pos="720"/>
        </w:tabs>
        <w:rPr>
          <w:rFonts w:asciiTheme="minorHAnsi" w:eastAsiaTheme="minorEastAsia" w:hAnsiTheme="minorHAnsi" w:cstheme="minorBidi"/>
          <w:b w:val="0"/>
          <w:color w:val="auto"/>
          <w:kern w:val="2"/>
          <w:sz w:val="24"/>
          <w:szCs w:val="24"/>
          <w14:ligatures w14:val="standardContextual"/>
        </w:rPr>
      </w:pPr>
      <w:hyperlink w:anchor="_Toc207712026" w:history="1">
        <w:r w:rsidRPr="00743947">
          <w:rPr>
            <w:rStyle w:val="Hyperlink"/>
          </w:rPr>
          <w:t>3.</w:t>
        </w:r>
        <w:r w:rsidR="00395F17">
          <w:rPr>
            <w:rFonts w:asciiTheme="minorHAnsi" w:eastAsiaTheme="minorEastAsia" w:hAnsiTheme="minorHAnsi" w:cstheme="minorBidi"/>
            <w:b w:val="0"/>
            <w:color w:val="auto"/>
            <w:kern w:val="2"/>
            <w:sz w:val="24"/>
            <w:szCs w:val="24"/>
            <w14:ligatures w14:val="standardContextual"/>
          </w:rPr>
          <w:t xml:space="preserve"> </w:t>
        </w:r>
        <w:r w:rsidRPr="00743947">
          <w:rPr>
            <w:rStyle w:val="Hyperlink"/>
          </w:rPr>
          <w:t>Results</w:t>
        </w:r>
        <w:r>
          <w:rPr>
            <w:webHidden/>
          </w:rPr>
          <w:tab/>
        </w:r>
        <w:r>
          <w:rPr>
            <w:webHidden/>
          </w:rPr>
          <w:fldChar w:fldCharType="begin"/>
        </w:r>
        <w:r>
          <w:rPr>
            <w:webHidden/>
          </w:rPr>
          <w:instrText xml:space="preserve"> PAGEREF _Toc207712026 \h </w:instrText>
        </w:r>
        <w:r>
          <w:rPr>
            <w:webHidden/>
          </w:rPr>
        </w:r>
        <w:r>
          <w:rPr>
            <w:webHidden/>
          </w:rPr>
          <w:fldChar w:fldCharType="separate"/>
        </w:r>
        <w:r w:rsidR="005F5963">
          <w:rPr>
            <w:webHidden/>
          </w:rPr>
          <w:t>10</w:t>
        </w:r>
        <w:r>
          <w:rPr>
            <w:webHidden/>
          </w:rPr>
          <w:fldChar w:fldCharType="end"/>
        </w:r>
      </w:hyperlink>
    </w:p>
    <w:p w14:paraId="1AE6AC06" w14:textId="6A3E8C90" w:rsidR="002F7D9D" w:rsidRDefault="002F7D9D">
      <w:pPr>
        <w:pStyle w:val="TOC2"/>
        <w:rPr>
          <w:rFonts w:asciiTheme="minorHAnsi" w:eastAsiaTheme="minorEastAsia" w:hAnsiTheme="minorHAnsi" w:cstheme="minorBidi"/>
          <w:color w:val="auto"/>
          <w:kern w:val="2"/>
          <w:sz w:val="24"/>
          <w:szCs w:val="24"/>
          <w14:ligatures w14:val="standardContextual"/>
        </w:rPr>
      </w:pPr>
      <w:hyperlink w:anchor="_Toc207712027" w:history="1">
        <w:r w:rsidRPr="00743947">
          <w:rPr>
            <w:rStyle w:val="Hyperlink"/>
          </w:rPr>
          <w:t>The additional reminder to Responsible Person substantially increased on</w:t>
        </w:r>
        <w:r w:rsidRPr="00743947">
          <w:rPr>
            <w:rStyle w:val="Hyperlink"/>
          </w:rPr>
          <w:noBreakHyphen/>
          <w:t>time AIS submission</w:t>
        </w:r>
        <w:r>
          <w:rPr>
            <w:webHidden/>
          </w:rPr>
          <w:tab/>
        </w:r>
        <w:r>
          <w:rPr>
            <w:webHidden/>
          </w:rPr>
          <w:fldChar w:fldCharType="begin"/>
        </w:r>
        <w:r>
          <w:rPr>
            <w:webHidden/>
          </w:rPr>
          <w:instrText xml:space="preserve"> PAGEREF _Toc207712027 \h </w:instrText>
        </w:r>
        <w:r>
          <w:rPr>
            <w:webHidden/>
          </w:rPr>
        </w:r>
        <w:r>
          <w:rPr>
            <w:webHidden/>
          </w:rPr>
          <w:fldChar w:fldCharType="separate"/>
        </w:r>
        <w:r w:rsidR="005F5963">
          <w:rPr>
            <w:webHidden/>
          </w:rPr>
          <w:t>10</w:t>
        </w:r>
        <w:r>
          <w:rPr>
            <w:webHidden/>
          </w:rPr>
          <w:fldChar w:fldCharType="end"/>
        </w:r>
      </w:hyperlink>
    </w:p>
    <w:p w14:paraId="1E621894" w14:textId="20D91AE6" w:rsidR="002F7D9D" w:rsidRDefault="002F7D9D">
      <w:pPr>
        <w:pStyle w:val="TOC2"/>
        <w:rPr>
          <w:rFonts w:asciiTheme="minorHAnsi" w:eastAsiaTheme="minorEastAsia" w:hAnsiTheme="minorHAnsi" w:cstheme="minorBidi"/>
          <w:color w:val="auto"/>
          <w:kern w:val="2"/>
          <w:sz w:val="24"/>
          <w:szCs w:val="24"/>
          <w14:ligatures w14:val="standardContextual"/>
        </w:rPr>
      </w:pPr>
      <w:hyperlink w:anchor="_Toc207712028" w:history="1">
        <w:r w:rsidRPr="00743947">
          <w:rPr>
            <w:rStyle w:val="Hyperlink"/>
          </w:rPr>
          <w:t>The second email reminder to an RP accelerated median AIS submissions by 3 days</w:t>
        </w:r>
        <w:r>
          <w:rPr>
            <w:webHidden/>
          </w:rPr>
          <w:tab/>
        </w:r>
        <w:r>
          <w:rPr>
            <w:webHidden/>
          </w:rPr>
          <w:fldChar w:fldCharType="begin"/>
        </w:r>
        <w:r>
          <w:rPr>
            <w:webHidden/>
          </w:rPr>
          <w:instrText xml:space="preserve"> PAGEREF _Toc207712028 \h </w:instrText>
        </w:r>
        <w:r>
          <w:rPr>
            <w:webHidden/>
          </w:rPr>
        </w:r>
        <w:r>
          <w:rPr>
            <w:webHidden/>
          </w:rPr>
          <w:fldChar w:fldCharType="separate"/>
        </w:r>
        <w:r w:rsidR="005F5963">
          <w:rPr>
            <w:webHidden/>
          </w:rPr>
          <w:t>11</w:t>
        </w:r>
        <w:r>
          <w:rPr>
            <w:webHidden/>
          </w:rPr>
          <w:fldChar w:fldCharType="end"/>
        </w:r>
      </w:hyperlink>
    </w:p>
    <w:p w14:paraId="3455BAA9" w14:textId="798110CB" w:rsidR="002F7D9D" w:rsidRDefault="002F7D9D">
      <w:pPr>
        <w:pStyle w:val="TOC2"/>
        <w:rPr>
          <w:rFonts w:asciiTheme="minorHAnsi" w:eastAsiaTheme="minorEastAsia" w:hAnsiTheme="minorHAnsi" w:cstheme="minorBidi"/>
          <w:color w:val="auto"/>
          <w:kern w:val="2"/>
          <w:sz w:val="24"/>
          <w:szCs w:val="24"/>
          <w14:ligatures w14:val="standardContextual"/>
        </w:rPr>
      </w:pPr>
      <w:hyperlink w:anchor="_Toc207712029" w:history="1">
        <w:r w:rsidRPr="00743947">
          <w:rPr>
            <w:rStyle w:val="Hyperlink"/>
          </w:rPr>
          <w:t>On</w:t>
        </w:r>
        <w:r w:rsidRPr="00743947">
          <w:rPr>
            <w:rStyle w:val="Hyperlink"/>
          </w:rPr>
          <w:noBreakHyphen/>
          <w:t>time submission rates increased across all charity characteristics</w:t>
        </w:r>
        <w:r>
          <w:rPr>
            <w:webHidden/>
          </w:rPr>
          <w:tab/>
        </w:r>
        <w:r>
          <w:rPr>
            <w:webHidden/>
          </w:rPr>
          <w:fldChar w:fldCharType="begin"/>
        </w:r>
        <w:r>
          <w:rPr>
            <w:webHidden/>
          </w:rPr>
          <w:instrText xml:space="preserve"> PAGEREF _Toc207712029 \h </w:instrText>
        </w:r>
        <w:r>
          <w:rPr>
            <w:webHidden/>
          </w:rPr>
        </w:r>
        <w:r>
          <w:rPr>
            <w:webHidden/>
          </w:rPr>
          <w:fldChar w:fldCharType="separate"/>
        </w:r>
        <w:r w:rsidR="005F5963">
          <w:rPr>
            <w:webHidden/>
          </w:rPr>
          <w:t>12</w:t>
        </w:r>
        <w:r>
          <w:rPr>
            <w:webHidden/>
          </w:rPr>
          <w:fldChar w:fldCharType="end"/>
        </w:r>
      </w:hyperlink>
    </w:p>
    <w:p w14:paraId="57E6B784" w14:textId="081ECC23" w:rsidR="002F7D9D" w:rsidRDefault="002F7D9D">
      <w:pPr>
        <w:pStyle w:val="TOC2"/>
        <w:rPr>
          <w:rFonts w:asciiTheme="minorHAnsi" w:eastAsiaTheme="minorEastAsia" w:hAnsiTheme="minorHAnsi" w:cstheme="minorBidi"/>
          <w:color w:val="auto"/>
          <w:kern w:val="2"/>
          <w:sz w:val="24"/>
          <w:szCs w:val="24"/>
          <w14:ligatures w14:val="standardContextual"/>
        </w:rPr>
      </w:pPr>
      <w:hyperlink w:anchor="_Toc207712030" w:history="1">
        <w:r w:rsidRPr="00743947">
          <w:rPr>
            <w:rStyle w:val="Hyperlink"/>
          </w:rPr>
          <w:t>Operational considerations</w:t>
        </w:r>
        <w:r>
          <w:rPr>
            <w:webHidden/>
          </w:rPr>
          <w:tab/>
        </w:r>
        <w:r>
          <w:rPr>
            <w:webHidden/>
          </w:rPr>
          <w:fldChar w:fldCharType="begin"/>
        </w:r>
        <w:r>
          <w:rPr>
            <w:webHidden/>
          </w:rPr>
          <w:instrText xml:space="preserve"> PAGEREF _Toc207712030 \h </w:instrText>
        </w:r>
        <w:r>
          <w:rPr>
            <w:webHidden/>
          </w:rPr>
        </w:r>
        <w:r>
          <w:rPr>
            <w:webHidden/>
          </w:rPr>
          <w:fldChar w:fldCharType="separate"/>
        </w:r>
        <w:r w:rsidR="005F5963">
          <w:rPr>
            <w:webHidden/>
          </w:rPr>
          <w:t>15</w:t>
        </w:r>
        <w:r>
          <w:rPr>
            <w:webHidden/>
          </w:rPr>
          <w:fldChar w:fldCharType="end"/>
        </w:r>
      </w:hyperlink>
    </w:p>
    <w:p w14:paraId="491B1FCA" w14:textId="69697554" w:rsidR="002F7D9D" w:rsidRDefault="002F7D9D">
      <w:pPr>
        <w:pStyle w:val="TOC1"/>
        <w:tabs>
          <w:tab w:val="left" w:pos="720"/>
        </w:tabs>
        <w:rPr>
          <w:rFonts w:asciiTheme="minorHAnsi" w:eastAsiaTheme="minorEastAsia" w:hAnsiTheme="minorHAnsi" w:cstheme="minorBidi"/>
          <w:b w:val="0"/>
          <w:color w:val="auto"/>
          <w:kern w:val="2"/>
          <w:sz w:val="24"/>
          <w:szCs w:val="24"/>
          <w14:ligatures w14:val="standardContextual"/>
        </w:rPr>
      </w:pPr>
      <w:hyperlink w:anchor="_Toc207712031" w:history="1">
        <w:r w:rsidRPr="00743947">
          <w:rPr>
            <w:rStyle w:val="Hyperlink"/>
          </w:rPr>
          <w:t>4.</w:t>
        </w:r>
        <w:r w:rsidR="00395F17">
          <w:rPr>
            <w:rStyle w:val="Hyperlink"/>
          </w:rPr>
          <w:t xml:space="preserve"> </w:t>
        </w:r>
        <w:r w:rsidRPr="00743947">
          <w:rPr>
            <w:rStyle w:val="Hyperlink"/>
          </w:rPr>
          <w:t>Conclusions and recommendations</w:t>
        </w:r>
        <w:r>
          <w:rPr>
            <w:webHidden/>
          </w:rPr>
          <w:tab/>
        </w:r>
        <w:r>
          <w:rPr>
            <w:webHidden/>
          </w:rPr>
          <w:fldChar w:fldCharType="begin"/>
        </w:r>
        <w:r>
          <w:rPr>
            <w:webHidden/>
          </w:rPr>
          <w:instrText xml:space="preserve"> PAGEREF _Toc207712031 \h </w:instrText>
        </w:r>
        <w:r>
          <w:rPr>
            <w:webHidden/>
          </w:rPr>
        </w:r>
        <w:r>
          <w:rPr>
            <w:webHidden/>
          </w:rPr>
          <w:fldChar w:fldCharType="separate"/>
        </w:r>
        <w:r w:rsidR="005F5963">
          <w:rPr>
            <w:webHidden/>
          </w:rPr>
          <w:t>16</w:t>
        </w:r>
        <w:r>
          <w:rPr>
            <w:webHidden/>
          </w:rPr>
          <w:fldChar w:fldCharType="end"/>
        </w:r>
      </w:hyperlink>
    </w:p>
    <w:p w14:paraId="309F643F" w14:textId="24F7D84B" w:rsidR="002F7D9D" w:rsidRDefault="002F7D9D">
      <w:pPr>
        <w:pStyle w:val="TOC1"/>
        <w:rPr>
          <w:rFonts w:asciiTheme="minorHAnsi" w:eastAsiaTheme="minorEastAsia" w:hAnsiTheme="minorHAnsi" w:cstheme="minorBidi"/>
          <w:b w:val="0"/>
          <w:color w:val="auto"/>
          <w:kern w:val="2"/>
          <w:sz w:val="24"/>
          <w:szCs w:val="24"/>
          <w14:ligatures w14:val="standardContextual"/>
        </w:rPr>
      </w:pPr>
      <w:hyperlink w:anchor="_Toc207712032" w:history="1">
        <w:r w:rsidRPr="00743947">
          <w:rPr>
            <w:rStyle w:val="Hyperlink"/>
          </w:rPr>
          <w:t>Appendix A: Reminder sent to Responsible Person</w:t>
        </w:r>
        <w:r>
          <w:rPr>
            <w:webHidden/>
          </w:rPr>
          <w:tab/>
        </w:r>
        <w:r>
          <w:rPr>
            <w:webHidden/>
          </w:rPr>
          <w:fldChar w:fldCharType="begin"/>
        </w:r>
        <w:r>
          <w:rPr>
            <w:webHidden/>
          </w:rPr>
          <w:instrText xml:space="preserve"> PAGEREF _Toc207712032 \h </w:instrText>
        </w:r>
        <w:r>
          <w:rPr>
            <w:webHidden/>
          </w:rPr>
        </w:r>
        <w:r>
          <w:rPr>
            <w:webHidden/>
          </w:rPr>
          <w:fldChar w:fldCharType="separate"/>
        </w:r>
        <w:r w:rsidR="005F5963">
          <w:rPr>
            <w:webHidden/>
          </w:rPr>
          <w:t>18</w:t>
        </w:r>
        <w:r>
          <w:rPr>
            <w:webHidden/>
          </w:rPr>
          <w:fldChar w:fldCharType="end"/>
        </w:r>
      </w:hyperlink>
    </w:p>
    <w:p w14:paraId="6DD592E2" w14:textId="2A62E92E" w:rsidR="002F7D9D" w:rsidRDefault="002F7D9D">
      <w:pPr>
        <w:pStyle w:val="TOC2"/>
        <w:rPr>
          <w:rFonts w:asciiTheme="minorHAnsi" w:eastAsiaTheme="minorEastAsia" w:hAnsiTheme="minorHAnsi" w:cstheme="minorBidi"/>
          <w:color w:val="auto"/>
          <w:kern w:val="2"/>
          <w:sz w:val="24"/>
          <w:szCs w:val="24"/>
          <w14:ligatures w14:val="standardContextual"/>
        </w:rPr>
      </w:pPr>
      <w:hyperlink w:anchor="_Toc207712033" w:history="1">
        <w:r w:rsidRPr="00743947">
          <w:rPr>
            <w:rStyle w:val="Hyperlink"/>
          </w:rPr>
          <w:t>Time is running out to submit the 2024 Annual Information Statement</w:t>
        </w:r>
        <w:r>
          <w:rPr>
            <w:webHidden/>
          </w:rPr>
          <w:tab/>
        </w:r>
        <w:r>
          <w:rPr>
            <w:webHidden/>
          </w:rPr>
          <w:fldChar w:fldCharType="begin"/>
        </w:r>
        <w:r>
          <w:rPr>
            <w:webHidden/>
          </w:rPr>
          <w:instrText xml:space="preserve"> PAGEREF _Toc207712033 \h </w:instrText>
        </w:r>
        <w:r>
          <w:rPr>
            <w:webHidden/>
          </w:rPr>
        </w:r>
        <w:r>
          <w:rPr>
            <w:webHidden/>
          </w:rPr>
          <w:fldChar w:fldCharType="separate"/>
        </w:r>
        <w:r w:rsidR="005F5963">
          <w:rPr>
            <w:webHidden/>
          </w:rPr>
          <w:t>19</w:t>
        </w:r>
        <w:r>
          <w:rPr>
            <w:webHidden/>
          </w:rPr>
          <w:fldChar w:fldCharType="end"/>
        </w:r>
      </w:hyperlink>
    </w:p>
    <w:p w14:paraId="3570EBAD" w14:textId="03CB4E6D" w:rsidR="002F7D9D" w:rsidRDefault="002F7D9D">
      <w:pPr>
        <w:pStyle w:val="TOC1"/>
        <w:rPr>
          <w:rFonts w:asciiTheme="minorHAnsi" w:eastAsiaTheme="minorEastAsia" w:hAnsiTheme="minorHAnsi" w:cstheme="minorBidi"/>
          <w:b w:val="0"/>
          <w:color w:val="auto"/>
          <w:kern w:val="2"/>
          <w:sz w:val="24"/>
          <w:szCs w:val="24"/>
          <w14:ligatures w14:val="standardContextual"/>
        </w:rPr>
      </w:pPr>
      <w:hyperlink w:anchor="_Toc207712034" w:history="1">
        <w:r w:rsidRPr="00743947">
          <w:rPr>
            <w:rStyle w:val="Hyperlink"/>
          </w:rPr>
          <w:t>Appendix B: Determination of a charity’s Responsible Person</w:t>
        </w:r>
        <w:r>
          <w:rPr>
            <w:webHidden/>
          </w:rPr>
          <w:tab/>
        </w:r>
        <w:r>
          <w:rPr>
            <w:webHidden/>
          </w:rPr>
          <w:fldChar w:fldCharType="begin"/>
        </w:r>
        <w:r>
          <w:rPr>
            <w:webHidden/>
          </w:rPr>
          <w:instrText xml:space="preserve"> PAGEREF _Toc207712034 \h </w:instrText>
        </w:r>
        <w:r>
          <w:rPr>
            <w:webHidden/>
          </w:rPr>
        </w:r>
        <w:r>
          <w:rPr>
            <w:webHidden/>
          </w:rPr>
          <w:fldChar w:fldCharType="separate"/>
        </w:r>
        <w:r w:rsidR="005F5963">
          <w:rPr>
            <w:webHidden/>
          </w:rPr>
          <w:t>20</w:t>
        </w:r>
        <w:r>
          <w:rPr>
            <w:webHidden/>
          </w:rPr>
          <w:fldChar w:fldCharType="end"/>
        </w:r>
      </w:hyperlink>
    </w:p>
    <w:p w14:paraId="480E2430" w14:textId="07B55E43" w:rsidR="002F7D9D" w:rsidRDefault="002F7D9D">
      <w:pPr>
        <w:pStyle w:val="TOC1"/>
        <w:rPr>
          <w:rFonts w:asciiTheme="minorHAnsi" w:eastAsiaTheme="minorEastAsia" w:hAnsiTheme="minorHAnsi" w:cstheme="minorBidi"/>
          <w:b w:val="0"/>
          <w:color w:val="auto"/>
          <w:kern w:val="2"/>
          <w:sz w:val="24"/>
          <w:szCs w:val="24"/>
          <w14:ligatures w14:val="standardContextual"/>
        </w:rPr>
      </w:pPr>
      <w:hyperlink w:anchor="_Toc207712035" w:history="1">
        <w:r w:rsidRPr="00743947">
          <w:rPr>
            <w:rStyle w:val="Hyperlink"/>
          </w:rPr>
          <w:t>Appendix C: Technical appendix</w:t>
        </w:r>
        <w:r>
          <w:rPr>
            <w:webHidden/>
          </w:rPr>
          <w:tab/>
        </w:r>
        <w:r>
          <w:rPr>
            <w:webHidden/>
          </w:rPr>
          <w:fldChar w:fldCharType="begin"/>
        </w:r>
        <w:r>
          <w:rPr>
            <w:webHidden/>
          </w:rPr>
          <w:instrText xml:space="preserve"> PAGEREF _Toc207712035 \h </w:instrText>
        </w:r>
        <w:r>
          <w:rPr>
            <w:webHidden/>
          </w:rPr>
        </w:r>
        <w:r>
          <w:rPr>
            <w:webHidden/>
          </w:rPr>
          <w:fldChar w:fldCharType="separate"/>
        </w:r>
        <w:r w:rsidR="005F5963">
          <w:rPr>
            <w:webHidden/>
          </w:rPr>
          <w:t>21</w:t>
        </w:r>
        <w:r>
          <w:rPr>
            <w:webHidden/>
          </w:rPr>
          <w:fldChar w:fldCharType="end"/>
        </w:r>
      </w:hyperlink>
    </w:p>
    <w:p w14:paraId="618F2532" w14:textId="676684D0" w:rsidR="002F7D9D" w:rsidRDefault="002F7D9D">
      <w:pPr>
        <w:pStyle w:val="TOC2"/>
        <w:rPr>
          <w:rFonts w:asciiTheme="minorHAnsi" w:eastAsiaTheme="minorEastAsia" w:hAnsiTheme="minorHAnsi" w:cstheme="minorBidi"/>
          <w:color w:val="auto"/>
          <w:kern w:val="2"/>
          <w:sz w:val="24"/>
          <w:szCs w:val="24"/>
          <w14:ligatures w14:val="standardContextual"/>
        </w:rPr>
      </w:pPr>
      <w:hyperlink w:anchor="_Toc207712036" w:history="1">
        <w:r w:rsidRPr="00743947">
          <w:rPr>
            <w:rStyle w:val="Hyperlink"/>
          </w:rPr>
          <w:t>Pre</w:t>
        </w:r>
        <w:r w:rsidRPr="00743947">
          <w:rPr>
            <w:rStyle w:val="Hyperlink"/>
          </w:rPr>
          <w:noBreakHyphen/>
          <w:t>registration and ethics</w:t>
        </w:r>
        <w:r>
          <w:rPr>
            <w:webHidden/>
          </w:rPr>
          <w:tab/>
        </w:r>
        <w:r>
          <w:rPr>
            <w:webHidden/>
          </w:rPr>
          <w:fldChar w:fldCharType="begin"/>
        </w:r>
        <w:r>
          <w:rPr>
            <w:webHidden/>
          </w:rPr>
          <w:instrText xml:space="preserve"> PAGEREF _Toc207712036 \h </w:instrText>
        </w:r>
        <w:r>
          <w:rPr>
            <w:webHidden/>
          </w:rPr>
        </w:r>
        <w:r>
          <w:rPr>
            <w:webHidden/>
          </w:rPr>
          <w:fldChar w:fldCharType="separate"/>
        </w:r>
        <w:r w:rsidR="005F5963">
          <w:rPr>
            <w:webHidden/>
          </w:rPr>
          <w:t>21</w:t>
        </w:r>
        <w:r>
          <w:rPr>
            <w:webHidden/>
          </w:rPr>
          <w:fldChar w:fldCharType="end"/>
        </w:r>
      </w:hyperlink>
    </w:p>
    <w:p w14:paraId="4B92CE3F" w14:textId="608436A9" w:rsidR="002F7D9D" w:rsidRDefault="002F7D9D">
      <w:pPr>
        <w:pStyle w:val="TOC2"/>
        <w:rPr>
          <w:rFonts w:asciiTheme="minorHAnsi" w:eastAsiaTheme="minorEastAsia" w:hAnsiTheme="minorHAnsi" w:cstheme="minorBidi"/>
          <w:color w:val="auto"/>
          <w:kern w:val="2"/>
          <w:sz w:val="24"/>
          <w:szCs w:val="24"/>
          <w14:ligatures w14:val="standardContextual"/>
        </w:rPr>
      </w:pPr>
      <w:hyperlink w:anchor="_Toc207712037" w:history="1">
        <w:r w:rsidRPr="00743947">
          <w:rPr>
            <w:rStyle w:val="Hyperlink"/>
          </w:rPr>
          <w:t>Deviations from the pre</w:t>
        </w:r>
        <w:r w:rsidRPr="00743947">
          <w:rPr>
            <w:rStyle w:val="Hyperlink"/>
          </w:rPr>
          <w:noBreakHyphen/>
          <w:t>analysis plan (PAP)</w:t>
        </w:r>
        <w:r>
          <w:rPr>
            <w:webHidden/>
          </w:rPr>
          <w:tab/>
        </w:r>
        <w:r>
          <w:rPr>
            <w:webHidden/>
          </w:rPr>
          <w:fldChar w:fldCharType="begin"/>
        </w:r>
        <w:r>
          <w:rPr>
            <w:webHidden/>
          </w:rPr>
          <w:instrText xml:space="preserve"> PAGEREF _Toc207712037 \h </w:instrText>
        </w:r>
        <w:r>
          <w:rPr>
            <w:webHidden/>
          </w:rPr>
        </w:r>
        <w:r>
          <w:rPr>
            <w:webHidden/>
          </w:rPr>
          <w:fldChar w:fldCharType="separate"/>
        </w:r>
        <w:r w:rsidR="005F5963">
          <w:rPr>
            <w:webHidden/>
          </w:rPr>
          <w:t>21</w:t>
        </w:r>
        <w:r>
          <w:rPr>
            <w:webHidden/>
          </w:rPr>
          <w:fldChar w:fldCharType="end"/>
        </w:r>
      </w:hyperlink>
    </w:p>
    <w:p w14:paraId="59FF33FB" w14:textId="5564B3E2" w:rsidR="002F7D9D" w:rsidRDefault="002F7D9D">
      <w:pPr>
        <w:pStyle w:val="TOC2"/>
        <w:rPr>
          <w:rFonts w:asciiTheme="minorHAnsi" w:eastAsiaTheme="minorEastAsia" w:hAnsiTheme="minorHAnsi" w:cstheme="minorBidi"/>
          <w:color w:val="auto"/>
          <w:kern w:val="2"/>
          <w:sz w:val="24"/>
          <w:szCs w:val="24"/>
          <w14:ligatures w14:val="standardContextual"/>
        </w:rPr>
      </w:pPr>
      <w:hyperlink w:anchor="_Toc207712038" w:history="1">
        <w:r w:rsidRPr="00743947">
          <w:rPr>
            <w:rStyle w:val="Hyperlink"/>
          </w:rPr>
          <w:t>Data processing and randomisation</w:t>
        </w:r>
        <w:r>
          <w:rPr>
            <w:webHidden/>
          </w:rPr>
          <w:tab/>
        </w:r>
        <w:r>
          <w:rPr>
            <w:webHidden/>
          </w:rPr>
          <w:fldChar w:fldCharType="begin"/>
        </w:r>
        <w:r>
          <w:rPr>
            <w:webHidden/>
          </w:rPr>
          <w:instrText xml:space="preserve"> PAGEREF _Toc207712038 \h </w:instrText>
        </w:r>
        <w:r>
          <w:rPr>
            <w:webHidden/>
          </w:rPr>
        </w:r>
        <w:r>
          <w:rPr>
            <w:webHidden/>
          </w:rPr>
          <w:fldChar w:fldCharType="separate"/>
        </w:r>
        <w:r w:rsidR="005F5963">
          <w:rPr>
            <w:webHidden/>
          </w:rPr>
          <w:t>21</w:t>
        </w:r>
        <w:r>
          <w:rPr>
            <w:webHidden/>
          </w:rPr>
          <w:fldChar w:fldCharType="end"/>
        </w:r>
      </w:hyperlink>
    </w:p>
    <w:p w14:paraId="2E7A1002" w14:textId="5D6AFFA0" w:rsidR="002F7D9D" w:rsidRDefault="002F7D9D">
      <w:pPr>
        <w:pStyle w:val="TOC2"/>
        <w:rPr>
          <w:rFonts w:asciiTheme="minorHAnsi" w:eastAsiaTheme="minorEastAsia" w:hAnsiTheme="minorHAnsi" w:cstheme="minorBidi"/>
          <w:color w:val="auto"/>
          <w:kern w:val="2"/>
          <w:sz w:val="24"/>
          <w:szCs w:val="24"/>
          <w14:ligatures w14:val="standardContextual"/>
        </w:rPr>
      </w:pPr>
      <w:hyperlink w:anchor="_Toc207712039" w:history="1">
        <w:r w:rsidRPr="00743947">
          <w:rPr>
            <w:rStyle w:val="Hyperlink"/>
          </w:rPr>
          <w:t>Summary of sample</w:t>
        </w:r>
        <w:r>
          <w:rPr>
            <w:webHidden/>
          </w:rPr>
          <w:tab/>
        </w:r>
        <w:r>
          <w:rPr>
            <w:webHidden/>
          </w:rPr>
          <w:fldChar w:fldCharType="begin"/>
        </w:r>
        <w:r>
          <w:rPr>
            <w:webHidden/>
          </w:rPr>
          <w:instrText xml:space="preserve"> PAGEREF _Toc207712039 \h </w:instrText>
        </w:r>
        <w:r>
          <w:rPr>
            <w:webHidden/>
          </w:rPr>
        </w:r>
        <w:r>
          <w:rPr>
            <w:webHidden/>
          </w:rPr>
          <w:fldChar w:fldCharType="separate"/>
        </w:r>
        <w:r w:rsidR="005F5963">
          <w:rPr>
            <w:webHidden/>
          </w:rPr>
          <w:t>23</w:t>
        </w:r>
        <w:r>
          <w:rPr>
            <w:webHidden/>
          </w:rPr>
          <w:fldChar w:fldCharType="end"/>
        </w:r>
      </w:hyperlink>
    </w:p>
    <w:p w14:paraId="1BC4DED1" w14:textId="0771902C" w:rsidR="002F7D9D" w:rsidRDefault="002F7D9D">
      <w:pPr>
        <w:pStyle w:val="TOC2"/>
        <w:rPr>
          <w:rFonts w:asciiTheme="minorHAnsi" w:eastAsiaTheme="minorEastAsia" w:hAnsiTheme="minorHAnsi" w:cstheme="minorBidi"/>
          <w:color w:val="auto"/>
          <w:kern w:val="2"/>
          <w:sz w:val="24"/>
          <w:szCs w:val="24"/>
          <w14:ligatures w14:val="standardContextual"/>
        </w:rPr>
      </w:pPr>
      <w:hyperlink w:anchor="_Toc207712040" w:history="1">
        <w:r w:rsidRPr="00743947">
          <w:rPr>
            <w:rStyle w:val="Hyperlink"/>
          </w:rPr>
          <w:t>Primary analysis</w:t>
        </w:r>
        <w:r>
          <w:rPr>
            <w:webHidden/>
          </w:rPr>
          <w:tab/>
        </w:r>
        <w:r>
          <w:rPr>
            <w:webHidden/>
          </w:rPr>
          <w:fldChar w:fldCharType="begin"/>
        </w:r>
        <w:r>
          <w:rPr>
            <w:webHidden/>
          </w:rPr>
          <w:instrText xml:space="preserve"> PAGEREF _Toc207712040 \h </w:instrText>
        </w:r>
        <w:r>
          <w:rPr>
            <w:webHidden/>
          </w:rPr>
        </w:r>
        <w:r>
          <w:rPr>
            <w:webHidden/>
          </w:rPr>
          <w:fldChar w:fldCharType="separate"/>
        </w:r>
        <w:r w:rsidR="005F5963">
          <w:rPr>
            <w:webHidden/>
          </w:rPr>
          <w:t>23</w:t>
        </w:r>
        <w:r>
          <w:rPr>
            <w:webHidden/>
          </w:rPr>
          <w:fldChar w:fldCharType="end"/>
        </w:r>
      </w:hyperlink>
    </w:p>
    <w:p w14:paraId="6AA4B357" w14:textId="6F7D3B5D" w:rsidR="002F7D9D" w:rsidRDefault="002F7D9D">
      <w:pPr>
        <w:pStyle w:val="TOC2"/>
        <w:rPr>
          <w:rFonts w:asciiTheme="minorHAnsi" w:eastAsiaTheme="minorEastAsia" w:hAnsiTheme="minorHAnsi" w:cstheme="minorBidi"/>
          <w:color w:val="auto"/>
          <w:kern w:val="2"/>
          <w:sz w:val="24"/>
          <w:szCs w:val="24"/>
          <w14:ligatures w14:val="standardContextual"/>
        </w:rPr>
      </w:pPr>
      <w:hyperlink w:anchor="_Toc207712041" w:history="1">
        <w:r w:rsidRPr="00743947">
          <w:rPr>
            <w:rStyle w:val="Hyperlink"/>
          </w:rPr>
          <w:t>Secondary analysis</w:t>
        </w:r>
        <w:r>
          <w:rPr>
            <w:webHidden/>
          </w:rPr>
          <w:tab/>
        </w:r>
        <w:r>
          <w:rPr>
            <w:webHidden/>
          </w:rPr>
          <w:fldChar w:fldCharType="begin"/>
        </w:r>
        <w:r>
          <w:rPr>
            <w:webHidden/>
          </w:rPr>
          <w:instrText xml:space="preserve"> PAGEREF _Toc207712041 \h </w:instrText>
        </w:r>
        <w:r>
          <w:rPr>
            <w:webHidden/>
          </w:rPr>
        </w:r>
        <w:r>
          <w:rPr>
            <w:webHidden/>
          </w:rPr>
          <w:fldChar w:fldCharType="separate"/>
        </w:r>
        <w:r w:rsidR="005F5963">
          <w:rPr>
            <w:webHidden/>
          </w:rPr>
          <w:t>25</w:t>
        </w:r>
        <w:r>
          <w:rPr>
            <w:webHidden/>
          </w:rPr>
          <w:fldChar w:fldCharType="end"/>
        </w:r>
      </w:hyperlink>
    </w:p>
    <w:p w14:paraId="4B811262" w14:textId="71EB549C" w:rsidR="002F7D9D" w:rsidRDefault="002F7D9D">
      <w:pPr>
        <w:pStyle w:val="TOC2"/>
        <w:rPr>
          <w:rFonts w:asciiTheme="minorHAnsi" w:eastAsiaTheme="minorEastAsia" w:hAnsiTheme="minorHAnsi" w:cstheme="minorBidi"/>
          <w:color w:val="auto"/>
          <w:kern w:val="2"/>
          <w:sz w:val="24"/>
          <w:szCs w:val="24"/>
          <w14:ligatures w14:val="standardContextual"/>
        </w:rPr>
      </w:pPr>
      <w:hyperlink w:anchor="_Toc207712042" w:history="1">
        <w:r w:rsidRPr="00743947">
          <w:rPr>
            <w:rStyle w:val="Hyperlink"/>
          </w:rPr>
          <w:t>Subgroup analyses</w:t>
        </w:r>
        <w:r>
          <w:rPr>
            <w:webHidden/>
          </w:rPr>
          <w:tab/>
        </w:r>
        <w:r>
          <w:rPr>
            <w:webHidden/>
          </w:rPr>
          <w:fldChar w:fldCharType="begin"/>
        </w:r>
        <w:r>
          <w:rPr>
            <w:webHidden/>
          </w:rPr>
          <w:instrText xml:space="preserve"> PAGEREF _Toc207712042 \h </w:instrText>
        </w:r>
        <w:r>
          <w:rPr>
            <w:webHidden/>
          </w:rPr>
        </w:r>
        <w:r>
          <w:rPr>
            <w:webHidden/>
          </w:rPr>
          <w:fldChar w:fldCharType="separate"/>
        </w:r>
        <w:r w:rsidR="005F5963">
          <w:rPr>
            <w:webHidden/>
          </w:rPr>
          <w:t>26</w:t>
        </w:r>
        <w:r>
          <w:rPr>
            <w:webHidden/>
          </w:rPr>
          <w:fldChar w:fldCharType="end"/>
        </w:r>
      </w:hyperlink>
    </w:p>
    <w:p w14:paraId="31AB0428" w14:textId="3585B88B" w:rsidR="002F7D9D" w:rsidRDefault="002F7D9D">
      <w:pPr>
        <w:pStyle w:val="TOC2"/>
        <w:rPr>
          <w:rFonts w:asciiTheme="minorHAnsi" w:eastAsiaTheme="minorEastAsia" w:hAnsiTheme="minorHAnsi" w:cstheme="minorBidi"/>
          <w:color w:val="auto"/>
          <w:kern w:val="2"/>
          <w:sz w:val="24"/>
          <w:szCs w:val="24"/>
          <w14:ligatures w14:val="standardContextual"/>
        </w:rPr>
      </w:pPr>
      <w:hyperlink w:anchor="_Toc207712043" w:history="1">
        <w:r w:rsidRPr="00743947">
          <w:rPr>
            <w:rStyle w:val="Hyperlink"/>
          </w:rPr>
          <w:t>Risk of bias</w:t>
        </w:r>
        <w:r>
          <w:rPr>
            <w:webHidden/>
          </w:rPr>
          <w:tab/>
        </w:r>
        <w:r>
          <w:rPr>
            <w:webHidden/>
          </w:rPr>
          <w:fldChar w:fldCharType="begin"/>
        </w:r>
        <w:r>
          <w:rPr>
            <w:webHidden/>
          </w:rPr>
          <w:instrText xml:space="preserve"> PAGEREF _Toc207712043 \h </w:instrText>
        </w:r>
        <w:r>
          <w:rPr>
            <w:webHidden/>
          </w:rPr>
        </w:r>
        <w:r>
          <w:rPr>
            <w:webHidden/>
          </w:rPr>
          <w:fldChar w:fldCharType="separate"/>
        </w:r>
        <w:r w:rsidR="005F5963">
          <w:rPr>
            <w:webHidden/>
          </w:rPr>
          <w:t>28</w:t>
        </w:r>
        <w:r>
          <w:rPr>
            <w:webHidden/>
          </w:rPr>
          <w:fldChar w:fldCharType="end"/>
        </w:r>
      </w:hyperlink>
    </w:p>
    <w:p w14:paraId="70AD273A" w14:textId="08CB421C" w:rsidR="00662885" w:rsidRPr="00662885" w:rsidRDefault="00783851" w:rsidP="003E4056">
      <w:pPr>
        <w:pStyle w:val="SingleParagraph"/>
        <w:ind w:right="-2"/>
        <w:sectPr w:rsidR="00662885" w:rsidRPr="00662885" w:rsidSect="00164599">
          <w:headerReference w:type="even" r:id="rId18"/>
          <w:headerReference w:type="default" r:id="rId19"/>
          <w:footerReference w:type="even" r:id="rId20"/>
          <w:footerReference w:type="default" r:id="rId21"/>
          <w:headerReference w:type="first" r:id="rId22"/>
          <w:footerReference w:type="first" r:id="rId23"/>
          <w:pgSz w:w="11906" w:h="16838" w:code="9"/>
          <w:pgMar w:top="1843" w:right="1418" w:bottom="1418" w:left="1418" w:header="709" w:footer="709" w:gutter="0"/>
          <w:pgNumType w:fmt="lowerRoman" w:start="3"/>
          <w:cols w:space="708"/>
          <w:titlePg/>
          <w:docGrid w:linePitch="360"/>
        </w:sectPr>
      </w:pPr>
      <w:r>
        <w:rPr>
          <w:rFonts w:ascii="Calibri" w:hAnsi="Calibri" w:cs="Arial"/>
          <w:b/>
          <w:noProof/>
          <w:color w:val="004A7F"/>
          <w:kern w:val="32"/>
          <w:sz w:val="44"/>
          <w:szCs w:val="22"/>
        </w:rPr>
        <w:fldChar w:fldCharType="end"/>
      </w:r>
      <w:bookmarkStart w:id="3" w:name="_Toc432067104"/>
      <w:bookmarkStart w:id="4" w:name="_Toc452635031"/>
      <w:bookmarkEnd w:id="1"/>
      <w:bookmarkEnd w:id="2"/>
    </w:p>
    <w:p w14:paraId="2E3555D1" w14:textId="2AC8991F" w:rsidR="006C5B73" w:rsidRDefault="00E85865" w:rsidP="004D3328">
      <w:pPr>
        <w:pStyle w:val="Heading1"/>
        <w:spacing w:before="0"/>
      </w:pPr>
      <w:bookmarkStart w:id="5" w:name="_Toc197603328"/>
      <w:bookmarkStart w:id="6" w:name="_Toc207712018"/>
      <w:r w:rsidRPr="00D256CA">
        <w:lastRenderedPageBreak/>
        <w:t>Executive</w:t>
      </w:r>
      <w:r>
        <w:t xml:space="preserve"> </w:t>
      </w:r>
      <w:r w:rsidR="006C5B73" w:rsidRPr="00A524B9">
        <w:t>Summary</w:t>
      </w:r>
      <w:bookmarkEnd w:id="3"/>
      <w:bookmarkEnd w:id="4"/>
      <w:bookmarkEnd w:id="5"/>
      <w:bookmarkEnd w:id="6"/>
      <w:r w:rsidR="00C555AC">
        <w:t xml:space="preserve"> </w:t>
      </w:r>
    </w:p>
    <w:p w14:paraId="4C014BC0" w14:textId="278F2F77" w:rsidR="00080063" w:rsidRDefault="00080063" w:rsidP="00362C90">
      <w:pPr>
        <w:spacing w:before="0" w:after="160" w:line="259" w:lineRule="auto"/>
      </w:pPr>
      <w:r>
        <w:t>The Australian Charities and Not</w:t>
      </w:r>
      <w:r w:rsidR="00C26062">
        <w:noBreakHyphen/>
      </w:r>
      <w:r>
        <w:t>for</w:t>
      </w:r>
      <w:r w:rsidR="00C26062">
        <w:noBreakHyphen/>
      </w:r>
      <w:r>
        <w:t>profits Commission (ACNC) is the national charity regulator.</w:t>
      </w:r>
    </w:p>
    <w:p w14:paraId="590EE5E7" w14:textId="5465D6BA" w:rsidR="00362C90" w:rsidRDefault="00080063" w:rsidP="00362C90">
      <w:pPr>
        <w:spacing w:before="0" w:after="160" w:line="259" w:lineRule="auto"/>
      </w:pPr>
      <w:r>
        <w:t>Most</w:t>
      </w:r>
      <w:r w:rsidRPr="00362C90">
        <w:t xml:space="preserve"> </w:t>
      </w:r>
      <w:r w:rsidR="00362C90" w:rsidRPr="00362C90">
        <w:t xml:space="preserve">registered charities in Australia must submit an </w:t>
      </w:r>
      <w:r w:rsidR="00D94638" w:rsidRPr="00362C90">
        <w:t>Annual Information Statement</w:t>
      </w:r>
      <w:r w:rsidR="00D94638">
        <w:t xml:space="preserve"> (</w:t>
      </w:r>
      <w:r w:rsidR="00362C90" w:rsidRPr="00362C90">
        <w:t>AIS</w:t>
      </w:r>
      <w:r w:rsidR="00D94638">
        <w:t>)</w:t>
      </w:r>
      <w:r w:rsidR="00362C90" w:rsidRPr="00362C90">
        <w:t xml:space="preserve"> each year</w:t>
      </w:r>
      <w:r>
        <w:t xml:space="preserve"> to the ACNC</w:t>
      </w:r>
      <w:r w:rsidR="00362C90" w:rsidRPr="00362C90">
        <w:t>. Th</w:t>
      </w:r>
      <w:r w:rsidR="0051556B">
        <w:t>e AIS</w:t>
      </w:r>
      <w:r w:rsidR="00362C90" w:rsidRPr="00362C90">
        <w:t xml:space="preserve"> </w:t>
      </w:r>
      <w:r>
        <w:t>captures</w:t>
      </w:r>
      <w:r w:rsidR="00362C90" w:rsidRPr="00362C90">
        <w:t xml:space="preserve"> key operational and financial </w:t>
      </w:r>
      <w:r w:rsidR="00362C90" w:rsidRPr="004A3291">
        <w:t>information and keeps the</w:t>
      </w:r>
      <w:r w:rsidR="00362C90" w:rsidRPr="00362C90">
        <w:t xml:space="preserve"> public Charity Register up to date. Timely submission is important for maintaining transparency, supporting public trust, and reducing regulatory burden. </w:t>
      </w:r>
      <w:r w:rsidR="00895F20">
        <w:t>The ACNC aims for an on</w:t>
      </w:r>
      <w:r w:rsidR="00C26062">
        <w:noBreakHyphen/>
      </w:r>
      <w:r w:rsidR="00895F20">
        <w:t>time submission rate of 75%</w:t>
      </w:r>
      <w:r>
        <w:t>. D</w:t>
      </w:r>
      <w:r w:rsidR="00362C90" w:rsidRPr="00362C90">
        <w:t xml:space="preserve">espite regular reminder emails from </w:t>
      </w:r>
      <w:r w:rsidR="00D32568">
        <w:t xml:space="preserve">the </w:t>
      </w:r>
      <w:r w:rsidR="00AA43C2" w:rsidRPr="00362C90">
        <w:t xml:space="preserve">ACNC, </w:t>
      </w:r>
      <w:r w:rsidR="00AA43C2">
        <w:t>the</w:t>
      </w:r>
      <w:r w:rsidR="002C6EF9">
        <w:t xml:space="preserve"> </w:t>
      </w:r>
      <w:r w:rsidR="00895F20">
        <w:t>rate was between 68% and 7</w:t>
      </w:r>
      <w:r w:rsidR="00E20E9C">
        <w:t>3</w:t>
      </w:r>
      <w:r w:rsidR="00895F20">
        <w:t>%</w:t>
      </w:r>
      <w:r w:rsidR="00E40568">
        <w:t xml:space="preserve"> in recent years</w:t>
      </w:r>
      <w:r w:rsidR="00895F20">
        <w:t>.</w:t>
      </w:r>
      <w:r w:rsidR="00E40568">
        <w:t xml:space="preserve"> </w:t>
      </w:r>
    </w:p>
    <w:p w14:paraId="398E68CA" w14:textId="05E07DA8" w:rsidR="00D94638" w:rsidRPr="00362C90" w:rsidRDefault="00D94638" w:rsidP="00D94638">
      <w:pPr>
        <w:spacing w:before="0" w:after="160" w:line="259" w:lineRule="auto"/>
      </w:pPr>
      <w:r w:rsidRPr="00362C90">
        <w:t>This evaluation tested whether sending an additional reminder email to a charity</w:t>
      </w:r>
      <w:r w:rsidR="00C26062">
        <w:t>’</w:t>
      </w:r>
      <w:r w:rsidRPr="00362C90">
        <w:t>s Responsible Person could improve the timely submission of</w:t>
      </w:r>
      <w:r>
        <w:t xml:space="preserve"> an</w:t>
      </w:r>
      <w:r w:rsidRPr="00362C90">
        <w:t xml:space="preserve"> AIS.</w:t>
      </w:r>
      <w:r w:rsidR="00B12248">
        <w:t xml:space="preserve"> A </w:t>
      </w:r>
      <w:r w:rsidR="00671A12">
        <w:t>charity</w:t>
      </w:r>
      <w:r w:rsidR="00C26062">
        <w:t>’</w:t>
      </w:r>
      <w:r w:rsidR="00671A12">
        <w:t xml:space="preserve">s </w:t>
      </w:r>
      <w:r w:rsidR="00B12248">
        <w:t xml:space="preserve">Responsible Person </w:t>
      </w:r>
      <w:r w:rsidR="00080063">
        <w:t xml:space="preserve">is </w:t>
      </w:r>
      <w:r w:rsidR="00A11DA6">
        <w:t xml:space="preserve">a </w:t>
      </w:r>
      <w:r w:rsidR="00FA4925">
        <w:t>person</w:t>
      </w:r>
      <w:r w:rsidR="00080063" w:rsidRPr="00D62621">
        <w:t xml:space="preserve"> who is responsible for governing a charity. Generally, a charity</w:t>
      </w:r>
      <w:r w:rsidR="00C26062">
        <w:t>’</w:t>
      </w:r>
      <w:r w:rsidR="00080063" w:rsidRPr="00D62621">
        <w:t>s Responsible People are its board or committee members, or trustees (including insolvency trustees or administrators).</w:t>
      </w:r>
      <w:r w:rsidR="00080063">
        <w:rPr>
          <w:rStyle w:val="CommentReference"/>
          <w:rFonts w:ascii="Calibri" w:hAnsi="Calibri"/>
        </w:rPr>
        <w:t xml:space="preserve"> </w:t>
      </w:r>
      <w:r w:rsidR="00011831">
        <w:t xml:space="preserve">The </w:t>
      </w:r>
      <w:r w:rsidR="005A41C9">
        <w:t>additional reminder</w:t>
      </w:r>
      <w:r w:rsidR="00011831">
        <w:t xml:space="preserve"> emails were sent in batches from 7 to 17</w:t>
      </w:r>
      <w:r w:rsidR="008A0455">
        <w:t> </w:t>
      </w:r>
      <w:r w:rsidR="00011831">
        <w:t>January</w:t>
      </w:r>
      <w:r w:rsidR="008A0455">
        <w:t> </w:t>
      </w:r>
      <w:r w:rsidR="00011831">
        <w:t>2025, ahead of the 31</w:t>
      </w:r>
      <w:r w:rsidR="008A0455">
        <w:t> </w:t>
      </w:r>
      <w:r w:rsidR="00011831">
        <w:t>January</w:t>
      </w:r>
      <w:r w:rsidR="008A0455">
        <w:t> </w:t>
      </w:r>
      <w:r w:rsidR="00011831">
        <w:t>deadline.</w:t>
      </w:r>
    </w:p>
    <w:p w14:paraId="0E4CBF95" w14:textId="21F5DEA1" w:rsidR="00602355" w:rsidRPr="00362C90" w:rsidRDefault="00602355" w:rsidP="00602355">
      <w:pPr>
        <w:pStyle w:val="Heading2"/>
      </w:pPr>
      <w:bookmarkStart w:id="7" w:name="_Toc197603329"/>
      <w:bookmarkStart w:id="8" w:name="_Toc207712019"/>
      <w:r>
        <w:t>Evaluation approach</w:t>
      </w:r>
      <w:bookmarkEnd w:id="7"/>
      <w:bookmarkEnd w:id="8"/>
    </w:p>
    <w:p w14:paraId="312C700B" w14:textId="612174F4" w:rsidR="001B2E30" w:rsidRDefault="00362C90" w:rsidP="00362C90">
      <w:pPr>
        <w:spacing w:before="0" w:after="160" w:line="259" w:lineRule="auto"/>
      </w:pPr>
      <w:r w:rsidRPr="00362C90">
        <w:t xml:space="preserve">This evaluation used a randomised controlled trial (RCT) involving 15,000 charities </w:t>
      </w:r>
      <w:r w:rsidR="00AC3C85">
        <w:t xml:space="preserve">that had </w:t>
      </w:r>
      <w:r w:rsidR="008A0455">
        <w:t xml:space="preserve">an </w:t>
      </w:r>
      <w:r w:rsidR="00AC3C85">
        <w:t>AIS</w:t>
      </w:r>
      <w:r w:rsidR="002A4CEA">
        <w:t xml:space="preserve"> </w:t>
      </w:r>
      <w:r w:rsidR="00481C1B">
        <w:t xml:space="preserve">due by 31 January 2025 but </w:t>
      </w:r>
      <w:r w:rsidRPr="00362C90">
        <w:t xml:space="preserve">had not </w:t>
      </w:r>
      <w:r w:rsidR="0051556B">
        <w:t xml:space="preserve">yet </w:t>
      </w:r>
      <w:r w:rsidRPr="00362C90">
        <w:t xml:space="preserve">submitted their AIS by </w:t>
      </w:r>
      <w:r w:rsidR="00F4169B">
        <w:t>3</w:t>
      </w:r>
      <w:r w:rsidR="0014397F">
        <w:t> </w:t>
      </w:r>
      <w:r w:rsidRPr="00362C90">
        <w:t>January</w:t>
      </w:r>
      <w:r w:rsidR="0014397F">
        <w:t> </w:t>
      </w:r>
      <w:r w:rsidRPr="00362C90">
        <w:t>2025</w:t>
      </w:r>
      <w:r w:rsidR="00BE4E0D">
        <w:t xml:space="preserve">. All of these charities had already received a </w:t>
      </w:r>
      <w:r w:rsidR="00704F64">
        <w:t xml:space="preserve">first reminder email </w:t>
      </w:r>
      <w:r w:rsidR="00BE4E0D">
        <w:t xml:space="preserve">from </w:t>
      </w:r>
      <w:r w:rsidR="00706116">
        <w:t xml:space="preserve">the </w:t>
      </w:r>
      <w:r w:rsidR="00704F64">
        <w:t>ACNC</w:t>
      </w:r>
      <w:r w:rsidRPr="00362C90">
        <w:t xml:space="preserve">. </w:t>
      </w:r>
    </w:p>
    <w:p w14:paraId="2B96B905" w14:textId="3368D501" w:rsidR="00362C90" w:rsidRPr="00062897" w:rsidRDefault="00CF14F5" w:rsidP="00362C90">
      <w:pPr>
        <w:spacing w:before="0" w:after="160" w:line="259" w:lineRule="auto"/>
      </w:pPr>
      <w:r>
        <w:t xml:space="preserve">Charities were randomised into </w:t>
      </w:r>
      <w:r w:rsidR="00481C1B">
        <w:t xml:space="preserve">2 </w:t>
      </w:r>
      <w:r>
        <w:t>groups, such that h</w:t>
      </w:r>
      <w:r w:rsidR="00362C90" w:rsidRPr="00362C90">
        <w:t xml:space="preserve">alf the charities received </w:t>
      </w:r>
      <w:r w:rsidR="00BE4E0D">
        <w:t xml:space="preserve">a </w:t>
      </w:r>
      <w:r w:rsidR="00704F64">
        <w:t>second</w:t>
      </w:r>
      <w:r w:rsidR="00BE4E0D">
        <w:t>,</w:t>
      </w:r>
      <w:r w:rsidR="00704F64">
        <w:t xml:space="preserve"> </w:t>
      </w:r>
      <w:r w:rsidR="00362C90" w:rsidRPr="00362C90">
        <w:t xml:space="preserve">standard reminder email </w:t>
      </w:r>
      <w:r w:rsidR="00675167">
        <w:t>sent directly to a charity</w:t>
      </w:r>
      <w:r w:rsidR="00C26062">
        <w:t>’</w:t>
      </w:r>
      <w:r w:rsidR="00675167">
        <w:t xml:space="preserve">s usual email address </w:t>
      </w:r>
      <w:r w:rsidR="00362C90" w:rsidRPr="00362C90">
        <w:t>only (control group), while the other half also received a</w:t>
      </w:r>
      <w:r w:rsidR="00FD3FBE">
        <w:t xml:space="preserve">n additional </w:t>
      </w:r>
      <w:r w:rsidR="00675167">
        <w:t xml:space="preserve">email </w:t>
      </w:r>
      <w:r w:rsidR="00FD3FBE">
        <w:t xml:space="preserve">reminder </w:t>
      </w:r>
      <w:r w:rsidR="00362C90" w:rsidRPr="00362C90">
        <w:t xml:space="preserve">sent directly to a Responsible Person (treatment group). The trial was conducted in partnership between </w:t>
      </w:r>
      <w:r w:rsidR="00D91366">
        <w:t>the</w:t>
      </w:r>
      <w:r w:rsidR="00362C90" w:rsidRPr="00362C90">
        <w:t xml:space="preserve"> ACNC</w:t>
      </w:r>
      <w:r w:rsidR="00A82F9F">
        <w:t>,</w:t>
      </w:r>
      <w:r w:rsidR="00362C90" w:rsidRPr="00362C90">
        <w:t xml:space="preserve"> the Australian Centre for </w:t>
      </w:r>
      <w:r w:rsidR="00362C90" w:rsidRPr="00062897">
        <w:t>Evaluation (ACE)</w:t>
      </w:r>
      <w:r w:rsidR="00A82F9F" w:rsidRPr="00062897">
        <w:t xml:space="preserve"> and </w:t>
      </w:r>
      <w:r w:rsidR="006F53A5" w:rsidRPr="00062897">
        <w:t>Behavioural Economics Team of the Australian Government (BETA)</w:t>
      </w:r>
      <w:r w:rsidR="007328F1" w:rsidRPr="00062897">
        <w:t xml:space="preserve">. The trial was </w:t>
      </w:r>
      <w:r w:rsidR="00C5774F" w:rsidRPr="00062897">
        <w:t xml:space="preserve">subject to independent ethics review, and </w:t>
      </w:r>
      <w:r w:rsidR="00415D99" w:rsidRPr="00062897">
        <w:t xml:space="preserve">the trial design </w:t>
      </w:r>
      <w:r w:rsidR="001C1EC5" w:rsidRPr="00062897">
        <w:t>was</w:t>
      </w:r>
      <w:r w:rsidR="00265A76" w:rsidRPr="00062897">
        <w:t xml:space="preserve"> </w:t>
      </w:r>
      <w:r w:rsidR="00362C90" w:rsidRPr="00062897">
        <w:t>pre</w:t>
      </w:r>
      <w:r w:rsidR="00C26062">
        <w:noBreakHyphen/>
      </w:r>
      <w:r w:rsidR="00362C90" w:rsidRPr="00062897">
        <w:t xml:space="preserve">registered </w:t>
      </w:r>
      <w:r w:rsidR="00ED5EC2" w:rsidRPr="00062897">
        <w:t>with</w:t>
      </w:r>
      <w:r w:rsidR="00362C90" w:rsidRPr="00062897">
        <w:t xml:space="preserve"> a pre</w:t>
      </w:r>
      <w:r w:rsidR="00C26062">
        <w:noBreakHyphen/>
      </w:r>
      <w:r w:rsidR="00362C90" w:rsidRPr="00062897">
        <w:t>analysis plan.</w:t>
      </w:r>
    </w:p>
    <w:p w14:paraId="62A50B95" w14:textId="5C6D777C" w:rsidR="00F24DF3" w:rsidRPr="00362C90" w:rsidRDefault="001670E5" w:rsidP="00120802">
      <w:pPr>
        <w:spacing w:before="0" w:after="160" w:line="259" w:lineRule="auto"/>
      </w:pPr>
      <w:r w:rsidRPr="007A1E11">
        <w:t xml:space="preserve">Although </w:t>
      </w:r>
      <w:r w:rsidR="003E2B05" w:rsidRPr="007A1E11">
        <w:t>the</w:t>
      </w:r>
      <w:r w:rsidR="003E2B05" w:rsidRPr="00062897">
        <w:rPr>
          <w:u w:val="words"/>
        </w:rPr>
        <w:t xml:space="preserve"> </w:t>
      </w:r>
      <w:r w:rsidR="00A120CA" w:rsidRPr="00062897">
        <w:t xml:space="preserve">additional second reminder email </w:t>
      </w:r>
      <w:r w:rsidR="00062897" w:rsidRPr="00062897">
        <w:t xml:space="preserve">would appear to be </w:t>
      </w:r>
      <w:r w:rsidR="002D7B49" w:rsidRPr="00062897">
        <w:t xml:space="preserve">a relatively simple intervention, it did involve some </w:t>
      </w:r>
      <w:r w:rsidR="00120802" w:rsidRPr="00062897">
        <w:t xml:space="preserve">implementation costs and </w:t>
      </w:r>
      <w:r w:rsidR="00A120CA" w:rsidRPr="00062897">
        <w:t xml:space="preserve">had the potential to create </w:t>
      </w:r>
      <w:r w:rsidR="002440E8">
        <w:t>a minor burden</w:t>
      </w:r>
      <w:r w:rsidR="00A120CA" w:rsidRPr="00062897">
        <w:t xml:space="preserve"> for the Responsible Person.</w:t>
      </w:r>
      <w:r w:rsidR="00EC0161">
        <w:t xml:space="preserve"> </w:t>
      </w:r>
      <w:r w:rsidR="0092110A" w:rsidRPr="0092110A">
        <w:t xml:space="preserve">This might also have </w:t>
      </w:r>
      <w:r w:rsidR="002C6EF9">
        <w:t xml:space="preserve">created </w:t>
      </w:r>
      <w:r w:rsidR="0092110A" w:rsidRPr="0092110A">
        <w:t>flow</w:t>
      </w:r>
      <w:r w:rsidR="00C26062">
        <w:noBreakHyphen/>
      </w:r>
      <w:r w:rsidR="0092110A" w:rsidRPr="0092110A">
        <w:t xml:space="preserve">on costs for the ACNC through additional support requests from charities. It was not clear that the intervention would be sufficiently effective to justify these </w:t>
      </w:r>
      <w:r w:rsidR="006C6049">
        <w:t>costs</w:t>
      </w:r>
      <w:r w:rsidR="0092110A" w:rsidRPr="0092110A">
        <w:t>, if they eventuated, making it important to evaluate.</w:t>
      </w:r>
    </w:p>
    <w:p w14:paraId="5044B016" w14:textId="63C3BFA2" w:rsidR="00362C90" w:rsidRPr="00362C90" w:rsidRDefault="00362C90" w:rsidP="00602355">
      <w:pPr>
        <w:pStyle w:val="Heading2"/>
      </w:pPr>
      <w:bookmarkStart w:id="9" w:name="_Toc197603330"/>
      <w:bookmarkStart w:id="10" w:name="_Toc207712020"/>
      <w:r w:rsidRPr="00362C90">
        <w:t>Key findings</w:t>
      </w:r>
      <w:bookmarkEnd w:id="9"/>
      <w:bookmarkEnd w:id="10"/>
    </w:p>
    <w:p w14:paraId="5813653C" w14:textId="07DFB647" w:rsidR="00AC2906" w:rsidRPr="00AC2906" w:rsidRDefault="00A2415C" w:rsidP="00C5091E">
      <w:r>
        <w:rPr>
          <w:b/>
          <w:bCs/>
        </w:rPr>
        <w:t>An</w:t>
      </w:r>
      <w:r w:rsidRPr="00B66AF5">
        <w:rPr>
          <w:b/>
          <w:bCs/>
        </w:rPr>
        <w:t xml:space="preserve"> </w:t>
      </w:r>
      <w:r w:rsidR="00AC2906" w:rsidRPr="00B66AF5">
        <w:rPr>
          <w:b/>
          <w:bCs/>
        </w:rPr>
        <w:t xml:space="preserve">additional reminder </w:t>
      </w:r>
      <w:r>
        <w:rPr>
          <w:b/>
          <w:bCs/>
        </w:rPr>
        <w:t>to a charity</w:t>
      </w:r>
      <w:r w:rsidR="00C26062">
        <w:rPr>
          <w:b/>
          <w:bCs/>
        </w:rPr>
        <w:t>’</w:t>
      </w:r>
      <w:r>
        <w:rPr>
          <w:b/>
          <w:bCs/>
        </w:rPr>
        <w:t xml:space="preserve">s Responsible Person </w:t>
      </w:r>
      <w:r w:rsidR="009E3D58">
        <w:rPr>
          <w:b/>
          <w:bCs/>
        </w:rPr>
        <w:t xml:space="preserve">substantially </w:t>
      </w:r>
      <w:r w:rsidR="00AC2906" w:rsidRPr="00B66AF5">
        <w:rPr>
          <w:b/>
          <w:bCs/>
        </w:rPr>
        <w:t>improved on</w:t>
      </w:r>
      <w:r w:rsidR="00C26062">
        <w:rPr>
          <w:b/>
          <w:bCs/>
        </w:rPr>
        <w:noBreakHyphen/>
      </w:r>
      <w:r w:rsidR="00AC2906" w:rsidRPr="00B66AF5">
        <w:rPr>
          <w:b/>
          <w:bCs/>
        </w:rPr>
        <w:t xml:space="preserve">time </w:t>
      </w:r>
      <w:r w:rsidR="000710FB">
        <w:rPr>
          <w:b/>
          <w:bCs/>
        </w:rPr>
        <w:t xml:space="preserve">AIS </w:t>
      </w:r>
      <w:r w:rsidR="00AC2906" w:rsidRPr="00B66AF5">
        <w:rPr>
          <w:b/>
          <w:bCs/>
        </w:rPr>
        <w:t>submission rates</w:t>
      </w:r>
      <w:r w:rsidR="0049338C">
        <w:rPr>
          <w:b/>
          <w:bCs/>
        </w:rPr>
        <w:t>.</w:t>
      </w:r>
      <w:r w:rsidR="000710FB">
        <w:rPr>
          <w:b/>
          <w:bCs/>
        </w:rPr>
        <w:t xml:space="preserve"> </w:t>
      </w:r>
      <w:r w:rsidR="00AC2906" w:rsidRPr="00AC2906">
        <w:t xml:space="preserve">Charities that received the </w:t>
      </w:r>
      <w:r w:rsidR="00FE7002">
        <w:t>additional</w:t>
      </w:r>
      <w:r w:rsidR="00FE7002" w:rsidRPr="00AC2906">
        <w:t xml:space="preserve"> </w:t>
      </w:r>
      <w:r w:rsidR="00AC2906" w:rsidRPr="00AC2906">
        <w:t xml:space="preserve">reminder </w:t>
      </w:r>
      <w:r w:rsidR="000710FB">
        <w:t xml:space="preserve">to a Responsible Person </w:t>
      </w:r>
      <w:r w:rsidR="00AC2906" w:rsidRPr="00AC2906">
        <w:t>were 5.6</w:t>
      </w:r>
      <w:r w:rsidR="00962BEF">
        <w:t> </w:t>
      </w:r>
      <w:r w:rsidR="00AC2906" w:rsidRPr="00AC2906">
        <w:t>percentage points more likely to submit their AIS on time</w:t>
      </w:r>
      <w:r w:rsidR="00080063">
        <w:t xml:space="preserve"> (by 31</w:t>
      </w:r>
      <w:r w:rsidR="00962BEF">
        <w:t> </w:t>
      </w:r>
      <w:r w:rsidR="00080063">
        <w:t>January</w:t>
      </w:r>
      <w:r w:rsidR="00962BEF">
        <w:t> </w:t>
      </w:r>
      <w:r w:rsidR="00080063">
        <w:t>2025)</w:t>
      </w:r>
      <w:r w:rsidR="00AC2906" w:rsidRPr="00AC2906">
        <w:t xml:space="preserve"> compared to those who received only the standard </w:t>
      </w:r>
      <w:r w:rsidR="000710FB">
        <w:t xml:space="preserve">business as usual </w:t>
      </w:r>
      <w:r w:rsidR="00AC2906" w:rsidRPr="00AC2906">
        <w:t>reminder</w:t>
      </w:r>
      <w:r w:rsidR="00CC56C5">
        <w:t xml:space="preserve"> (</w:t>
      </w:r>
      <w:r w:rsidR="00DF26DC">
        <w:t>62.0% v</w:t>
      </w:r>
      <w:r w:rsidR="006E6B25">
        <w:t>ersus 5</w:t>
      </w:r>
      <w:r w:rsidR="009D02DA">
        <w:t xml:space="preserve">6.4%, </w:t>
      </w:r>
      <w:r w:rsidR="00CC56C5">
        <w:t>see Figure 1)</w:t>
      </w:r>
      <w:r w:rsidR="00AC2906" w:rsidRPr="00AC2906">
        <w:t xml:space="preserve">. </w:t>
      </w:r>
      <w:r w:rsidR="00630D0B">
        <w:t>The</w:t>
      </w:r>
      <w:r w:rsidR="004664F8">
        <w:t>se</w:t>
      </w:r>
      <w:r w:rsidR="00630D0B">
        <w:t xml:space="preserve"> submission rates </w:t>
      </w:r>
      <w:r w:rsidR="004664F8">
        <w:t>appear lower than previous years</w:t>
      </w:r>
      <w:r w:rsidR="00F5654C">
        <w:t>,</w:t>
      </w:r>
      <w:r w:rsidR="004664F8">
        <w:t xml:space="preserve"> but this is because they </w:t>
      </w:r>
      <w:r w:rsidR="00D96E5B">
        <w:t xml:space="preserve">only </w:t>
      </w:r>
      <w:r w:rsidR="004664F8">
        <w:t>include</w:t>
      </w:r>
      <w:r w:rsidR="00D96E5B">
        <w:t xml:space="preserve"> charities that had not </w:t>
      </w:r>
      <w:r w:rsidR="004664F8">
        <w:t xml:space="preserve">already </w:t>
      </w:r>
      <w:r w:rsidR="00D96E5B">
        <w:t xml:space="preserve">submitted by </w:t>
      </w:r>
      <w:r w:rsidR="00BC7BD1">
        <w:t>3</w:t>
      </w:r>
      <w:r w:rsidR="00961E93">
        <w:t> </w:t>
      </w:r>
      <w:r w:rsidR="00D96E5B">
        <w:t>January</w:t>
      </w:r>
      <w:r w:rsidR="00961E93">
        <w:t> 2025</w:t>
      </w:r>
      <w:r w:rsidR="00D96E5B">
        <w:t>.</w:t>
      </w:r>
    </w:p>
    <w:p w14:paraId="305A3B7E" w14:textId="77777777" w:rsidR="00962BEF" w:rsidRDefault="00962BEF">
      <w:pPr>
        <w:spacing w:before="0" w:after="160" w:line="259" w:lineRule="auto"/>
        <w:rPr>
          <w:b/>
          <w:bCs/>
        </w:rPr>
      </w:pPr>
      <w:r>
        <w:rPr>
          <w:b/>
          <w:bCs/>
        </w:rPr>
        <w:br w:type="page"/>
      </w:r>
    </w:p>
    <w:p w14:paraId="793EA22E" w14:textId="7736E62C" w:rsidR="0049338C" w:rsidRPr="00AC2906" w:rsidRDefault="0049338C" w:rsidP="0049338C">
      <w:r w:rsidRPr="00B66AF5">
        <w:rPr>
          <w:b/>
          <w:bCs/>
        </w:rPr>
        <w:lastRenderedPageBreak/>
        <w:t xml:space="preserve">Charities submitted earlier when they received the </w:t>
      </w:r>
      <w:r w:rsidR="004A3467">
        <w:rPr>
          <w:b/>
          <w:bCs/>
        </w:rPr>
        <w:t>additional</w:t>
      </w:r>
      <w:r w:rsidR="004A3467" w:rsidRPr="00B66AF5">
        <w:rPr>
          <w:b/>
          <w:bCs/>
        </w:rPr>
        <w:t xml:space="preserve"> </w:t>
      </w:r>
      <w:r w:rsidRPr="00B66AF5">
        <w:rPr>
          <w:b/>
          <w:bCs/>
        </w:rPr>
        <w:t>reminder</w:t>
      </w:r>
      <w:r>
        <w:rPr>
          <w:b/>
          <w:bCs/>
        </w:rPr>
        <w:t xml:space="preserve"> to a Responsible Person. </w:t>
      </w:r>
      <w:r w:rsidRPr="00AC2906">
        <w:t>In addition to improving on</w:t>
      </w:r>
      <w:r w:rsidR="00C26062">
        <w:noBreakHyphen/>
      </w:r>
      <w:r w:rsidRPr="00AC2906">
        <w:t xml:space="preserve">time </w:t>
      </w:r>
      <w:r>
        <w:t xml:space="preserve">AIS submission </w:t>
      </w:r>
      <w:r w:rsidRPr="00AC2906">
        <w:t xml:space="preserve">rates, the second reminder </w:t>
      </w:r>
      <w:r>
        <w:t xml:space="preserve">prompted charities to submit their AIS sooner. </w:t>
      </w:r>
      <w:r w:rsidR="00501CB6">
        <w:t xml:space="preserve">Charities that received the </w:t>
      </w:r>
      <w:r w:rsidR="00C24E05">
        <w:t>additional</w:t>
      </w:r>
      <w:r w:rsidR="00501CB6">
        <w:t xml:space="preserve"> email </w:t>
      </w:r>
      <w:r w:rsidR="00C24E05">
        <w:t xml:space="preserve">reminder </w:t>
      </w:r>
      <w:r w:rsidR="00501CB6">
        <w:t>to a Responsible Person typically submitted their AIS around 3 days earlier than those in the control group.</w:t>
      </w:r>
    </w:p>
    <w:p w14:paraId="1DFCBBDE" w14:textId="6609FB23" w:rsidR="0049338C" w:rsidRPr="00AC2906" w:rsidRDefault="0049338C" w:rsidP="00C5091E">
      <w:r w:rsidRPr="008A5217">
        <w:rPr>
          <w:b/>
          <w:bCs/>
        </w:rPr>
        <w:t>The effect</w:t>
      </w:r>
      <w:r>
        <w:rPr>
          <w:b/>
          <w:bCs/>
        </w:rPr>
        <w:t xml:space="preserve"> of the additional reminder to a Responsible Person</w:t>
      </w:r>
      <w:r w:rsidRPr="008A5217">
        <w:rPr>
          <w:b/>
          <w:bCs/>
        </w:rPr>
        <w:t xml:space="preserve"> was consistent across different </w:t>
      </w:r>
      <w:r w:rsidR="00080063">
        <w:rPr>
          <w:b/>
          <w:bCs/>
        </w:rPr>
        <w:t>groups</w:t>
      </w:r>
      <w:r w:rsidR="00080063" w:rsidRPr="008A5217">
        <w:rPr>
          <w:b/>
          <w:bCs/>
        </w:rPr>
        <w:t xml:space="preserve"> </w:t>
      </w:r>
      <w:r w:rsidRPr="008A5217">
        <w:rPr>
          <w:b/>
          <w:bCs/>
        </w:rPr>
        <w:t>of charities</w:t>
      </w:r>
      <w:r>
        <w:rPr>
          <w:b/>
          <w:bCs/>
        </w:rPr>
        <w:t xml:space="preserve">. </w:t>
      </w:r>
      <w:r w:rsidRPr="00AC2906">
        <w:t xml:space="preserve">The intervention </w:t>
      </w:r>
      <w:r>
        <w:t>demonstrated consistent impacts</w:t>
      </w:r>
      <w:r w:rsidRPr="00AC2906">
        <w:t xml:space="preserve"> across all major </w:t>
      </w:r>
      <w:r w:rsidR="00080063">
        <w:t>g</w:t>
      </w:r>
      <w:r w:rsidR="00080063" w:rsidRPr="00AC2906">
        <w:t>roups</w:t>
      </w:r>
      <w:r w:rsidRPr="00AC2906">
        <w:t>, including small</w:t>
      </w:r>
      <w:r>
        <w:t>, medium</w:t>
      </w:r>
      <w:r w:rsidRPr="00AC2906">
        <w:t xml:space="preserve"> and large charities, volunteer</w:t>
      </w:r>
      <w:r w:rsidR="00C26062">
        <w:noBreakHyphen/>
      </w:r>
      <w:r w:rsidRPr="00AC2906">
        <w:t xml:space="preserve">based organisations, incorporated associations, and </w:t>
      </w:r>
      <w:r w:rsidR="00080063">
        <w:t>Basic R</w:t>
      </w:r>
      <w:r w:rsidR="00080063" w:rsidRPr="00AC2906">
        <w:t xml:space="preserve">eligious </w:t>
      </w:r>
      <w:r w:rsidR="00080063">
        <w:t>C</w:t>
      </w:r>
      <w:r w:rsidR="00080063" w:rsidRPr="00AC2906">
        <w:t>harities</w:t>
      </w:r>
      <w:r w:rsidRPr="00AC2906">
        <w:t xml:space="preserve">. While the size of the treatment effect varied slightly between groups, there were no statistically significant differences, suggesting the </w:t>
      </w:r>
      <w:r w:rsidR="004A3467">
        <w:t xml:space="preserve">additional </w:t>
      </w:r>
      <w:r w:rsidRPr="00AC2906">
        <w:t xml:space="preserve">reminder </w:t>
      </w:r>
      <w:r w:rsidR="004A3467">
        <w:t>to a Responsible Person</w:t>
      </w:r>
      <w:r w:rsidRPr="00AC2906">
        <w:t xml:space="preserve"> is broadly </w:t>
      </w:r>
      <w:r>
        <w:t>effective in prompting on</w:t>
      </w:r>
      <w:r w:rsidR="00C26062">
        <w:noBreakHyphen/>
      </w:r>
      <w:r>
        <w:t>time AIS submissions</w:t>
      </w:r>
      <w:r w:rsidRPr="00AC2906">
        <w:t>.</w:t>
      </w:r>
    </w:p>
    <w:p w14:paraId="4B2C5708" w14:textId="679523E3" w:rsidR="003878B8" w:rsidRPr="00FD223F" w:rsidRDefault="00356C0E" w:rsidP="00406802">
      <w:pPr>
        <w:pStyle w:val="ChartMainHeading"/>
      </w:pPr>
      <w:r w:rsidRPr="00FD223F">
        <w:t xml:space="preserve">Figure </w:t>
      </w:r>
      <w:r w:rsidR="00CC56C5">
        <w:t>1</w:t>
      </w:r>
      <w:r w:rsidRPr="00FD223F">
        <w:t xml:space="preserve">. </w:t>
      </w:r>
      <w:r w:rsidR="008B69A5">
        <w:t>O</w:t>
      </w:r>
      <w:r w:rsidRPr="00FD223F">
        <w:t>n</w:t>
      </w:r>
      <w:r w:rsidR="00A35073">
        <w:t>-</w:t>
      </w:r>
      <w:r w:rsidRPr="00FD223F">
        <w:t xml:space="preserve">time </w:t>
      </w:r>
      <w:r w:rsidR="00370470" w:rsidRPr="00406802">
        <w:t>AIS</w:t>
      </w:r>
      <w:r w:rsidR="00370470">
        <w:t xml:space="preserve"> </w:t>
      </w:r>
      <w:r w:rsidRPr="00FD223F">
        <w:t xml:space="preserve">submission rates for </w:t>
      </w:r>
      <w:r w:rsidR="00FD223F" w:rsidRPr="00FD223F">
        <w:t>the treatment and control groups</w:t>
      </w:r>
    </w:p>
    <w:p w14:paraId="0C86321E" w14:textId="2B148168" w:rsidR="00664657" w:rsidRPr="00AC2906" w:rsidRDefault="009A7E88" w:rsidP="0049338C">
      <w:r>
        <w:rPr>
          <w:noProof/>
        </w:rPr>
        <w:drawing>
          <wp:inline distT="0" distB="0" distL="0" distR="0" wp14:anchorId="4CB54E0B" wp14:editId="4D0D159B">
            <wp:extent cx="5756400" cy="2516400"/>
            <wp:effectExtent l="0" t="0" r="0" b="0"/>
            <wp:docPr id="2084527765" name="Picture 1" descr="Bar chart showing the predicted probability of on-time submission for control and treatment groups. Control group: 56.4%, Treatment group: 62.0%. The treatment group shows a 5.6 percentage point higher submission rate compared to the control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527765" name="Picture 1" descr="Bar chart showing the predicted probability of on-time submission for control and treatment groups. Control group: 56.4%, Treatment group: 62.0%. The treatment group shows a 5.6 percentage point higher submission rate compared to the control group."/>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756400" cy="2516400"/>
                    </a:xfrm>
                    <a:prstGeom prst="rect">
                      <a:avLst/>
                    </a:prstGeom>
                  </pic:spPr>
                </pic:pic>
              </a:graphicData>
            </a:graphic>
          </wp:inline>
        </w:drawing>
      </w:r>
    </w:p>
    <w:p w14:paraId="01F5C7D7" w14:textId="2F49FE00" w:rsidR="00362C90" w:rsidRPr="00062897" w:rsidRDefault="007858AD" w:rsidP="00602355">
      <w:pPr>
        <w:pStyle w:val="Heading2"/>
      </w:pPr>
      <w:bookmarkStart w:id="11" w:name="_Toc197603331"/>
      <w:bookmarkStart w:id="12" w:name="_Toc207712021"/>
      <w:r w:rsidRPr="00062897">
        <w:t xml:space="preserve">Conclusions and </w:t>
      </w:r>
      <w:r w:rsidR="003B7FDE" w:rsidRPr="00062897">
        <w:t>r</w:t>
      </w:r>
      <w:r w:rsidR="00362C90" w:rsidRPr="00062897">
        <w:t>ecommendations</w:t>
      </w:r>
      <w:bookmarkEnd w:id="11"/>
      <w:bookmarkEnd w:id="12"/>
    </w:p>
    <w:p w14:paraId="6BD04EEE" w14:textId="0A8E349B" w:rsidR="001E6A5C" w:rsidRPr="00062897" w:rsidRDefault="00802041" w:rsidP="00612C31">
      <w:pPr>
        <w:spacing w:before="0" w:after="160" w:line="259" w:lineRule="auto"/>
      </w:pPr>
      <w:r w:rsidRPr="00062897">
        <w:t>A</w:t>
      </w:r>
      <w:r w:rsidR="00BC1C7D" w:rsidRPr="00062897">
        <w:t>n extra email reminder to a charity</w:t>
      </w:r>
      <w:r w:rsidR="00C26062">
        <w:t>’</w:t>
      </w:r>
      <w:r w:rsidR="00BC1C7D" w:rsidRPr="00062897">
        <w:t>s Responsible Person boosted on</w:t>
      </w:r>
      <w:r w:rsidR="00C26062">
        <w:noBreakHyphen/>
      </w:r>
      <w:r w:rsidR="00BC1C7D" w:rsidRPr="00062897">
        <w:t>time AIS submissions by 5.6</w:t>
      </w:r>
      <w:r w:rsidR="00D759C7" w:rsidRPr="00062897">
        <w:t> </w:t>
      </w:r>
      <w:r w:rsidR="00BC1C7D" w:rsidRPr="00062897">
        <w:t xml:space="preserve">percentage points and led to submissions a median of </w:t>
      </w:r>
      <w:r w:rsidR="00E73E45" w:rsidRPr="00062897">
        <w:t xml:space="preserve">3 </w:t>
      </w:r>
      <w:r w:rsidR="00BC1C7D" w:rsidRPr="00062897">
        <w:t xml:space="preserve">days earlier. The reminder worked across all types of charities, with no </w:t>
      </w:r>
      <w:r w:rsidR="00D62634" w:rsidRPr="00062897">
        <w:t xml:space="preserve">evidence of </w:t>
      </w:r>
      <w:r w:rsidR="00BC1C7D" w:rsidRPr="00062897">
        <w:t xml:space="preserve">differences between </w:t>
      </w:r>
      <w:r w:rsidR="004104E3" w:rsidRPr="00062897">
        <w:t>charity types</w:t>
      </w:r>
      <w:r w:rsidR="00BC1C7D" w:rsidRPr="00062897">
        <w:t>.</w:t>
      </w:r>
      <w:r w:rsidR="00BC1C7D" w:rsidRPr="00062897" w:rsidDel="004B1698">
        <w:t xml:space="preserve"> </w:t>
      </w:r>
      <w:bookmarkStart w:id="13" w:name="_Hlk200620150"/>
      <w:r w:rsidR="00614050" w:rsidRPr="00062897">
        <w:t>While on</w:t>
      </w:r>
      <w:r w:rsidR="00C26062">
        <w:noBreakHyphen/>
      </w:r>
      <w:r w:rsidR="00614050" w:rsidRPr="00062897">
        <w:t>time AIS submission support</w:t>
      </w:r>
      <w:r w:rsidR="00FD7770" w:rsidRPr="00062897">
        <w:t>s</w:t>
      </w:r>
      <w:r w:rsidR="00614050" w:rsidRPr="00062897">
        <w:t xml:space="preserve"> greater transparency and public trust through more accurate and timely information, there are also operational costs associated with sending the additional reminder email</w:t>
      </w:r>
      <w:r w:rsidR="00FD7770" w:rsidRPr="00062897">
        <w:t>.</w:t>
      </w:r>
      <w:r w:rsidR="00624BD1" w:rsidRPr="00062897">
        <w:t xml:space="preserve"> This is especially the case if the ACNC is unable to assist charities to comply with their obligations due to increased demand for assistance</w:t>
      </w:r>
      <w:r w:rsidR="0037339D" w:rsidRPr="00062897">
        <w:t>.</w:t>
      </w:r>
    </w:p>
    <w:p w14:paraId="0600A363" w14:textId="1379D893" w:rsidR="006A5EC3" w:rsidRPr="00510F1A" w:rsidRDefault="006A5EC3" w:rsidP="00250FBA">
      <w:r w:rsidRPr="00510F1A">
        <w:rPr>
          <w:b/>
        </w:rPr>
        <w:t xml:space="preserve">The ACNC should examine ways to minimise the implementation costs associated with the additional reminder </w:t>
      </w:r>
      <w:r w:rsidR="007F7E1A" w:rsidRPr="00510F1A">
        <w:rPr>
          <w:b/>
        </w:rPr>
        <w:t xml:space="preserve">to assess whether </w:t>
      </w:r>
      <w:r w:rsidRPr="00510F1A">
        <w:rPr>
          <w:b/>
        </w:rPr>
        <w:t>it can become part of as business</w:t>
      </w:r>
      <w:r w:rsidR="00C26062">
        <w:rPr>
          <w:b/>
        </w:rPr>
        <w:noBreakHyphen/>
      </w:r>
      <w:r w:rsidRPr="00510F1A">
        <w:rPr>
          <w:b/>
        </w:rPr>
        <w:t>as</w:t>
      </w:r>
      <w:r w:rsidR="00C26062">
        <w:rPr>
          <w:b/>
        </w:rPr>
        <w:noBreakHyphen/>
      </w:r>
      <w:r w:rsidRPr="00510F1A">
        <w:rPr>
          <w:b/>
        </w:rPr>
        <w:t>usual practice.</w:t>
      </w:r>
      <w:r w:rsidRPr="00510F1A">
        <w:t xml:space="preserve"> </w:t>
      </w:r>
      <w:r w:rsidR="00ED1CF9" w:rsidRPr="00510F1A">
        <w:t>T</w:t>
      </w:r>
      <w:r w:rsidRPr="00510F1A">
        <w:t xml:space="preserve">he additional </w:t>
      </w:r>
      <w:r w:rsidR="0022397B">
        <w:t xml:space="preserve">reminder </w:t>
      </w:r>
      <w:r w:rsidRPr="00510F1A">
        <w:t xml:space="preserve">to a Responsible Person </w:t>
      </w:r>
      <w:r w:rsidR="00187045" w:rsidRPr="00510F1A">
        <w:t xml:space="preserve">improved </w:t>
      </w:r>
      <w:r w:rsidRPr="00510F1A">
        <w:t>on</w:t>
      </w:r>
      <w:r w:rsidR="00C26062">
        <w:noBreakHyphen/>
      </w:r>
      <w:r w:rsidRPr="00510F1A">
        <w:t>time submissions rates</w:t>
      </w:r>
      <w:r w:rsidR="00EF585E">
        <w:t>. H</w:t>
      </w:r>
      <w:r w:rsidRPr="00510F1A">
        <w:t>owever</w:t>
      </w:r>
      <w:r w:rsidR="00EF585E">
        <w:t>,</w:t>
      </w:r>
      <w:r w:rsidRPr="00510F1A">
        <w:t xml:space="preserve"> there were various</w:t>
      </w:r>
      <w:r w:rsidRPr="00510F1A" w:rsidDel="00C85CAC">
        <w:t xml:space="preserve"> </w:t>
      </w:r>
      <w:r w:rsidR="000F0339" w:rsidRPr="00510F1A">
        <w:t xml:space="preserve">implementation </w:t>
      </w:r>
      <w:r w:rsidRPr="00510F1A">
        <w:t>costs associated with the additional reminder. The ACNC should seek to minimise these costs where possible</w:t>
      </w:r>
      <w:r w:rsidR="002B2783" w:rsidRPr="00510F1A">
        <w:t xml:space="preserve"> (for example, through automation, streamlined processes, or more targeted reminders)</w:t>
      </w:r>
      <w:r w:rsidRPr="00510F1A">
        <w:t>, and then assess whether the benefits of the additional reminder outweigh the remaining costs.</w:t>
      </w:r>
    </w:p>
    <w:p w14:paraId="2345DFCA" w14:textId="77777777" w:rsidR="00962BEF" w:rsidRDefault="00962BEF">
      <w:pPr>
        <w:spacing w:before="0" w:after="160" w:line="259" w:lineRule="auto"/>
        <w:rPr>
          <w:b/>
          <w:bCs/>
        </w:rPr>
      </w:pPr>
      <w:r>
        <w:rPr>
          <w:b/>
          <w:bCs/>
        </w:rPr>
        <w:br w:type="page"/>
      </w:r>
    </w:p>
    <w:p w14:paraId="1EE20A8A" w14:textId="0E45B538" w:rsidR="00612C31" w:rsidRPr="00C47E1A" w:rsidRDefault="00BA42A5" w:rsidP="00612C31">
      <w:r w:rsidRPr="00C47E1A">
        <w:rPr>
          <w:b/>
          <w:bCs/>
        </w:rPr>
        <w:lastRenderedPageBreak/>
        <w:t>The ACNC should explore alternative uses of reminder</w:t>
      </w:r>
      <w:r w:rsidR="00B13E68">
        <w:rPr>
          <w:b/>
          <w:bCs/>
        </w:rPr>
        <w:t>s</w:t>
      </w:r>
      <w:r w:rsidRPr="00C47E1A">
        <w:rPr>
          <w:b/>
          <w:bCs/>
        </w:rPr>
        <w:t xml:space="preserve">, within operational constraints. </w:t>
      </w:r>
      <w:r w:rsidRPr="00C47E1A">
        <w:t xml:space="preserve">The ACNC should also consider other potential uses for the additional reminder to a Responsible Person. For instance, the reminder could be targeted towards charities with overdue AIS submissions. Alternatively, the ACNC consider testing the additional </w:t>
      </w:r>
      <w:r w:rsidR="00310C25">
        <w:t>reminder to a Responsible Person</w:t>
      </w:r>
      <w:r w:rsidRPr="00C47E1A">
        <w:t>as</w:t>
      </w:r>
      <w:r w:rsidR="008340B4">
        <w:t xml:space="preserve"> as</w:t>
      </w:r>
      <w:r w:rsidRPr="00C47E1A">
        <w:t xml:space="preserve"> the </w:t>
      </w:r>
      <w:r w:rsidRPr="00C47E1A">
        <w:rPr>
          <w:i/>
          <w:iCs/>
        </w:rPr>
        <w:t>first</w:t>
      </w:r>
      <w:r w:rsidRPr="00C47E1A">
        <w:t xml:space="preserve"> reminder to targeted groups of charities, such as those with historically lower submission rates or lower engagement levels.</w:t>
      </w:r>
    </w:p>
    <w:p w14:paraId="2C87A49C" w14:textId="77777777" w:rsidR="004C7FE8" w:rsidRDefault="00634E2E" w:rsidP="009D02DA">
      <w:pPr>
        <w:sectPr w:rsidR="004C7FE8" w:rsidSect="00C33623">
          <w:headerReference w:type="even" r:id="rId25"/>
          <w:headerReference w:type="default" r:id="rId26"/>
          <w:footerReference w:type="even" r:id="rId27"/>
          <w:footerReference w:type="default" r:id="rId28"/>
          <w:headerReference w:type="first" r:id="rId29"/>
          <w:footerReference w:type="first" r:id="rId30"/>
          <w:pgSz w:w="11906" w:h="16838" w:code="9"/>
          <w:pgMar w:top="1843" w:right="1417" w:bottom="1417" w:left="1417" w:header="709" w:footer="709" w:gutter="0"/>
          <w:cols w:space="708"/>
          <w:docGrid w:linePitch="360"/>
        </w:sectPr>
      </w:pPr>
      <w:r w:rsidRPr="00C63B3E">
        <w:rPr>
          <w:b/>
          <w:bCs/>
        </w:rPr>
        <w:t xml:space="preserve">The ACNC </w:t>
      </w:r>
      <w:r w:rsidRPr="00C63B3E" w:rsidDel="005471FA">
        <w:rPr>
          <w:b/>
          <w:bCs/>
        </w:rPr>
        <w:t>should</w:t>
      </w:r>
      <w:r w:rsidR="005471FA" w:rsidRPr="00C63B3E">
        <w:rPr>
          <w:b/>
          <w:bCs/>
        </w:rPr>
        <w:t xml:space="preserve"> consider more </w:t>
      </w:r>
      <w:r w:rsidR="008B1206" w:rsidRPr="00C63B3E">
        <w:rPr>
          <w:b/>
          <w:bCs/>
        </w:rPr>
        <w:t>trials</w:t>
      </w:r>
      <w:r w:rsidR="005471FA" w:rsidRPr="00C63B3E">
        <w:rPr>
          <w:b/>
          <w:bCs/>
        </w:rPr>
        <w:t xml:space="preserve"> to </w:t>
      </w:r>
      <w:r w:rsidR="008B1206" w:rsidRPr="00C63B3E">
        <w:rPr>
          <w:b/>
          <w:bCs/>
        </w:rPr>
        <w:t xml:space="preserve">strengthen regulatory </w:t>
      </w:r>
      <w:r w:rsidR="005471FA" w:rsidRPr="00C63B3E">
        <w:rPr>
          <w:b/>
          <w:bCs/>
        </w:rPr>
        <w:t>outcomes</w:t>
      </w:r>
      <w:r w:rsidR="00C2706B" w:rsidRPr="00C63B3E">
        <w:rPr>
          <w:b/>
          <w:bCs/>
        </w:rPr>
        <w:t>.</w:t>
      </w:r>
      <w:r w:rsidRPr="00C63B3E">
        <w:rPr>
          <w:b/>
          <w:bCs/>
        </w:rPr>
        <w:t xml:space="preserve"> </w:t>
      </w:r>
      <w:r w:rsidR="008B1206" w:rsidRPr="00C63B3E">
        <w:t>Th</w:t>
      </w:r>
      <w:r w:rsidRPr="00C63B3E">
        <w:t xml:space="preserve">is </w:t>
      </w:r>
      <w:r w:rsidR="00D14FE5" w:rsidRPr="00C63B3E">
        <w:t xml:space="preserve">randomised </w:t>
      </w:r>
      <w:r w:rsidR="008B1206" w:rsidRPr="00C63B3E">
        <w:t>trial demonstrate</w:t>
      </w:r>
      <w:r w:rsidR="00E725F5" w:rsidRPr="00C63B3E">
        <w:t>s</w:t>
      </w:r>
      <w:r w:rsidR="008B1206" w:rsidRPr="00C63B3E">
        <w:t xml:space="preserve"> how </w:t>
      </w:r>
      <w:r w:rsidR="00D14FE5" w:rsidRPr="00C63B3E">
        <w:t xml:space="preserve">such trials </w:t>
      </w:r>
      <w:r w:rsidR="008B1206" w:rsidRPr="00C63B3E">
        <w:t>can provide clear evidence about what works</w:t>
      </w:r>
      <w:r w:rsidR="00D14FE5" w:rsidRPr="00C63B3E">
        <w:t xml:space="preserve"> and by how much</w:t>
      </w:r>
      <w:r w:rsidR="008B1206" w:rsidRPr="00C63B3E">
        <w:t xml:space="preserve">, particularly when the outcome is uncertain. </w:t>
      </w:r>
      <w:r w:rsidRPr="00C63B3E">
        <w:t xml:space="preserve">The ACNC </w:t>
      </w:r>
      <w:r w:rsidRPr="00C63B3E" w:rsidDel="005471FA">
        <w:t>should</w:t>
      </w:r>
      <w:r w:rsidR="005471FA" w:rsidRPr="00C63B3E">
        <w:t xml:space="preserve"> </w:t>
      </w:r>
      <w:r w:rsidRPr="00C63B3E">
        <w:t xml:space="preserve">consider using rigorous </w:t>
      </w:r>
      <w:r w:rsidR="00635459" w:rsidRPr="00C63B3E">
        <w:t xml:space="preserve">evaluation strategies, including </w:t>
      </w:r>
      <w:r w:rsidR="003111A7" w:rsidRPr="00C63B3E">
        <w:t>randomised trials</w:t>
      </w:r>
      <w:r w:rsidR="00635459" w:rsidRPr="00C63B3E">
        <w:t xml:space="preserve">, in the future where opportunity, resourcing, and timelines allow. </w:t>
      </w:r>
      <w:r w:rsidR="00AD3525" w:rsidRPr="00C63B3E">
        <w:t>Specifically, t</w:t>
      </w:r>
      <w:r w:rsidR="001C030D" w:rsidRPr="00C63B3E">
        <w:t xml:space="preserve">he ACNC </w:t>
      </w:r>
      <w:r w:rsidR="001C030D" w:rsidRPr="00C63B3E" w:rsidDel="005471FA">
        <w:t xml:space="preserve">should </w:t>
      </w:r>
      <w:r w:rsidR="001C030D" w:rsidRPr="00C63B3E">
        <w:t>consider</w:t>
      </w:r>
      <w:r w:rsidR="00AD3525" w:rsidRPr="00C63B3E">
        <w:t xml:space="preserve"> trials </w:t>
      </w:r>
      <w:r w:rsidR="001C030D" w:rsidRPr="00C63B3E">
        <w:t xml:space="preserve">when </w:t>
      </w:r>
      <w:r w:rsidR="00921D3B" w:rsidRPr="00C63B3E">
        <w:t>testing new approaches or processes</w:t>
      </w:r>
      <w:r w:rsidR="002A580B" w:rsidRPr="00C63B3E">
        <w:t>.</w:t>
      </w:r>
      <w:r w:rsidR="002A580B">
        <w:t xml:space="preserve"> </w:t>
      </w:r>
    </w:p>
    <w:bookmarkEnd w:id="13"/>
    <w:p w14:paraId="325A95F4" w14:textId="43F4E444" w:rsidR="00A40FC6" w:rsidRDefault="005769B7" w:rsidP="00F41E37">
      <w:pPr>
        <w:pStyle w:val="Heading1Numbered"/>
        <w:spacing w:before="0"/>
      </w:pPr>
      <w:r>
        <w:lastRenderedPageBreak/>
        <w:t xml:space="preserve"> </w:t>
      </w:r>
      <w:bookmarkStart w:id="14" w:name="_Toc197603332"/>
      <w:bookmarkStart w:id="15" w:name="_Toc207712022"/>
      <w:r w:rsidR="0088210A">
        <w:t>Introduction and p</w:t>
      </w:r>
      <w:r w:rsidR="00A40FC6">
        <w:t xml:space="preserve">olicy </w:t>
      </w:r>
      <w:r w:rsidR="0088210A">
        <w:t>c</w:t>
      </w:r>
      <w:r w:rsidR="00A40FC6">
        <w:t>ontext</w:t>
      </w:r>
      <w:bookmarkEnd w:id="14"/>
      <w:bookmarkEnd w:id="15"/>
    </w:p>
    <w:p w14:paraId="0B6CAB6D" w14:textId="5E821CEA" w:rsidR="006B487C" w:rsidRDefault="005471FA" w:rsidP="004C2296">
      <w:r>
        <w:t xml:space="preserve">Most </w:t>
      </w:r>
      <w:r w:rsidR="003E40A6">
        <w:t xml:space="preserve">registered charities in Australia are required to submit an Annual Information Statement (AIS) to </w:t>
      </w:r>
      <w:r w:rsidR="00A31DA3">
        <w:t>t</w:t>
      </w:r>
      <w:r w:rsidR="003E40A6">
        <w:t>he Australian Charities and Not</w:t>
      </w:r>
      <w:r w:rsidR="00C26062">
        <w:noBreakHyphen/>
      </w:r>
      <w:r w:rsidR="003E40A6">
        <w:t>for</w:t>
      </w:r>
      <w:r w:rsidR="00C26062">
        <w:noBreakHyphen/>
      </w:r>
      <w:r w:rsidR="003E40A6">
        <w:t>profits Commission (ACNC) each year. The AIS collects key information about a charity</w:t>
      </w:r>
      <w:r w:rsidR="00C26062">
        <w:t>’</w:t>
      </w:r>
      <w:r w:rsidR="006B487C">
        <w:t>s</w:t>
      </w:r>
      <w:r w:rsidR="003E40A6">
        <w:t xml:space="preserve"> operations, finance</w:t>
      </w:r>
      <w:r w:rsidR="006B487C">
        <w:t>s</w:t>
      </w:r>
      <w:r w:rsidR="003E40A6">
        <w:t xml:space="preserve"> and activities. This information is used to update the ACNC Charity Register, a public database that helps donors, funders</w:t>
      </w:r>
      <w:r>
        <w:t>, charities</w:t>
      </w:r>
      <w:r w:rsidR="003E40A6">
        <w:t xml:space="preserve"> and the</w:t>
      </w:r>
      <w:r>
        <w:t xml:space="preserve"> public to </w:t>
      </w:r>
      <w:r w:rsidR="003E40A6">
        <w:t>access accurate and up</w:t>
      </w:r>
      <w:r w:rsidR="00C26062">
        <w:noBreakHyphen/>
      </w:r>
      <w:r w:rsidR="003E40A6">
        <w:t>to</w:t>
      </w:r>
      <w:r w:rsidR="00C26062">
        <w:noBreakHyphen/>
      </w:r>
      <w:r w:rsidR="003E40A6">
        <w:t>date information about registered charities.</w:t>
      </w:r>
      <w:r w:rsidR="00491248">
        <w:t xml:space="preserve"> </w:t>
      </w:r>
    </w:p>
    <w:p w14:paraId="13954586" w14:textId="1D7DF1EC" w:rsidR="00B3079E" w:rsidRDefault="00683E46" w:rsidP="004C2296">
      <w:r>
        <w:t xml:space="preserve">The AIS plays a central role in </w:t>
      </w:r>
      <w:r w:rsidR="00491248" w:rsidRPr="00662885">
        <w:t>uphold</w:t>
      </w:r>
      <w:r>
        <w:t>ing</w:t>
      </w:r>
      <w:r w:rsidR="00491248" w:rsidRPr="00662885">
        <w:t xml:space="preserve"> transparency</w:t>
      </w:r>
      <w:r w:rsidR="005471FA">
        <w:t xml:space="preserve"> and</w:t>
      </w:r>
      <w:r w:rsidR="00491248" w:rsidRPr="00662885">
        <w:t xml:space="preserve"> maintain</w:t>
      </w:r>
      <w:r>
        <w:t>ing</w:t>
      </w:r>
      <w:r w:rsidR="00491248" w:rsidRPr="00662885">
        <w:t xml:space="preserve"> public trust</w:t>
      </w:r>
      <w:r w:rsidR="005471FA">
        <w:t xml:space="preserve"> in </w:t>
      </w:r>
      <w:r w:rsidR="00941518" w:rsidRPr="00941518">
        <w:t>charit</w:t>
      </w:r>
      <w:r w:rsidR="00D914B8">
        <w:t>ies</w:t>
      </w:r>
      <w:r w:rsidR="00941518" w:rsidRPr="00941518">
        <w:t xml:space="preserve">. It also reduces the regulatory burden on </w:t>
      </w:r>
      <w:r w:rsidR="005471FA">
        <w:t>charities</w:t>
      </w:r>
      <w:r w:rsidR="00941518" w:rsidRPr="00941518">
        <w:t xml:space="preserve">, as the ACNC shares information from the AIS with </w:t>
      </w:r>
      <w:r w:rsidR="00507AF0">
        <w:t>a range of other regulators (</w:t>
      </w:r>
      <w:r w:rsidR="008C7126">
        <w:t xml:space="preserve">this reduces </w:t>
      </w:r>
      <w:r w:rsidR="00941518" w:rsidRPr="00941518">
        <w:t xml:space="preserve">the need for charities to report separately to </w:t>
      </w:r>
      <w:r w:rsidR="005471FA">
        <w:t>other regulators</w:t>
      </w:r>
      <w:r w:rsidR="00FD7770">
        <w:t>, reducing costs</w:t>
      </w:r>
      <w:r w:rsidR="003A2F0F">
        <w:t>).</w:t>
      </w:r>
      <w:r w:rsidR="00262A08" w:rsidRPr="00662885" w:rsidDel="00FD7770">
        <w:t xml:space="preserve"> </w:t>
      </w:r>
      <w:r w:rsidR="002F3C91" w:rsidRPr="002F3C91">
        <w:t xml:space="preserve">The information charities provide in their AIS is </w:t>
      </w:r>
      <w:r w:rsidR="00FE3FB6">
        <w:t xml:space="preserve">also </w:t>
      </w:r>
      <w:r w:rsidR="002F3C91" w:rsidRPr="002F3C91">
        <w:t>published online, helping to ensure transparency.</w:t>
      </w:r>
      <w:r w:rsidR="00FE3FB6">
        <w:t xml:space="preserve"> </w:t>
      </w:r>
      <w:r w:rsidR="006B487C">
        <w:t>For th</w:t>
      </w:r>
      <w:r w:rsidR="00DC3902">
        <w:t>es</w:t>
      </w:r>
      <w:r w:rsidR="00FE270E">
        <w:t>e</w:t>
      </w:r>
      <w:r w:rsidR="006B487C">
        <w:t xml:space="preserve"> reason</w:t>
      </w:r>
      <w:r w:rsidR="00DC3902">
        <w:t>s</w:t>
      </w:r>
      <w:r w:rsidR="006B487C">
        <w:t xml:space="preserve">, providing </w:t>
      </w:r>
      <w:r w:rsidR="00890053">
        <w:t>the</w:t>
      </w:r>
      <w:r w:rsidR="006B487C">
        <w:t xml:space="preserve"> ACNC with an AIS is an important process for charities to adhere to, and timely reporting supports the efficiency of this process</w:t>
      </w:r>
      <w:r w:rsidR="00DC3902">
        <w:t xml:space="preserve">, </w:t>
      </w:r>
      <w:r w:rsidR="00DC3902" w:rsidRPr="00941518">
        <w:t>and the accuracy and usefulness of the Charity Register</w:t>
      </w:r>
      <w:r w:rsidR="006B487C">
        <w:t>.</w:t>
      </w:r>
      <w:r w:rsidR="00EE7785">
        <w:t xml:space="preserve"> </w:t>
      </w:r>
    </w:p>
    <w:p w14:paraId="5D186902" w14:textId="411F3DBE" w:rsidR="005B48DD" w:rsidRDefault="005B48DD" w:rsidP="005B48DD">
      <w:r>
        <w:t>Charities must submit their AIS to the ACNC by a deadline, which differs depending on each charity</w:t>
      </w:r>
      <w:r w:rsidR="00C26062">
        <w:t>’</w:t>
      </w:r>
      <w:r>
        <w:t>s reporting period. Charities have 6 months to submit their AIS after the end of the reporting period. For charities that report to the ACNC by financial year, the charity must submit their AIS to the ACNC by 31</w:t>
      </w:r>
      <w:r w:rsidR="00926B71">
        <w:t> </w:t>
      </w:r>
      <w:r>
        <w:t>December. However, it is standard practice for the ACNC Commissioner to provide these charities with an extension due to the New Year period. Approximately</w:t>
      </w:r>
      <w:r w:rsidRPr="00B74543">
        <w:t xml:space="preserve"> 65% of</w:t>
      </w:r>
      <w:r>
        <w:t xml:space="preserve"> registered charities have the AIS submission deadline of 31 January and 28% have the deadline of 30 June annually. A small proportion of charities have other due dates due to their reporting period. </w:t>
      </w:r>
    </w:p>
    <w:p w14:paraId="0B5DEA5F" w14:textId="50655986" w:rsidR="002D1494" w:rsidRDefault="005B7BA8" w:rsidP="004C2296">
      <w:r>
        <w:t>Despite the</w:t>
      </w:r>
      <w:r w:rsidDel="00BF3849">
        <w:t xml:space="preserve"> </w:t>
      </w:r>
      <w:r>
        <w:t>benefits of on</w:t>
      </w:r>
      <w:r w:rsidR="00C26062">
        <w:noBreakHyphen/>
      </w:r>
      <w:r>
        <w:t>time submission, a proportion of charities fail to submit their AIS on</w:t>
      </w:r>
      <w:r w:rsidR="00C26062">
        <w:noBreakHyphen/>
      </w:r>
      <w:r>
        <w:t>time. The ACNC aims to have 75% of AIS submitted by the due date. The</w:t>
      </w:r>
      <w:r w:rsidDel="00BF3849">
        <w:t xml:space="preserve"> </w:t>
      </w:r>
      <w:r>
        <w:t>on</w:t>
      </w:r>
      <w:r w:rsidR="00C26062">
        <w:noBreakHyphen/>
      </w:r>
      <w:r>
        <w:t>time submission rate by 31 January was 7</w:t>
      </w:r>
      <w:r w:rsidR="00E20E9C">
        <w:t>3</w:t>
      </w:r>
      <w:r>
        <w:t xml:space="preserve">% in 2023–2024 and 68% in 2022–2023. </w:t>
      </w:r>
      <w:r w:rsidR="00F030BF">
        <w:t xml:space="preserve">There are penalties for submitting an AIS </w:t>
      </w:r>
      <w:r w:rsidR="007D62FE">
        <w:t>late</w:t>
      </w:r>
      <w:r w:rsidR="00F030BF">
        <w:t xml:space="preserve">, including </w:t>
      </w:r>
      <w:r w:rsidR="0054567E" w:rsidRPr="00662885">
        <w:t>administrative penalties, loss of registration, and reputational damage</w:t>
      </w:r>
      <w:r w:rsidR="00E255C1">
        <w:t>,</w:t>
      </w:r>
      <w:r w:rsidR="00BF3849">
        <w:t xml:space="preserve"> which may </w:t>
      </w:r>
      <w:r w:rsidR="0054567E" w:rsidRPr="00662885">
        <w:t>affect a charity</w:t>
      </w:r>
      <w:r w:rsidR="00C26062">
        <w:t>’</w:t>
      </w:r>
      <w:r w:rsidR="0054567E" w:rsidRPr="00662885">
        <w:t>s ability to operate and secure funding.</w:t>
      </w:r>
      <w:r w:rsidR="0054567E">
        <w:t xml:space="preserve"> </w:t>
      </w:r>
    </w:p>
    <w:p w14:paraId="64476DAD" w14:textId="5B8493A0" w:rsidR="001E0D54" w:rsidRDefault="0008161A" w:rsidP="004C2296">
      <w:r>
        <w:t>To support compliance, the ACNC typically sends reminder emails to the charity</w:t>
      </w:r>
      <w:r w:rsidR="00C26062">
        <w:t>’</w:t>
      </w:r>
      <w:r>
        <w:t xml:space="preserve">s </w:t>
      </w:r>
      <w:r w:rsidR="00C26062">
        <w:t>‘</w:t>
      </w:r>
      <w:r w:rsidR="00BF3849">
        <w:t>address for service</w:t>
      </w:r>
      <w:r w:rsidR="00C26062">
        <w:t>’</w:t>
      </w:r>
      <w:r w:rsidR="00BF3849">
        <w:t xml:space="preserve"> email</w:t>
      </w:r>
      <w:r>
        <w:t xml:space="preserve"> address</w:t>
      </w:r>
      <w:r w:rsidR="00357752">
        <w:t xml:space="preserve">. </w:t>
      </w:r>
      <w:r w:rsidR="00BF3849" w:rsidRPr="00BF3849">
        <w:t>A charity</w:t>
      </w:r>
      <w:r w:rsidR="00C26062">
        <w:t>’</w:t>
      </w:r>
      <w:r w:rsidR="00BF3849" w:rsidRPr="00BF3849">
        <w:t xml:space="preserve">s </w:t>
      </w:r>
      <w:r w:rsidR="00B8518B">
        <w:t>A</w:t>
      </w:r>
      <w:r w:rsidR="00BF3849" w:rsidRPr="00BF3849">
        <w:t xml:space="preserve">ddress </w:t>
      </w:r>
      <w:r w:rsidR="006350E3">
        <w:t>f</w:t>
      </w:r>
      <w:r w:rsidR="00BF3849" w:rsidRPr="00BF3849">
        <w:t xml:space="preserve">or </w:t>
      </w:r>
      <w:r w:rsidR="00B8518B">
        <w:t>S</w:t>
      </w:r>
      <w:r w:rsidR="00BF3849" w:rsidRPr="00BF3849">
        <w:t>ervice is the primary address where the ACNC sends all correspondence.</w:t>
      </w:r>
      <w:r w:rsidR="006350E3">
        <w:t xml:space="preserve"> </w:t>
      </w:r>
      <w:r w:rsidR="005E32B7">
        <w:t>However, this email address may not be regularly monitored, and the email may not reach individuals in the charity responsible for submitting the AIS.</w:t>
      </w:r>
    </w:p>
    <w:p w14:paraId="2C40C729" w14:textId="5C1A9282" w:rsidR="002A6787" w:rsidRDefault="00422FF1" w:rsidP="000564D0">
      <w:r>
        <w:t xml:space="preserve">This evaluation was designed to test whether an additional email reminder </w:t>
      </w:r>
      <w:r w:rsidR="001934BC">
        <w:t>–</w:t>
      </w:r>
      <w:r>
        <w:t xml:space="preserve"> sent directly to </w:t>
      </w:r>
      <w:r w:rsidR="00357752">
        <w:t xml:space="preserve">a </w:t>
      </w:r>
      <w:r>
        <w:t>Responsible Person</w:t>
      </w:r>
      <w:r w:rsidR="00372AA0">
        <w:t xml:space="preserve"> </w:t>
      </w:r>
      <w:r>
        <w:t>– could improve on</w:t>
      </w:r>
      <w:r w:rsidR="00C26062">
        <w:noBreakHyphen/>
      </w:r>
      <w:r>
        <w:t>time submission rates</w:t>
      </w:r>
      <w:r w:rsidR="00357752">
        <w:t xml:space="preserve"> of a charity</w:t>
      </w:r>
      <w:r w:rsidR="00C26062">
        <w:t>’</w:t>
      </w:r>
      <w:r w:rsidR="00357752">
        <w:t>s AIS</w:t>
      </w:r>
      <w:r>
        <w:t xml:space="preserve">. </w:t>
      </w:r>
      <w:r w:rsidR="001104B9">
        <w:t xml:space="preserve">The </w:t>
      </w:r>
      <w:r w:rsidR="00124C57">
        <w:t xml:space="preserve">ACNC selected the </w:t>
      </w:r>
      <w:r w:rsidR="001104B9">
        <w:t xml:space="preserve">Responsible Person based on a </w:t>
      </w:r>
      <w:r w:rsidR="00B146CD">
        <w:t xml:space="preserve">set </w:t>
      </w:r>
      <w:r w:rsidR="001104B9">
        <w:t>order of position titles, prioritising the role most likely to submit the AIS</w:t>
      </w:r>
      <w:r w:rsidR="00B364B9">
        <w:t xml:space="preserve">, </w:t>
      </w:r>
      <w:r w:rsidR="00124C57">
        <w:t>starting with Treasurer, then Secretary, Director, and so on (see</w:t>
      </w:r>
      <w:r w:rsidR="001728B8">
        <w:t> </w:t>
      </w:r>
      <w:r w:rsidR="00124C57">
        <w:t>Appendix B</w:t>
      </w:r>
      <w:r w:rsidR="001728B8">
        <w:t> </w:t>
      </w:r>
      <w:r w:rsidR="00124C57">
        <w:t>for</w:t>
      </w:r>
      <w:r w:rsidR="001728B8">
        <w:t> </w:t>
      </w:r>
      <w:r w:rsidR="00124C57">
        <w:t>details).</w:t>
      </w:r>
      <w:r w:rsidR="002A6787">
        <w:br w:type="page"/>
      </w:r>
    </w:p>
    <w:p w14:paraId="2322C6AC" w14:textId="68F384A0" w:rsidR="003E5A7A" w:rsidRDefault="005769B7" w:rsidP="00D256CA">
      <w:pPr>
        <w:pStyle w:val="Heading1Numbered"/>
      </w:pPr>
      <w:r>
        <w:lastRenderedPageBreak/>
        <w:t xml:space="preserve"> </w:t>
      </w:r>
      <w:bookmarkStart w:id="16" w:name="_Toc197603333"/>
      <w:bookmarkStart w:id="17" w:name="_Toc207712023"/>
      <w:r w:rsidR="00022196" w:rsidRPr="00D256CA">
        <w:t>Evaluation</w:t>
      </w:r>
      <w:r w:rsidR="00022196">
        <w:t xml:space="preserve"> design</w:t>
      </w:r>
      <w:r w:rsidR="0060758C">
        <w:t xml:space="preserve"> and </w:t>
      </w:r>
      <w:r w:rsidR="00022196">
        <w:t>implementation</w:t>
      </w:r>
      <w:bookmarkEnd w:id="16"/>
      <w:bookmarkEnd w:id="17"/>
    </w:p>
    <w:p w14:paraId="60DDC140" w14:textId="67EDE2E6" w:rsidR="00226747" w:rsidRPr="00226747" w:rsidRDefault="00226747" w:rsidP="00297D41">
      <w:r w:rsidRPr="00226747">
        <w:t>This section outlines how the trial was designed and implemented, including the randomisation process, timing of the intervention, and key operational considerations.</w:t>
      </w:r>
    </w:p>
    <w:p w14:paraId="085D693A" w14:textId="194414BF" w:rsidR="006C5EDF" w:rsidRDefault="00770272" w:rsidP="006C5EDF">
      <w:pPr>
        <w:pStyle w:val="Heading2"/>
      </w:pPr>
      <w:bookmarkStart w:id="18" w:name="_Toc197603334"/>
      <w:bookmarkStart w:id="19" w:name="_Toc207712024"/>
      <w:r>
        <w:t>Summary of design</w:t>
      </w:r>
      <w:bookmarkEnd w:id="18"/>
      <w:bookmarkEnd w:id="19"/>
    </w:p>
    <w:p w14:paraId="3B651A4D" w14:textId="1F607D5C" w:rsidR="007D4C68" w:rsidRDefault="007D4C68" w:rsidP="000A27D7">
      <w:r>
        <w:t>This</w:t>
      </w:r>
      <w:r w:rsidR="002A6787">
        <w:t xml:space="preserve"> </w:t>
      </w:r>
      <w:r w:rsidR="0080138B">
        <w:t>evaluation</w:t>
      </w:r>
      <w:r w:rsidR="002A6787">
        <w:t xml:space="preserve"> </w:t>
      </w:r>
      <w:r w:rsidR="0080138B">
        <w:t>use</w:t>
      </w:r>
      <w:r w:rsidR="00A945E5">
        <w:t>d a</w:t>
      </w:r>
      <w:r w:rsidR="0080138B">
        <w:t xml:space="preserve"> randomised trial to </w:t>
      </w:r>
      <w:r w:rsidR="00500C1F">
        <w:t>test the effectiveness of a</w:t>
      </w:r>
      <w:r w:rsidR="001C049D">
        <w:t xml:space="preserve">n additional </w:t>
      </w:r>
      <w:r w:rsidR="00500C1F">
        <w:t>email reminder</w:t>
      </w:r>
      <w:r w:rsidR="001C049D">
        <w:t>, sent</w:t>
      </w:r>
      <w:r w:rsidR="00500C1F">
        <w:t xml:space="preserve"> </w:t>
      </w:r>
      <w:r>
        <w:t>to a designated Respons</w:t>
      </w:r>
      <w:r w:rsidR="001C049D">
        <w:t>ible</w:t>
      </w:r>
      <w:r>
        <w:t xml:space="preserve"> Person (RP)</w:t>
      </w:r>
      <w:r w:rsidR="001C049D">
        <w:t>,</w:t>
      </w:r>
      <w:r>
        <w:t xml:space="preserve"> </w:t>
      </w:r>
      <w:r w:rsidR="00500C1F">
        <w:t xml:space="preserve">in improving the timely submission of </w:t>
      </w:r>
      <w:r w:rsidR="00F97BEA">
        <w:t>a charity</w:t>
      </w:r>
      <w:r w:rsidR="00C26062">
        <w:t>’</w:t>
      </w:r>
      <w:r w:rsidR="00F97BEA">
        <w:t xml:space="preserve">s </w:t>
      </w:r>
      <w:r w:rsidR="00500C1F">
        <w:t>AIS</w:t>
      </w:r>
      <w:r w:rsidR="00122174">
        <w:t>.</w:t>
      </w:r>
    </w:p>
    <w:p w14:paraId="4F8062C7" w14:textId="31B75489" w:rsidR="002D572B" w:rsidRDefault="00A441F3" w:rsidP="000A27D7">
      <w:r>
        <w:t>C</w:t>
      </w:r>
      <w:r w:rsidRPr="0073179C">
        <w:t xml:space="preserve">harities </w:t>
      </w:r>
      <w:r w:rsidR="00FF0E62" w:rsidRPr="0073179C">
        <w:t>that ha</w:t>
      </w:r>
      <w:r w:rsidR="008738EC" w:rsidRPr="0073179C">
        <w:t>d</w:t>
      </w:r>
      <w:r w:rsidR="00FF0E62" w:rsidRPr="0073179C">
        <w:t xml:space="preserve"> not submitted their </w:t>
      </w:r>
      <w:r w:rsidR="00C46A3B" w:rsidRPr="0073179C">
        <w:t>Annual Information Statement (</w:t>
      </w:r>
      <w:r w:rsidR="00FF0E62" w:rsidRPr="0073179C">
        <w:t>AIS</w:t>
      </w:r>
      <w:r w:rsidR="00C46A3B" w:rsidRPr="0073179C">
        <w:t>)</w:t>
      </w:r>
      <w:r w:rsidR="00FF0E62" w:rsidRPr="0073179C">
        <w:t xml:space="preserve"> by </w:t>
      </w:r>
      <w:r w:rsidR="008A0471" w:rsidRPr="0073179C">
        <w:t xml:space="preserve">the date the email reminder was sent </w:t>
      </w:r>
      <w:r w:rsidR="00410055">
        <w:t xml:space="preserve">– </w:t>
      </w:r>
      <w:r w:rsidR="00FF0E62" w:rsidRPr="0073179C">
        <w:t>and d</w:t>
      </w:r>
      <w:r w:rsidR="008738EC" w:rsidRPr="0073179C">
        <w:t>id</w:t>
      </w:r>
      <w:r w:rsidR="00FF0E62" w:rsidRPr="0073179C">
        <w:t xml:space="preserve"> not meet any other exclusion criteria</w:t>
      </w:r>
      <w:r w:rsidR="007D4C68" w:rsidRPr="0073179C">
        <w:t xml:space="preserve"> </w:t>
      </w:r>
      <w:r w:rsidR="00410055">
        <w:t xml:space="preserve">– </w:t>
      </w:r>
      <w:r w:rsidR="003258FF" w:rsidRPr="0073179C">
        <w:t>were</w:t>
      </w:r>
      <w:r w:rsidR="00FF0E62" w:rsidRPr="0073179C">
        <w:t xml:space="preserve"> </w:t>
      </w:r>
      <w:r w:rsidR="00E5460E" w:rsidRPr="0073179C">
        <w:t xml:space="preserve">included in the </w:t>
      </w:r>
      <w:r w:rsidR="00856029">
        <w:t>trial</w:t>
      </w:r>
      <w:r w:rsidR="324CEF82" w:rsidRPr="0073179C">
        <w:t>.</w:t>
      </w:r>
      <w:r w:rsidR="00E5460E" w:rsidRPr="0073179C">
        <w:t xml:space="preserve"> All charities in the trial were sent </w:t>
      </w:r>
      <w:r w:rsidR="00FF0E62" w:rsidRPr="0073179C">
        <w:t xml:space="preserve">a second </w:t>
      </w:r>
      <w:r w:rsidR="00AE433E" w:rsidRPr="0073179C">
        <w:t xml:space="preserve">email </w:t>
      </w:r>
      <w:r w:rsidR="00FF0E62" w:rsidRPr="0073179C">
        <w:t xml:space="preserve">reminder </w:t>
      </w:r>
      <w:r w:rsidR="003A4C58" w:rsidRPr="0073179C">
        <w:t>ahead of</w:t>
      </w:r>
      <w:r w:rsidR="00FF0E62" w:rsidRPr="0073179C">
        <w:t xml:space="preserve"> the 31 January</w:t>
      </w:r>
      <w:r w:rsidR="001E74F4" w:rsidRPr="0073179C">
        <w:t> </w:t>
      </w:r>
      <w:r w:rsidR="00FF0E62" w:rsidRPr="0073179C">
        <w:t>2025 deadline (all charities</w:t>
      </w:r>
      <w:r w:rsidR="00FF0E62">
        <w:t xml:space="preserve"> receive the first reminder 2</w:t>
      </w:r>
      <w:r w:rsidR="00C26062">
        <w:noBreakHyphen/>
      </w:r>
      <w:r w:rsidR="00FF0E62">
        <w:t>3 months before the due date)</w:t>
      </w:r>
      <w:r w:rsidR="00AE433E">
        <w:t>, per business</w:t>
      </w:r>
      <w:r w:rsidR="00C26062">
        <w:noBreakHyphen/>
      </w:r>
      <w:r w:rsidR="00AE433E">
        <w:t>as</w:t>
      </w:r>
      <w:r w:rsidR="00C26062">
        <w:noBreakHyphen/>
      </w:r>
      <w:r w:rsidR="00AE433E">
        <w:t>usual processes</w:t>
      </w:r>
      <w:r w:rsidR="00FF0E62">
        <w:t xml:space="preserve">. If the charity </w:t>
      </w:r>
      <w:r w:rsidR="00870101">
        <w:t>wa</w:t>
      </w:r>
      <w:r w:rsidR="00FF0E62">
        <w:t>s randomised to the treatment group, the</w:t>
      </w:r>
      <w:r w:rsidR="00E5460E">
        <w:t xml:space="preserve"> charity also received an </w:t>
      </w:r>
      <w:r w:rsidR="000F6794">
        <w:t xml:space="preserve">additional </w:t>
      </w:r>
      <w:r w:rsidR="00FF0E62">
        <w:t>email</w:t>
      </w:r>
      <w:r w:rsidR="00E5460E">
        <w:t xml:space="preserve"> </w:t>
      </w:r>
      <w:r w:rsidR="000F6794">
        <w:t>as part of the second reminder</w:t>
      </w:r>
      <w:r w:rsidR="00E5460E">
        <w:t xml:space="preserve"> regarding the AIS submission deadline</w:t>
      </w:r>
      <w:r w:rsidR="00AE433E">
        <w:t>, sent</w:t>
      </w:r>
      <w:r w:rsidR="00FF0E62">
        <w:t xml:space="preserve"> to a </w:t>
      </w:r>
      <w:r w:rsidR="00E5460E">
        <w:t>RP</w:t>
      </w:r>
      <w:r w:rsidR="00FF0E62">
        <w:t xml:space="preserve"> for the charity</w:t>
      </w:r>
      <w:r w:rsidR="003D7E9E">
        <w:t xml:space="preserve">, in addition to the </w:t>
      </w:r>
      <w:r w:rsidR="00DC48C8">
        <w:t xml:space="preserve">reminder </w:t>
      </w:r>
      <w:r w:rsidR="003D7E9E">
        <w:t xml:space="preserve">email sent to the </w:t>
      </w:r>
      <w:r w:rsidR="00DC48C8">
        <w:t>main contact email address</w:t>
      </w:r>
      <w:r w:rsidR="00FF0E62">
        <w:t>.</w:t>
      </w:r>
    </w:p>
    <w:p w14:paraId="11BB7AEF" w14:textId="77777777" w:rsidR="00E5359D" w:rsidRDefault="00E5359D" w:rsidP="00E5359D">
      <w:pPr>
        <w:pStyle w:val="NoSpacing"/>
      </w:pPr>
    </w:p>
    <w:tbl>
      <w:tblPr>
        <w:tblW w:w="5000" w:type="pct"/>
        <w:shd w:val="clear" w:color="auto" w:fill="EEEEEE" w:themeFill="background2"/>
        <w:tblCellMar>
          <w:top w:w="227" w:type="dxa"/>
          <w:left w:w="227" w:type="dxa"/>
          <w:bottom w:w="227" w:type="dxa"/>
          <w:right w:w="227" w:type="dxa"/>
        </w:tblCellMar>
        <w:tblLook w:val="01E0" w:firstRow="1" w:lastRow="1" w:firstColumn="1" w:lastColumn="1" w:noHBand="0" w:noVBand="0"/>
      </w:tblPr>
      <w:tblGrid>
        <w:gridCol w:w="9072"/>
      </w:tblGrid>
      <w:tr w:rsidR="00E5359D" w14:paraId="165CCC72" w14:textId="77777777" w:rsidTr="003A405A">
        <w:tc>
          <w:tcPr>
            <w:tcW w:w="5000" w:type="pct"/>
            <w:shd w:val="clear" w:color="auto" w:fill="EEEEEE" w:themeFill="background2"/>
          </w:tcPr>
          <w:p w14:paraId="0658C3D1" w14:textId="04C2EB6A" w:rsidR="00E5359D" w:rsidRPr="00E5359D" w:rsidRDefault="00E5359D" w:rsidP="00E5359D">
            <w:pPr>
              <w:pStyle w:val="BoxText"/>
              <w:rPr>
                <w:b/>
                <w:bCs/>
                <w:i/>
                <w:iCs/>
              </w:rPr>
            </w:pPr>
            <w:bookmarkStart w:id="20" w:name="_Hlk207361452"/>
            <w:r w:rsidRPr="00E5359D">
              <w:rPr>
                <w:b/>
                <w:bCs/>
                <w:i/>
                <w:iCs/>
              </w:rPr>
              <w:t>Key evaluation question: Does sending an additional email reminder to a charity</w:t>
            </w:r>
            <w:r w:rsidR="00C26062">
              <w:rPr>
                <w:b/>
                <w:bCs/>
                <w:i/>
                <w:iCs/>
              </w:rPr>
              <w:t>’</w:t>
            </w:r>
            <w:r w:rsidRPr="00E5359D">
              <w:rPr>
                <w:b/>
                <w:bCs/>
                <w:i/>
                <w:iCs/>
              </w:rPr>
              <w:t>s Responsible Person increase the likelihood that a charity submits its AIS on</w:t>
            </w:r>
            <w:r w:rsidR="00C26062">
              <w:rPr>
                <w:b/>
                <w:bCs/>
                <w:i/>
                <w:iCs/>
              </w:rPr>
              <w:noBreakHyphen/>
            </w:r>
            <w:r w:rsidRPr="00E5359D">
              <w:rPr>
                <w:b/>
                <w:bCs/>
                <w:i/>
                <w:iCs/>
              </w:rPr>
              <w:t>time?</w:t>
            </w:r>
          </w:p>
        </w:tc>
      </w:tr>
    </w:tbl>
    <w:p w14:paraId="2C46EEBE" w14:textId="61097072" w:rsidR="00BA203D" w:rsidRDefault="00BA203D">
      <w:pPr>
        <w:pStyle w:val="Heading2"/>
      </w:pPr>
      <w:bookmarkStart w:id="21" w:name="_Toc197603335"/>
      <w:bookmarkStart w:id="22" w:name="_Toc207712025"/>
      <w:bookmarkEnd w:id="20"/>
      <w:r w:rsidRPr="00BA203D">
        <w:t>Implementation</w:t>
      </w:r>
      <w:bookmarkEnd w:id="21"/>
      <w:bookmarkEnd w:id="22"/>
    </w:p>
    <w:p w14:paraId="61AD4705" w14:textId="24EB67B3" w:rsidR="00E5318A" w:rsidRPr="00D95829" w:rsidRDefault="00CC042D" w:rsidP="000A27D7">
      <w:r>
        <w:t>A</w:t>
      </w:r>
      <w:r w:rsidR="00D95829" w:rsidRPr="00D95829">
        <w:t xml:space="preserve"> total of 15,000 charities that had not submitted their AIS as of </w:t>
      </w:r>
      <w:r w:rsidR="00BC7BD1">
        <w:t>3</w:t>
      </w:r>
      <w:r w:rsidR="00FC0555">
        <w:t> </w:t>
      </w:r>
      <w:r w:rsidR="00D95829" w:rsidRPr="00D95829">
        <w:t>January</w:t>
      </w:r>
      <w:r w:rsidR="00A071FE">
        <w:t> 2025</w:t>
      </w:r>
      <w:r w:rsidDel="00A071FE">
        <w:t xml:space="preserve"> </w:t>
      </w:r>
      <w:r>
        <w:t>were included in this RCT</w:t>
      </w:r>
      <w:r w:rsidR="00D95829" w:rsidRPr="00D95829">
        <w:t>.</w:t>
      </w:r>
      <w:r w:rsidR="00B97533" w:rsidRPr="00CC7F9E">
        <w:rPr>
          <w:rStyle w:val="FootnoteReference"/>
          <w:vertAlign w:val="superscript"/>
        </w:rPr>
        <w:footnoteReference w:id="2"/>
      </w:r>
      <w:r w:rsidR="00D95829" w:rsidRPr="00CC7F9E">
        <w:rPr>
          <w:vertAlign w:val="superscript"/>
        </w:rPr>
        <w:t xml:space="preserve"> </w:t>
      </w:r>
      <w:r w:rsidR="00D95829" w:rsidRPr="00D95829">
        <w:t xml:space="preserve">On this date, the full </w:t>
      </w:r>
      <w:r w:rsidR="007D4C68">
        <w:t>number of charities</w:t>
      </w:r>
      <w:r w:rsidR="007D4C68" w:rsidRPr="00D95829">
        <w:t xml:space="preserve"> </w:t>
      </w:r>
      <w:r w:rsidR="00D95829" w:rsidRPr="00D95829">
        <w:t xml:space="preserve">was finalised and randomly assigned into </w:t>
      </w:r>
      <w:r w:rsidR="00075B20">
        <w:t>2</w:t>
      </w:r>
      <w:r w:rsidR="00075B20" w:rsidRPr="00D95829">
        <w:t xml:space="preserve"> </w:t>
      </w:r>
      <w:r w:rsidR="00D95829" w:rsidRPr="00D95829">
        <w:t>groups:</w:t>
      </w:r>
    </w:p>
    <w:p w14:paraId="7E744C4C" w14:textId="5A1D4FFD" w:rsidR="00D95829" w:rsidRPr="00D256CA" w:rsidRDefault="00D95829" w:rsidP="00E5318A">
      <w:pPr>
        <w:pStyle w:val="Bullet"/>
      </w:pPr>
      <w:r w:rsidRPr="00D256CA">
        <w:t>Treatment group (7,500 charities): Received both the standard reminder email to the charity</w:t>
      </w:r>
      <w:r w:rsidR="00C26062">
        <w:t>’</w:t>
      </w:r>
      <w:r w:rsidRPr="00D256CA">
        <w:t xml:space="preserve">s main contact and an additional email to the </w:t>
      </w:r>
      <w:r w:rsidR="007D4C68" w:rsidRPr="00D256CA">
        <w:t>RP</w:t>
      </w:r>
    </w:p>
    <w:p w14:paraId="5155A997" w14:textId="5B0AB39C" w:rsidR="00D95829" w:rsidRPr="00D256CA" w:rsidRDefault="00D95829" w:rsidP="00E5318A">
      <w:pPr>
        <w:pStyle w:val="Bullet"/>
      </w:pPr>
      <w:r w:rsidRPr="00D256CA">
        <w:t>Control group (7,500 charities): Received only the standard reminder email sent to the charity</w:t>
      </w:r>
      <w:r w:rsidR="00C26062">
        <w:t>’</w:t>
      </w:r>
      <w:r w:rsidRPr="00D256CA">
        <w:t>s main contact, as per usual practice</w:t>
      </w:r>
      <w:r w:rsidR="00EF7515" w:rsidRPr="00D256CA">
        <w:t xml:space="preserve"> of the ACNC</w:t>
      </w:r>
      <w:r w:rsidRPr="00D256CA">
        <w:t>.</w:t>
      </w:r>
    </w:p>
    <w:p w14:paraId="738BA713" w14:textId="7EC07F88" w:rsidR="00555B08" w:rsidRDefault="00555B08" w:rsidP="000A27D7">
      <w:r w:rsidRPr="00555B08">
        <w:t xml:space="preserve">Charities that met at least one of the </w:t>
      </w:r>
      <w:r w:rsidR="00854C5F">
        <w:t xml:space="preserve">following </w:t>
      </w:r>
      <w:r w:rsidRPr="00555B08">
        <w:t>exclusion criteria were excluded from the trial: charities with a</w:t>
      </w:r>
      <w:r w:rsidR="001D0B0F">
        <w:t xml:space="preserve">n </w:t>
      </w:r>
      <w:r w:rsidR="007F7028">
        <w:t>in</w:t>
      </w:r>
      <w:r w:rsidRPr="00555B08">
        <w:t>valid/blank Responsible Person contact email</w:t>
      </w:r>
      <w:r w:rsidR="00CB22BC">
        <w:t>;</w:t>
      </w:r>
      <w:r w:rsidRPr="00555B08">
        <w:t xml:space="preserve"> charities that were exempt from submission</w:t>
      </w:r>
      <w:r w:rsidR="00CB22BC">
        <w:t>;</w:t>
      </w:r>
      <w:r w:rsidRPr="00555B08">
        <w:t xml:space="preserve"> charities that submitted paper, bulk or group versions of the AIS</w:t>
      </w:r>
      <w:r w:rsidR="00CB22BC">
        <w:t>;</w:t>
      </w:r>
      <w:r w:rsidRPr="00555B08">
        <w:t xml:space="preserve"> charities that reported by calendar year</w:t>
      </w:r>
      <w:r w:rsidR="00CB22BC">
        <w:t>;</w:t>
      </w:r>
      <w:r w:rsidRPr="00555B08">
        <w:t xml:space="preserve"> and charities that still had outstanding AIS</w:t>
      </w:r>
      <w:r w:rsidR="00457CC3">
        <w:t xml:space="preserve"> submissions from previous years.</w:t>
      </w:r>
    </w:p>
    <w:p w14:paraId="68EF59DC" w14:textId="5874A014" w:rsidR="00D95829" w:rsidRPr="00D95829" w:rsidRDefault="009262FF" w:rsidP="000A27D7">
      <w:r>
        <w:t>The ACE conducted the ra</w:t>
      </w:r>
      <w:r w:rsidR="00D95829" w:rsidRPr="00D95829">
        <w:t xml:space="preserve">ndomisation on </w:t>
      </w:r>
      <w:r w:rsidR="00BC7BD1">
        <w:t>3</w:t>
      </w:r>
      <w:r w:rsidR="00302652">
        <w:t> </w:t>
      </w:r>
      <w:r w:rsidR="00D95829" w:rsidRPr="00D95829">
        <w:t>January using a stratified approach</w:t>
      </w:r>
      <w:r w:rsidR="00BE115F">
        <w:t xml:space="preserve">, with </w:t>
      </w:r>
      <w:r>
        <w:t>a</w:t>
      </w:r>
      <w:r w:rsidR="00CC042D">
        <w:t xml:space="preserve"> randomly generated</w:t>
      </w:r>
      <w:r w:rsidR="00D95829" w:rsidRPr="00D95829">
        <w:t xml:space="preserve"> </w:t>
      </w:r>
      <w:r w:rsidR="00C26062">
        <w:t>‘</w:t>
      </w:r>
      <w:r w:rsidR="00616DE6">
        <w:t>batch number</w:t>
      </w:r>
      <w:r w:rsidR="00C26062">
        <w:t>’</w:t>
      </w:r>
      <w:r w:rsidR="00CC042D">
        <w:t xml:space="preserve"> for each charity</w:t>
      </w:r>
      <w:r w:rsidR="00BE115F">
        <w:t xml:space="preserve"> serving as the stratification variable</w:t>
      </w:r>
      <w:r w:rsidR="00616DE6">
        <w:t xml:space="preserve">. </w:t>
      </w:r>
      <w:r w:rsidR="0091327A">
        <w:t xml:space="preserve">A batch number was used due to </w:t>
      </w:r>
      <w:r w:rsidR="00F35A21">
        <w:t xml:space="preserve">the </w:t>
      </w:r>
      <w:r w:rsidR="0091327A">
        <w:t>ACNC</w:t>
      </w:r>
      <w:r w:rsidR="00C26062">
        <w:t>’</w:t>
      </w:r>
      <w:r w:rsidR="0091327A">
        <w:t>s operational requirement to send the reminder emails in small</w:t>
      </w:r>
      <w:r w:rsidR="00EE7B4A">
        <w:t>er</w:t>
      </w:r>
      <w:r w:rsidR="0091327A">
        <w:t xml:space="preserve"> daily batches. Thus, the </w:t>
      </w:r>
      <w:r w:rsidR="00616DE6">
        <w:t xml:space="preserve">batch number </w:t>
      </w:r>
      <w:r w:rsidR="00D95829" w:rsidRPr="00D95829">
        <w:t xml:space="preserve">corresponded to the date each charity was scheduled to receive </w:t>
      </w:r>
      <w:r w:rsidR="005422B5">
        <w:t>their additional reminder</w:t>
      </w:r>
      <w:r w:rsidR="00D95829" w:rsidRPr="00D95829">
        <w:t xml:space="preserve"> email</w:t>
      </w:r>
      <w:r w:rsidR="005422B5">
        <w:t>s</w:t>
      </w:r>
      <w:r w:rsidR="00D95829" w:rsidRPr="00D95829">
        <w:t xml:space="preserve">. This method ensured even allocation across the treatment and control groups </w:t>
      </w:r>
      <w:r w:rsidR="00A73C38">
        <w:t>on each send date</w:t>
      </w:r>
      <w:r w:rsidR="00D95829" w:rsidRPr="00D95829">
        <w:t>.</w:t>
      </w:r>
    </w:p>
    <w:p w14:paraId="305BD131" w14:textId="1E7B2197" w:rsidR="00F573CC" w:rsidRDefault="006818B7" w:rsidP="000A27D7">
      <w:r>
        <w:lastRenderedPageBreak/>
        <w:t>The ACNC sent reminder e</w:t>
      </w:r>
      <w:r w:rsidR="00D95829" w:rsidRPr="00D95829">
        <w:t>mails from 7 to 17</w:t>
      </w:r>
      <w:r w:rsidR="001E74F4">
        <w:t> </w:t>
      </w:r>
      <w:r w:rsidR="00D95829" w:rsidRPr="00D95829">
        <w:t>January</w:t>
      </w:r>
      <w:r w:rsidR="001E74F4">
        <w:t> </w:t>
      </w:r>
      <w:r w:rsidR="006A0C1C">
        <w:t>2025</w:t>
      </w:r>
      <w:r w:rsidR="0091327A">
        <w:t xml:space="preserve">, </w:t>
      </w:r>
      <w:r w:rsidR="006F7A9A">
        <w:t xml:space="preserve">typically </w:t>
      </w:r>
      <w:r w:rsidR="00F525E1">
        <w:t>sending</w:t>
      </w:r>
      <w:r w:rsidR="0091327A">
        <w:t xml:space="preserve"> </w:t>
      </w:r>
      <w:r w:rsidR="00075B20">
        <w:t xml:space="preserve">2 </w:t>
      </w:r>
      <w:r w:rsidR="0091327A">
        <w:t>batches</w:t>
      </w:r>
      <w:r w:rsidR="00386F3A">
        <w:t xml:space="preserve"> of 1,000</w:t>
      </w:r>
      <w:r w:rsidR="00406802">
        <w:t> </w:t>
      </w:r>
      <w:r w:rsidR="00F525E1">
        <w:t>charities each</w:t>
      </w:r>
      <w:r w:rsidR="0091327A">
        <w:t xml:space="preserve"> per business day</w:t>
      </w:r>
      <w:r w:rsidR="00D95829" w:rsidRPr="00D95829">
        <w:t>.</w:t>
      </w:r>
      <w:r w:rsidR="00A7789B" w:rsidRPr="00EF7515">
        <w:rPr>
          <w:rStyle w:val="FootnoteReference"/>
          <w:vertAlign w:val="superscript"/>
        </w:rPr>
        <w:footnoteReference w:id="3"/>
      </w:r>
      <w:r w:rsidR="00D95829" w:rsidRPr="00D95829">
        <w:t xml:space="preserve"> </w:t>
      </w:r>
    </w:p>
    <w:p w14:paraId="2EB2F3B5" w14:textId="396F3ED3" w:rsidR="00A41015" w:rsidRDefault="00D95829" w:rsidP="000A27D7">
      <w:r w:rsidRPr="00D95829">
        <w:t xml:space="preserve">This batching approach was necessary to accommodate </w:t>
      </w:r>
      <w:r w:rsidR="00E31FFE">
        <w:t xml:space="preserve">the </w:t>
      </w:r>
      <w:r w:rsidRPr="00D95829">
        <w:t>ACNC</w:t>
      </w:r>
      <w:r w:rsidR="00C26062">
        <w:t>’</w:t>
      </w:r>
      <w:r w:rsidRPr="00D95829">
        <w:t>s system capacity</w:t>
      </w:r>
      <w:r w:rsidR="0091327A">
        <w:t>,</w:t>
      </w:r>
      <w:r w:rsidR="00386F3A">
        <w:t xml:space="preserve"> </w:t>
      </w:r>
      <w:r w:rsidRPr="00D95829">
        <w:t>ensure reliable delivery</w:t>
      </w:r>
      <w:r w:rsidR="00517997">
        <w:t xml:space="preserve"> of the emails</w:t>
      </w:r>
      <w:r w:rsidR="0091327A">
        <w:t xml:space="preserve">, and enable </w:t>
      </w:r>
      <w:r w:rsidR="00386F3A">
        <w:t>support services to cater to charity enquiries</w:t>
      </w:r>
      <w:r w:rsidRPr="00D95829">
        <w:t>.</w:t>
      </w:r>
      <w:r w:rsidR="00A41015" w:rsidRPr="00A41015">
        <w:t xml:space="preserve"> </w:t>
      </w:r>
    </w:p>
    <w:p w14:paraId="41573A78" w14:textId="0D40CFF4" w:rsidR="00D95829" w:rsidRDefault="00A41015" w:rsidP="000A27D7">
      <w:r>
        <w:t>The RP was selected based on hierarchical criteria developed by the ACNC reflecting how likely the individual was to be involved in submitting the AIS. The exact criteria can be found in Appendix</w:t>
      </w:r>
      <w:r w:rsidR="0016193D">
        <w:t> </w:t>
      </w:r>
      <w:r>
        <w:t>B.</w:t>
      </w:r>
      <w:r w:rsidR="00386F3A">
        <w:t xml:space="preserve"> The business</w:t>
      </w:r>
      <w:r w:rsidR="00C26062">
        <w:noBreakHyphen/>
      </w:r>
      <w:r w:rsidR="00386F3A">
        <w:t>as</w:t>
      </w:r>
      <w:r w:rsidR="00C26062">
        <w:noBreakHyphen/>
      </w:r>
      <w:r w:rsidR="00386F3A">
        <w:t>usual email was sent to each charity</w:t>
      </w:r>
      <w:r w:rsidR="00C26062">
        <w:t>’</w:t>
      </w:r>
      <w:r w:rsidR="00386F3A">
        <w:t xml:space="preserve">s </w:t>
      </w:r>
      <w:r w:rsidR="00616AA9">
        <w:t>A</w:t>
      </w:r>
      <w:r w:rsidR="00F94E9C">
        <w:t xml:space="preserve">ddress for </w:t>
      </w:r>
      <w:r w:rsidR="00616AA9">
        <w:t>S</w:t>
      </w:r>
      <w:r w:rsidR="00F94E9C">
        <w:t>ervice</w:t>
      </w:r>
      <w:r w:rsidR="00386F3A">
        <w:t xml:space="preserve"> email.</w:t>
      </w:r>
    </w:p>
    <w:p w14:paraId="1900CE84" w14:textId="456C8BE2" w:rsidR="00C104C2" w:rsidRDefault="00256DEF" w:rsidP="000A27D7">
      <w:r w:rsidRPr="002D3EBE">
        <w:t xml:space="preserve">The primary outcome of interest </w:t>
      </w:r>
      <w:r w:rsidRPr="001B3432">
        <w:t>was</w:t>
      </w:r>
      <w:r w:rsidRPr="002D3EBE">
        <w:t xml:space="preserve"> </w:t>
      </w:r>
      <w:r w:rsidR="000B5E14">
        <w:t xml:space="preserve">a binary variable for </w:t>
      </w:r>
      <w:r w:rsidRPr="002D3EBE">
        <w:t xml:space="preserve">whether a charity submitted its </w:t>
      </w:r>
      <w:r>
        <w:t>AIS</w:t>
      </w:r>
      <w:r w:rsidRPr="00DF4206">
        <w:t xml:space="preserve"> on</w:t>
      </w:r>
      <w:r w:rsidR="00C26062">
        <w:noBreakHyphen/>
      </w:r>
      <w:r w:rsidRPr="00DF4206">
        <w:t>time</w:t>
      </w:r>
      <w:r w:rsidR="00F94E9C">
        <w:t xml:space="preserve">, </w:t>
      </w:r>
      <w:r w:rsidRPr="001B3432">
        <w:t xml:space="preserve">defined as submission </w:t>
      </w:r>
      <w:r w:rsidRPr="00DF4206">
        <w:t xml:space="preserve">on or before </w:t>
      </w:r>
      <w:r w:rsidRPr="001B3432">
        <w:t>31</w:t>
      </w:r>
      <w:r w:rsidRPr="00DF4206">
        <w:t xml:space="preserve"> January</w:t>
      </w:r>
      <w:r>
        <w:t xml:space="preserve"> 2025</w:t>
      </w:r>
      <w:r w:rsidRPr="00DF4206" w:rsidDel="00B5140E">
        <w:t xml:space="preserve">. </w:t>
      </w:r>
      <w:r w:rsidR="00C104C2" w:rsidRPr="00D57196">
        <w:t>Th</w:t>
      </w:r>
      <w:r w:rsidR="00393C94">
        <w:t>e</w:t>
      </w:r>
      <w:r w:rsidR="00C104C2" w:rsidRPr="00D57196">
        <w:t xml:space="preserve"> </w:t>
      </w:r>
      <w:r w:rsidR="000D53C7">
        <w:t xml:space="preserve">primary </w:t>
      </w:r>
      <w:r w:rsidR="00C104C2" w:rsidRPr="00D57196">
        <w:t xml:space="preserve">analysis </w:t>
      </w:r>
      <w:r w:rsidR="00AA5E35">
        <w:t xml:space="preserve">used </w:t>
      </w:r>
      <w:r w:rsidR="00C104C2" w:rsidRPr="00D57196">
        <w:t>a linear probability model</w:t>
      </w:r>
      <w:r w:rsidR="00087F2F">
        <w:t xml:space="preserve">, with </w:t>
      </w:r>
      <w:r w:rsidR="00C104C2" w:rsidRPr="0088174A">
        <w:t>robust</w:t>
      </w:r>
      <w:r w:rsidR="00087F2F">
        <w:t xml:space="preserve">ness checks for </w:t>
      </w:r>
      <w:r w:rsidR="00C104C2" w:rsidRPr="0088174A">
        <w:t>different model specifications and data settings</w:t>
      </w:r>
      <w:r w:rsidR="00087F2F">
        <w:t>.</w:t>
      </w:r>
    </w:p>
    <w:p w14:paraId="40576259" w14:textId="10639E03" w:rsidR="00BF3ECC" w:rsidRDefault="00BF3ECC" w:rsidP="000A27D7">
      <w:r>
        <w:t>The evaluation also explored</w:t>
      </w:r>
      <w:r w:rsidRPr="00B3053C">
        <w:t xml:space="preserve"> how quickly charities submitted their </w:t>
      </w:r>
      <w:r>
        <w:t>AIS</w:t>
      </w:r>
      <w:r w:rsidRPr="00B3053C">
        <w:t xml:space="preserve"> after the</w:t>
      </w:r>
      <w:r>
        <w:t xml:space="preserve"> </w:t>
      </w:r>
      <w:r w:rsidR="00725EF2">
        <w:t xml:space="preserve">additional </w:t>
      </w:r>
      <w:r>
        <w:t>second</w:t>
      </w:r>
      <w:r w:rsidRPr="00B3053C">
        <w:t xml:space="preserve"> reminder emails were sent. </w:t>
      </w:r>
      <w:r>
        <w:t>A Kaplan</w:t>
      </w:r>
      <w:r w:rsidR="00C26062">
        <w:noBreakHyphen/>
      </w:r>
      <w:r>
        <w:t xml:space="preserve">Meier </w:t>
      </w:r>
      <w:r w:rsidRPr="00F879C8">
        <w:t>survival analysis</w:t>
      </w:r>
      <w:r>
        <w:t xml:space="preserve"> was used</w:t>
      </w:r>
      <w:r w:rsidRPr="00F879C8">
        <w:t xml:space="preserve"> to understand how long it takes charities to submit their </w:t>
      </w:r>
      <w:r>
        <w:t>AIS,</w:t>
      </w:r>
      <w:r w:rsidRPr="00F879C8">
        <w:t xml:space="preserve"> and to compare </w:t>
      </w:r>
      <w:r>
        <w:t>whether the treatment group</w:t>
      </w:r>
      <w:r w:rsidRPr="00F879C8">
        <w:t xml:space="preserve"> </w:t>
      </w:r>
      <w:r>
        <w:t>submitted their AIS</w:t>
      </w:r>
      <w:r w:rsidRPr="00F879C8">
        <w:t xml:space="preserve"> earlier than </w:t>
      </w:r>
      <w:r>
        <w:t>the control group</w:t>
      </w:r>
      <w:r w:rsidRPr="00F879C8">
        <w:t>.</w:t>
      </w:r>
      <w:r>
        <w:t xml:space="preserve"> Time to submission</w:t>
      </w:r>
      <w:r w:rsidRPr="002B4741">
        <w:t xml:space="preserve"> </w:t>
      </w:r>
      <w:r>
        <w:t xml:space="preserve">was defined </w:t>
      </w:r>
      <w:r w:rsidRPr="002B4741">
        <w:t xml:space="preserve">as the number of days between when a charity received the </w:t>
      </w:r>
      <w:r>
        <w:t xml:space="preserve">reminder </w:t>
      </w:r>
      <w:r w:rsidRPr="002B4741">
        <w:t xml:space="preserve">email and when </w:t>
      </w:r>
      <w:r>
        <w:t>the charity</w:t>
      </w:r>
      <w:r w:rsidRPr="002B4741">
        <w:t xml:space="preserve"> submitted its AIS</w:t>
      </w:r>
      <w:r w:rsidRPr="00DF7EF0">
        <w:t xml:space="preserve">. </w:t>
      </w:r>
      <w:r>
        <w:t>The calculation included</w:t>
      </w:r>
      <w:r w:rsidRPr="00DF7EF0">
        <w:t xml:space="preserve"> weekends, as some charities</w:t>
      </w:r>
      <w:r>
        <w:t xml:space="preserve"> chose</w:t>
      </w:r>
      <w:r w:rsidRPr="00DF7EF0">
        <w:t xml:space="preserve"> to submit </w:t>
      </w:r>
      <w:r>
        <w:t>over weekends</w:t>
      </w:r>
      <w:r w:rsidRPr="00DF7EF0">
        <w:t xml:space="preserve">. </w:t>
      </w:r>
      <w:r>
        <w:t xml:space="preserve">This outcome was calculated for each individual charity, as the date that each charity received the reminder emails differs across charities (due to the </w:t>
      </w:r>
      <w:r w:rsidR="00C26062">
        <w:t>‘</w:t>
      </w:r>
      <w:r>
        <w:t>batching</w:t>
      </w:r>
      <w:r w:rsidR="00C26062">
        <w:t>’</w:t>
      </w:r>
      <w:r>
        <w:t xml:space="preserve"> of email sends).</w:t>
      </w:r>
    </w:p>
    <w:p w14:paraId="2B3E8435" w14:textId="19F4B223" w:rsidR="006D56DA" w:rsidRDefault="006D56DA" w:rsidP="000A27D7">
      <w:r w:rsidRPr="00DF4206">
        <w:t xml:space="preserve">All outcome definitions and statistical models </w:t>
      </w:r>
      <w:r>
        <w:t>we</w:t>
      </w:r>
      <w:r w:rsidRPr="00DF4206">
        <w:t>re pre</w:t>
      </w:r>
      <w:r w:rsidR="00C26062">
        <w:noBreakHyphen/>
      </w:r>
      <w:r w:rsidRPr="00DF4206">
        <w:t>specified in the pre</w:t>
      </w:r>
      <w:r w:rsidR="00C26062">
        <w:noBreakHyphen/>
      </w:r>
      <w:r w:rsidRPr="00DF4206">
        <w:t>analysis plan to ensure transparency.</w:t>
      </w:r>
      <w:r w:rsidR="009B1D5D" w:rsidRPr="009B1D5D">
        <w:rPr>
          <w:rStyle w:val="FootnoteReference"/>
          <w:vertAlign w:val="superscript"/>
        </w:rPr>
        <w:footnoteReference w:id="4"/>
      </w:r>
      <w:r>
        <w:t xml:space="preserve"> </w:t>
      </w:r>
      <w:r w:rsidR="00530FAA">
        <w:t xml:space="preserve">All outcomes were extracted from the ACNC systems on </w:t>
      </w:r>
      <w:r w:rsidR="00530FAA" w:rsidRPr="00D95829">
        <w:t>17 February</w:t>
      </w:r>
      <w:r w:rsidR="00530FAA">
        <w:t xml:space="preserve"> 2025</w:t>
      </w:r>
      <w:r w:rsidR="00530FAA" w:rsidRPr="00D95829">
        <w:t xml:space="preserve">. </w:t>
      </w:r>
      <w:r w:rsidR="00530FAA">
        <w:t>The ACNC de</w:t>
      </w:r>
      <w:r w:rsidR="00C26062">
        <w:noBreakHyphen/>
      </w:r>
      <w:r w:rsidR="00530FAA">
        <w:t xml:space="preserve">identified the data and provided outcome data to ACE in csv format. </w:t>
      </w:r>
      <w:r>
        <w:t xml:space="preserve">For full details of the </w:t>
      </w:r>
      <w:r w:rsidR="00F121A2">
        <w:t>pre</w:t>
      </w:r>
      <w:r w:rsidR="00C26062">
        <w:noBreakHyphen/>
      </w:r>
      <w:r w:rsidR="005C3946">
        <w:t xml:space="preserve">analysis </w:t>
      </w:r>
      <w:r>
        <w:t xml:space="preserve">plan, see </w:t>
      </w:r>
      <w:r w:rsidR="002C20CC">
        <w:t xml:space="preserve">Technical </w:t>
      </w:r>
      <w:r>
        <w:t>Appendix</w:t>
      </w:r>
      <w:r w:rsidR="00447521">
        <w:t> </w:t>
      </w:r>
      <w:r w:rsidR="0013115E">
        <w:t>C.</w:t>
      </w:r>
    </w:p>
    <w:p w14:paraId="453BB3B5" w14:textId="47473274" w:rsidR="00700451" w:rsidRPr="005769B7" w:rsidRDefault="002C7EFE" w:rsidP="005769B7">
      <w:r>
        <w:t>The randomised trial was reviewed and approved by M</w:t>
      </w:r>
      <w:r w:rsidR="000B3109">
        <w:t>acquarie University</w:t>
      </w:r>
      <w:r w:rsidR="00C26062">
        <w:t>’</w:t>
      </w:r>
      <w:r w:rsidR="000B3109">
        <w:t>s human research ethics service</w:t>
      </w:r>
      <w:r w:rsidR="00023539">
        <w:t xml:space="preserve"> (</w:t>
      </w:r>
      <w:r w:rsidR="00864D2D">
        <w:t>Project ID: 18222</w:t>
      </w:r>
      <w:r w:rsidR="00023539">
        <w:t>)</w:t>
      </w:r>
      <w:r w:rsidR="000B3109">
        <w:t xml:space="preserve">. It was </w:t>
      </w:r>
      <w:r w:rsidR="0064106E">
        <w:t xml:space="preserve">assessed as </w:t>
      </w:r>
      <w:r w:rsidR="00C26062">
        <w:t>‘</w:t>
      </w:r>
      <w:r w:rsidR="0064106E">
        <w:t>low risk</w:t>
      </w:r>
      <w:r w:rsidR="00C26062">
        <w:t>’</w:t>
      </w:r>
      <w:r w:rsidR="0064106E">
        <w:t xml:space="preserve"> and so was not subject to </w:t>
      </w:r>
      <w:r w:rsidR="004B5E77">
        <w:t>further review by one of Macquarie</w:t>
      </w:r>
      <w:r w:rsidR="00C26062">
        <w:t>’</w:t>
      </w:r>
      <w:r w:rsidR="004B5E77">
        <w:t>s Human Research Ethics Committees.</w:t>
      </w:r>
      <w:r w:rsidR="00700451">
        <w:br w:type="page"/>
      </w:r>
    </w:p>
    <w:p w14:paraId="45253631" w14:textId="7D92B846" w:rsidR="00B36115" w:rsidRDefault="005769B7" w:rsidP="00D256CA">
      <w:pPr>
        <w:pStyle w:val="Heading1Numbered"/>
      </w:pPr>
      <w:r>
        <w:lastRenderedPageBreak/>
        <w:t xml:space="preserve"> </w:t>
      </w:r>
      <w:bookmarkStart w:id="23" w:name="_Toc197603336"/>
      <w:bookmarkStart w:id="24" w:name="_Toc207712026"/>
      <w:r w:rsidR="00B36115">
        <w:t>Results</w:t>
      </w:r>
      <w:bookmarkEnd w:id="23"/>
      <w:bookmarkEnd w:id="24"/>
      <w:r w:rsidR="00700451">
        <w:tab/>
      </w:r>
    </w:p>
    <w:p w14:paraId="7DBB7843" w14:textId="703FDEC8" w:rsidR="00905DC4" w:rsidRDefault="00981AE7" w:rsidP="00905DC4">
      <w:r>
        <w:t>Th</w:t>
      </w:r>
      <w:r w:rsidR="001839DC">
        <w:t>is</w:t>
      </w:r>
      <w:r>
        <w:t xml:space="preserve"> section presents the</w:t>
      </w:r>
      <w:r w:rsidR="001839DC">
        <w:t xml:space="preserve"> results of the trial, including the</w:t>
      </w:r>
      <w:r>
        <w:t xml:space="preserve"> impact of the additional reminder email on on</w:t>
      </w:r>
      <w:r w:rsidR="00C26062">
        <w:noBreakHyphen/>
      </w:r>
      <w:r>
        <w:t>time AIS submission rates, overall timing of submissions</w:t>
      </w:r>
      <w:r w:rsidR="00394ED3">
        <w:t xml:space="preserve"> and how the effect varied across different types of charities. </w:t>
      </w:r>
      <w:r w:rsidR="00A21617">
        <w:t>It also covers the operational costs and potential savings associated with implementing the intervention.</w:t>
      </w:r>
    </w:p>
    <w:p w14:paraId="777D8B7A" w14:textId="1746C6AF" w:rsidR="00D57196" w:rsidRPr="00D57196" w:rsidRDefault="00B9771F" w:rsidP="0085652B">
      <w:pPr>
        <w:pStyle w:val="Heading2"/>
      </w:pPr>
      <w:bookmarkStart w:id="25" w:name="_Toc197603337"/>
      <w:bookmarkStart w:id="26" w:name="_Toc207712027"/>
      <w:r>
        <w:t xml:space="preserve">The additional reminder to Responsible Person </w:t>
      </w:r>
      <w:r w:rsidR="003868AF">
        <w:t xml:space="preserve">substantially increased </w:t>
      </w:r>
      <w:r>
        <w:t>on</w:t>
      </w:r>
      <w:r w:rsidR="00A35073">
        <w:t>-</w:t>
      </w:r>
      <w:r>
        <w:t xml:space="preserve">time </w:t>
      </w:r>
      <w:r w:rsidR="00C553A1">
        <w:t xml:space="preserve">AIS </w:t>
      </w:r>
      <w:r>
        <w:t>submission</w:t>
      </w:r>
      <w:bookmarkEnd w:id="25"/>
      <w:bookmarkEnd w:id="26"/>
    </w:p>
    <w:p w14:paraId="299EFCEE" w14:textId="45BD6B7F" w:rsidR="00A96D8F" w:rsidRDefault="00B5140E" w:rsidP="00D12769">
      <w:r w:rsidRPr="002D3EBE">
        <w:t xml:space="preserve">The primary outcome of interest </w:t>
      </w:r>
      <w:r w:rsidR="001B3432" w:rsidRPr="001B3432">
        <w:t>in</w:t>
      </w:r>
      <w:r>
        <w:t xml:space="preserve"> this </w:t>
      </w:r>
      <w:r w:rsidR="003F69C9">
        <w:t xml:space="preserve">randomised trial </w:t>
      </w:r>
      <w:r w:rsidR="001B3432" w:rsidRPr="001B3432">
        <w:t>was</w:t>
      </w:r>
      <w:r w:rsidRPr="002D3EBE">
        <w:t xml:space="preserve"> whether a charity submitted its </w:t>
      </w:r>
      <w:r w:rsidR="00C20077">
        <w:t>AIS</w:t>
      </w:r>
      <w:r w:rsidRPr="00DF4206">
        <w:t xml:space="preserve"> on</w:t>
      </w:r>
      <w:r w:rsidR="00C26062">
        <w:noBreakHyphen/>
      </w:r>
      <w:r w:rsidRPr="00DF4206">
        <w:t>time</w:t>
      </w:r>
      <w:r w:rsidR="00F94E9C">
        <w:t xml:space="preserve">, </w:t>
      </w:r>
      <w:r w:rsidR="001B3432" w:rsidRPr="001B3432">
        <w:t xml:space="preserve">defined as submission </w:t>
      </w:r>
      <w:r w:rsidRPr="00DF4206">
        <w:t xml:space="preserve">on or before </w:t>
      </w:r>
      <w:r w:rsidR="001B3432" w:rsidRPr="001B3432" w:rsidDel="00B8297C">
        <w:t>31</w:t>
      </w:r>
      <w:r w:rsidR="00E4705E">
        <w:t> </w:t>
      </w:r>
      <w:r w:rsidRPr="00DF4206" w:rsidDel="00B8297C">
        <w:t>January</w:t>
      </w:r>
      <w:r w:rsidR="00E4705E">
        <w:t> </w:t>
      </w:r>
      <w:r>
        <w:t>2025</w:t>
      </w:r>
      <w:r w:rsidRPr="00DF4206" w:rsidDel="00B5140E">
        <w:t xml:space="preserve">. </w:t>
      </w:r>
      <w:r w:rsidR="0050285E">
        <w:t xml:space="preserve">Sending </w:t>
      </w:r>
      <w:r w:rsidR="00AF6E58" w:rsidRPr="00AF6E58">
        <w:t xml:space="preserve">an additional reminder email to </w:t>
      </w:r>
      <w:r w:rsidR="00C0098E">
        <w:t>a charity</w:t>
      </w:r>
      <w:r w:rsidR="00C26062">
        <w:t>’</w:t>
      </w:r>
      <w:r w:rsidR="00C0098E">
        <w:t>s</w:t>
      </w:r>
      <w:r w:rsidR="00C0098E" w:rsidRPr="00AF6E58">
        <w:t xml:space="preserve"> </w:t>
      </w:r>
      <w:r w:rsidR="00DE087F">
        <w:t>Responsible Person</w:t>
      </w:r>
      <w:r w:rsidR="00AF6E58" w:rsidRPr="00AF6E58">
        <w:t xml:space="preserve"> increased the </w:t>
      </w:r>
      <w:r w:rsidR="00C0098E">
        <w:t xml:space="preserve">overall </w:t>
      </w:r>
      <w:r w:rsidR="00AF6E58" w:rsidRPr="00AF6E58">
        <w:t>on</w:t>
      </w:r>
      <w:r w:rsidR="00C26062">
        <w:noBreakHyphen/>
      </w:r>
      <w:r w:rsidR="00AF6E58" w:rsidRPr="00AF6E58">
        <w:t>time submission rate by 5.6 percentage points compared to the control group</w:t>
      </w:r>
      <w:r w:rsidR="00C0098E">
        <w:t xml:space="preserve"> who received business</w:t>
      </w:r>
      <w:r w:rsidR="00C26062">
        <w:noBreakHyphen/>
      </w:r>
      <w:r w:rsidR="00C0098E">
        <w:t>as</w:t>
      </w:r>
      <w:r w:rsidR="00C26062">
        <w:noBreakHyphen/>
      </w:r>
      <w:r w:rsidR="00C0098E">
        <w:t>usual communications</w:t>
      </w:r>
      <w:r w:rsidR="00DE7DAB">
        <w:t xml:space="preserve"> (an increase from 56.4% to 62.0%, see Figure 2)</w:t>
      </w:r>
      <w:r w:rsidR="00AF6E58" w:rsidRPr="00AF6E58">
        <w:t>.</w:t>
      </w:r>
      <w:r w:rsidR="00AF6E58" w:rsidRPr="00D57196">
        <w:t xml:space="preserve"> </w:t>
      </w:r>
    </w:p>
    <w:p w14:paraId="02523CB5" w14:textId="0FA27B6C" w:rsidR="00381BCB" w:rsidRDefault="004B29B2" w:rsidP="00D12769">
      <w:r>
        <w:t xml:space="preserve">Had this </w:t>
      </w:r>
      <w:r w:rsidR="004C282B">
        <w:t xml:space="preserve">additional reminder been sent to all 15,000 charities in the </w:t>
      </w:r>
      <w:r>
        <w:t xml:space="preserve">trial, </w:t>
      </w:r>
      <w:r w:rsidR="008C6108">
        <w:t>an estimated</w:t>
      </w:r>
      <w:r>
        <w:t xml:space="preserve"> </w:t>
      </w:r>
      <w:r w:rsidR="00595AFA">
        <w:t>8</w:t>
      </w:r>
      <w:r>
        <w:t xml:space="preserve">40 charities </w:t>
      </w:r>
      <w:r w:rsidR="00595AFA">
        <w:t xml:space="preserve">would have </w:t>
      </w:r>
      <w:r w:rsidR="005C4EEC">
        <w:t xml:space="preserve">submitted on time, with a </w:t>
      </w:r>
      <w:r w:rsidR="001F79B4">
        <w:t>likely</w:t>
      </w:r>
      <w:r w:rsidR="005C4EEC">
        <w:t xml:space="preserve"> reduction in workload for the ACNC.</w:t>
      </w:r>
      <w:r w:rsidR="008E76E2" w:rsidRPr="001D0B0F">
        <w:rPr>
          <w:rStyle w:val="FootnoteReference"/>
          <w:vertAlign w:val="superscript"/>
        </w:rPr>
        <w:footnoteReference w:id="5"/>
      </w:r>
    </w:p>
    <w:p w14:paraId="0259F296" w14:textId="471C35B3" w:rsidR="00161789" w:rsidRDefault="00895C62" w:rsidP="00D12769">
      <w:r w:rsidRPr="00895C62">
        <w:t>The result was also consistent across different model specifications and data settings; see Technical Appendix</w:t>
      </w:r>
      <w:r w:rsidR="00836E93">
        <w:t> </w:t>
      </w:r>
      <w:r w:rsidRPr="00895C62">
        <w:t>C for details.</w:t>
      </w:r>
      <w:r w:rsidR="00C92073" w:rsidRPr="00C92073">
        <w:rPr>
          <w:rStyle w:val="FootnoteReference"/>
          <w:vertAlign w:val="superscript"/>
        </w:rPr>
        <w:footnoteReference w:id="6"/>
      </w:r>
      <w:r w:rsidRPr="00895C62" w:rsidDel="00C84C1B">
        <w:t xml:space="preserve"> </w:t>
      </w:r>
    </w:p>
    <w:p w14:paraId="37D83DED" w14:textId="0A3E306D" w:rsidR="00A80CFC" w:rsidRDefault="009D22A1" w:rsidP="00406802">
      <w:pPr>
        <w:pStyle w:val="ChartMainHeading"/>
      </w:pPr>
      <w:r w:rsidRPr="00494221">
        <w:t>Figure</w:t>
      </w:r>
      <w:r>
        <w:t xml:space="preserve"> </w:t>
      </w:r>
      <w:r w:rsidR="007007BF">
        <w:t>2</w:t>
      </w:r>
      <w:r w:rsidR="00D341C2" w:rsidRPr="00494221">
        <w:t>.</w:t>
      </w:r>
      <w:r w:rsidRPr="00494221">
        <w:t xml:space="preserve"> </w:t>
      </w:r>
      <w:r w:rsidR="00CA7BD6">
        <w:t>C</w:t>
      </w:r>
      <w:r w:rsidR="00F5040D">
        <w:t>hange in</w:t>
      </w:r>
      <w:r>
        <w:t xml:space="preserve"> </w:t>
      </w:r>
      <w:r w:rsidRPr="00494221">
        <w:t>on</w:t>
      </w:r>
      <w:r w:rsidR="00BA7F5C">
        <w:t>-</w:t>
      </w:r>
      <w:r w:rsidRPr="00494221">
        <w:t xml:space="preserve">time </w:t>
      </w:r>
      <w:r w:rsidR="00192156">
        <w:t xml:space="preserve">AIS </w:t>
      </w:r>
      <w:r w:rsidRPr="00406802">
        <w:t>submission</w:t>
      </w:r>
      <w:r w:rsidRPr="00494221">
        <w:t xml:space="preserve"> rate</w:t>
      </w:r>
      <w:r w:rsidR="00192156">
        <w:t>s</w:t>
      </w:r>
    </w:p>
    <w:p w14:paraId="639CEDCC" w14:textId="621A03BF" w:rsidR="00F62713" w:rsidRPr="00F62713" w:rsidRDefault="009A7E88" w:rsidP="00FE1D6B">
      <w:pPr>
        <w:pStyle w:val="ChartGraphic"/>
      </w:pPr>
      <w:r w:rsidRPr="00FE1D6B">
        <w:rPr>
          <w:noProof/>
        </w:rPr>
        <w:drawing>
          <wp:inline distT="0" distB="0" distL="0" distR="0" wp14:anchorId="1B0E9852" wp14:editId="1FEA5D0C">
            <wp:extent cx="5757684" cy="2517653"/>
            <wp:effectExtent l="0" t="0" r="0" b="0"/>
            <wp:docPr id="729882730" name="Picture 1" descr="Bar chart showing the predicted probability of on-time submission for control and treatment groups. Control group: 56.4%, Treatment group: 62.0%. The treatment group shows a 5.6 percentage point higher submission rate compared to the control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882730" name="Picture 1" descr="Bar chart showing the predicted probability of on-time submission for control and treatment groups. Control group: 56.4%, Treatment group: 62.0%. The treatment group shows a 5.6 percentage point higher submission rate compared to the control group."/>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757684" cy="2517653"/>
                    </a:xfrm>
                    <a:prstGeom prst="rect">
                      <a:avLst/>
                    </a:prstGeom>
                  </pic:spPr>
                </pic:pic>
              </a:graphicData>
            </a:graphic>
          </wp:inline>
        </w:drawing>
      </w:r>
    </w:p>
    <w:p w14:paraId="1019EADF" w14:textId="54902A4F" w:rsidR="009D22A1" w:rsidRPr="00FE1D6B" w:rsidRDefault="0001078B" w:rsidP="00FE1D6B">
      <w:pPr>
        <w:pStyle w:val="ChartorTableNote"/>
      </w:pPr>
      <w:r w:rsidRPr="00FE1D6B">
        <w:t>Note: Results from linear probability model of on</w:t>
      </w:r>
      <w:r w:rsidR="00C26062">
        <w:noBreakHyphen/>
      </w:r>
      <w:r w:rsidRPr="00FE1D6B">
        <w:t xml:space="preserve">time submission, by treatment status. </w:t>
      </w:r>
      <w:r w:rsidR="00C86938" w:rsidRPr="00FE1D6B">
        <w:t xml:space="preserve">The </w:t>
      </w:r>
      <w:r w:rsidR="00936E89" w:rsidRPr="00FE1D6B">
        <w:t>difference of 5.6 percentage points was statistically significant (p</w:t>
      </w:r>
      <w:r w:rsidR="002D778C" w:rsidRPr="00FE1D6B">
        <w:t>&lt;0.001)</w:t>
      </w:r>
      <w:r w:rsidR="00D22172" w:rsidRPr="00FE1D6B">
        <w:t>.</w:t>
      </w:r>
      <w:r w:rsidR="00936E89" w:rsidRPr="00FE1D6B">
        <w:t xml:space="preserve"> </w:t>
      </w:r>
      <w:r w:rsidR="00FB6CBC" w:rsidRPr="00FE1D6B">
        <w:t>N=15,000</w:t>
      </w:r>
      <w:r w:rsidRPr="00FE1D6B">
        <w:t>.</w:t>
      </w:r>
    </w:p>
    <w:p w14:paraId="7C2AD05A" w14:textId="2FF48D65" w:rsidR="00406802" w:rsidRDefault="00406802">
      <w:pPr>
        <w:spacing w:before="0" w:after="160" w:line="259" w:lineRule="auto"/>
      </w:pPr>
      <w:r>
        <w:br w:type="page"/>
      </w:r>
    </w:p>
    <w:p w14:paraId="7FDC9694" w14:textId="47AE86D4" w:rsidR="00AF6E58" w:rsidRDefault="00181D1A" w:rsidP="000A27D7">
      <w:r>
        <w:lastRenderedPageBreak/>
        <w:t xml:space="preserve">Figure </w:t>
      </w:r>
      <w:r w:rsidR="007007BF">
        <w:t>3</w:t>
      </w:r>
      <w:r>
        <w:t xml:space="preserve"> show</w:t>
      </w:r>
      <w:r w:rsidR="001150EC">
        <w:t>s</w:t>
      </w:r>
      <w:r>
        <w:t xml:space="preserve"> </w:t>
      </w:r>
      <w:r w:rsidR="00B50504" w:rsidRPr="00B50504">
        <w:t xml:space="preserve">the cumulative number of AIS submissions over time for both treatment and control </w:t>
      </w:r>
      <w:r w:rsidR="001150EC">
        <w:t>charities</w:t>
      </w:r>
      <w:r w:rsidR="00B50504" w:rsidRPr="00B50504">
        <w:t xml:space="preserve">. Submissions began to increase steadily after </w:t>
      </w:r>
      <w:r w:rsidR="00B8297C">
        <w:t>7</w:t>
      </w:r>
      <w:r w:rsidR="00EE12BB">
        <w:t> </w:t>
      </w:r>
      <w:r w:rsidR="00B50504" w:rsidRPr="00B50504">
        <w:t>Januar</w:t>
      </w:r>
      <w:r w:rsidR="00B8297C">
        <w:t>y</w:t>
      </w:r>
      <w:r w:rsidR="00CC43B5">
        <w:t> 2025</w:t>
      </w:r>
      <w:r w:rsidR="00B50504" w:rsidRPr="00B50504">
        <w:t xml:space="preserve">, when the first </w:t>
      </w:r>
      <w:r w:rsidR="0039191E">
        <w:t xml:space="preserve">batch of </w:t>
      </w:r>
      <w:r w:rsidR="00B50504" w:rsidRPr="00B50504">
        <w:t>reminder emails were sent, and continued to rise throughout the month.</w:t>
      </w:r>
      <w:r w:rsidR="00B50504">
        <w:t xml:space="preserve"> </w:t>
      </w:r>
      <w:r w:rsidR="00B50504" w:rsidRPr="00B50504">
        <w:t xml:space="preserve">By the end of the submission period, the treatment group recorded a higher number of cumulative submissions compared to the control group. The gap between the </w:t>
      </w:r>
      <w:r w:rsidR="00336F1F">
        <w:t>2</w:t>
      </w:r>
      <w:r w:rsidR="00B50504" w:rsidRPr="00B50504">
        <w:t xml:space="preserve"> lines </w:t>
      </w:r>
      <w:r w:rsidR="006212C9">
        <w:t xml:space="preserve">reflects the </w:t>
      </w:r>
      <w:r w:rsidR="00B76073">
        <w:t>higher rate of on</w:t>
      </w:r>
      <w:r w:rsidR="00C26062">
        <w:noBreakHyphen/>
      </w:r>
      <w:r w:rsidR="00B76073">
        <w:t xml:space="preserve">time reporting </w:t>
      </w:r>
      <w:r w:rsidR="00157DD6">
        <w:t xml:space="preserve">amongst charities that received </w:t>
      </w:r>
      <w:r w:rsidR="00B50504" w:rsidRPr="00B50504">
        <w:t>the additional email reminder</w:t>
      </w:r>
      <w:r w:rsidR="00F06C90">
        <w:t xml:space="preserve"> to the R</w:t>
      </w:r>
      <w:r w:rsidR="00F35C4B">
        <w:t xml:space="preserve">esponsible </w:t>
      </w:r>
      <w:r w:rsidR="00F06C90">
        <w:t>P</w:t>
      </w:r>
      <w:r w:rsidR="00F35C4B">
        <w:t>erson</w:t>
      </w:r>
      <w:r w:rsidR="00B50504" w:rsidRPr="00B50504">
        <w:t>.</w:t>
      </w:r>
      <w:r w:rsidR="004A351A">
        <w:t xml:space="preserve"> </w:t>
      </w:r>
    </w:p>
    <w:p w14:paraId="0E7265D4" w14:textId="77777777" w:rsidR="00406802" w:rsidRDefault="00406802" w:rsidP="00406802">
      <w:pPr>
        <w:pStyle w:val="ChartMainHeading"/>
      </w:pPr>
      <w:r w:rsidRPr="00F46305">
        <w:t xml:space="preserve">Figure </w:t>
      </w:r>
      <w:r>
        <w:t>3</w:t>
      </w:r>
      <w:r w:rsidRPr="001C158C">
        <w:t xml:space="preserve">. Cumulative AIS 2024 submission </w:t>
      </w:r>
      <w:r w:rsidRPr="001C158C">
        <w:rPr>
          <w:iCs/>
        </w:rPr>
        <w:t>count</w:t>
      </w:r>
      <w:r>
        <w:rPr>
          <w:iCs/>
        </w:rPr>
        <w:t xml:space="preserve"> by day,</w:t>
      </w:r>
      <w:r w:rsidRPr="001C158C">
        <w:t xml:space="preserve"> January 2025</w:t>
      </w:r>
    </w:p>
    <w:p w14:paraId="36AC2769" w14:textId="4255C47D" w:rsidR="00C44DC7" w:rsidRPr="00392D35" w:rsidRDefault="006B7D04" w:rsidP="00FE1D6B">
      <w:pPr>
        <w:pStyle w:val="ChartGraphic"/>
      </w:pPr>
      <w:r>
        <w:rPr>
          <w:noProof/>
        </w:rPr>
        <w:drawing>
          <wp:inline distT="0" distB="0" distL="0" distR="0" wp14:anchorId="763A34FC" wp14:editId="3CA9C3C9">
            <wp:extent cx="5757545" cy="2517140"/>
            <wp:effectExtent l="0" t="0" r="0" b="0"/>
            <wp:docPr id="2" name="Picture 2" descr="Cumulative line chart showing total AIS submissions from 3 to 31 January 2025. By 31 January 2025, 62.0% of treatment group charities had submitted, compared to 56.4% of the control group. The treatment line deviates from the control line by rising faster, showing increased cumulative submissions in the treatment group, at the point of the first email being sent. This deviation continues beyond the date of the last email sent. There is a modest rise 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mulative line chart showing total AIS submissions from 3 to 31 January 2025. By 31 January 2025, 62.0% of treatment group charities had submitted, compared to 56.4% of the control group. The treatment line deviates from the control line by rising faster, showing increased cumulative submissions in the treatment group, at the point of the first email being sent. This deviation continues beyond the date of the last email sent. There is a modest rise in "/>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757545" cy="2517140"/>
                    </a:xfrm>
                    <a:prstGeom prst="rect">
                      <a:avLst/>
                    </a:prstGeom>
                  </pic:spPr>
                </pic:pic>
              </a:graphicData>
            </a:graphic>
          </wp:inline>
        </w:drawing>
      </w:r>
    </w:p>
    <w:p w14:paraId="370E9EF5" w14:textId="39A481B6" w:rsidR="00DB4A10" w:rsidRDefault="001323FD" w:rsidP="00406802">
      <w:pPr>
        <w:pStyle w:val="ChartorTableNote"/>
      </w:pPr>
      <w:r>
        <w:t xml:space="preserve">Note: </w:t>
      </w:r>
      <w:r w:rsidR="00C26062">
        <w:t>‘</w:t>
      </w:r>
      <w:r w:rsidR="000E1959" w:rsidRPr="00217CB7">
        <w:t>First email</w:t>
      </w:r>
      <w:r w:rsidR="00C26062">
        <w:t>’</w:t>
      </w:r>
      <w:r w:rsidR="000E1959" w:rsidRPr="00217CB7">
        <w:t xml:space="preserve"> refers to </w:t>
      </w:r>
      <w:r w:rsidR="00D05D4F" w:rsidRPr="00217CB7">
        <w:t xml:space="preserve">emails sent to </w:t>
      </w:r>
      <w:r w:rsidR="000E1959" w:rsidRPr="00217CB7">
        <w:t>the</w:t>
      </w:r>
      <w:r w:rsidR="00D05D4F" w:rsidRPr="00217CB7">
        <w:t xml:space="preserve"> first batch of charities on 7</w:t>
      </w:r>
      <w:r w:rsidR="00217CB7">
        <w:t> </w:t>
      </w:r>
      <w:r w:rsidR="00D05D4F" w:rsidRPr="00217CB7">
        <w:t xml:space="preserve">January. </w:t>
      </w:r>
      <w:r w:rsidR="00C26062">
        <w:t>‘</w:t>
      </w:r>
      <w:r w:rsidR="00D05D4F" w:rsidRPr="00217CB7">
        <w:t>Last email</w:t>
      </w:r>
      <w:r w:rsidR="00C26062">
        <w:t>’</w:t>
      </w:r>
      <w:r w:rsidR="00D05D4F" w:rsidRPr="00217CB7">
        <w:t xml:space="preserve"> refers to emails sent on 17</w:t>
      </w:r>
      <w:r w:rsidR="00217CB7">
        <w:t> </w:t>
      </w:r>
      <w:r w:rsidR="00D05D4F" w:rsidRPr="00217CB7">
        <w:t>January to the final batch of charities.</w:t>
      </w:r>
    </w:p>
    <w:p w14:paraId="13781D85" w14:textId="77777777" w:rsidR="00406802" w:rsidRDefault="00406802" w:rsidP="00406802">
      <w:pPr>
        <w:pStyle w:val="NoSpacing"/>
      </w:pPr>
    </w:p>
    <w:tbl>
      <w:tblPr>
        <w:tblW w:w="5000" w:type="pct"/>
        <w:shd w:val="clear" w:color="auto" w:fill="EEEEEE" w:themeFill="background2"/>
        <w:tblCellMar>
          <w:top w:w="227" w:type="dxa"/>
          <w:left w:w="227" w:type="dxa"/>
          <w:bottom w:w="227" w:type="dxa"/>
          <w:right w:w="227" w:type="dxa"/>
        </w:tblCellMar>
        <w:tblLook w:val="01E0" w:firstRow="1" w:lastRow="1" w:firstColumn="1" w:lastColumn="1" w:noHBand="0" w:noVBand="0"/>
      </w:tblPr>
      <w:tblGrid>
        <w:gridCol w:w="9072"/>
      </w:tblGrid>
      <w:tr w:rsidR="00406802" w14:paraId="13D8F027" w14:textId="77777777" w:rsidTr="003A405A">
        <w:tc>
          <w:tcPr>
            <w:tcW w:w="5000" w:type="pct"/>
            <w:shd w:val="clear" w:color="auto" w:fill="EEEEEE" w:themeFill="background2"/>
          </w:tcPr>
          <w:p w14:paraId="59F7D5FB" w14:textId="5DEB2108" w:rsidR="00406802" w:rsidRPr="00E5359D" w:rsidRDefault="00406802" w:rsidP="003A405A">
            <w:pPr>
              <w:pStyle w:val="BoxText"/>
              <w:rPr>
                <w:b/>
                <w:bCs/>
                <w:i/>
                <w:iCs/>
              </w:rPr>
            </w:pPr>
            <w:r w:rsidRPr="00406802">
              <w:rPr>
                <w:b/>
                <w:bCs/>
                <w:i/>
                <w:iCs/>
              </w:rPr>
              <w:t>The 5.6 percentage point increase in on time submission rate provides clear evidence that direct communication with a charity</w:t>
            </w:r>
            <w:r w:rsidR="00C26062">
              <w:rPr>
                <w:b/>
                <w:bCs/>
                <w:i/>
                <w:iCs/>
              </w:rPr>
              <w:t>’</w:t>
            </w:r>
            <w:r w:rsidRPr="00406802">
              <w:rPr>
                <w:b/>
                <w:bCs/>
                <w:i/>
                <w:iCs/>
              </w:rPr>
              <w:t>s governance contact (the Responsible Person) can materially influence on time AIS submissions.</w:t>
            </w:r>
          </w:p>
        </w:tc>
      </w:tr>
    </w:tbl>
    <w:p w14:paraId="55869FAB" w14:textId="0008A53B" w:rsidR="00FE4A87" w:rsidRDefault="000648D4" w:rsidP="00D12769">
      <w:pPr>
        <w:pStyle w:val="Heading2"/>
      </w:pPr>
      <w:bookmarkStart w:id="27" w:name="_Toc197603338"/>
      <w:bookmarkStart w:id="28" w:name="_Toc207712028"/>
      <w:r w:rsidRPr="009B69EC">
        <w:t xml:space="preserve">The second email reminder </w:t>
      </w:r>
      <w:r w:rsidR="00D55690">
        <w:t xml:space="preserve">to an RP </w:t>
      </w:r>
      <w:r w:rsidRPr="009B69EC">
        <w:t>accelerated</w:t>
      </w:r>
      <w:r w:rsidR="00AD735F">
        <w:t xml:space="preserve"> median AIS</w:t>
      </w:r>
      <w:r w:rsidRPr="009B69EC">
        <w:t xml:space="preserve"> </w:t>
      </w:r>
      <w:r>
        <w:t>submission</w:t>
      </w:r>
      <w:r w:rsidR="00AD735F">
        <w:t>s</w:t>
      </w:r>
      <w:r>
        <w:t xml:space="preserve"> by </w:t>
      </w:r>
      <w:r w:rsidR="002A7D98">
        <w:t xml:space="preserve">3 </w:t>
      </w:r>
      <w:r>
        <w:t>days</w:t>
      </w:r>
      <w:bookmarkEnd w:id="27"/>
      <w:bookmarkEnd w:id="28"/>
    </w:p>
    <w:p w14:paraId="7BF4D66E" w14:textId="37A8BB31" w:rsidR="00FE4A87" w:rsidRPr="0077527A" w:rsidRDefault="00B3053C" w:rsidP="00FE4A87">
      <w:r>
        <w:t>The evaluation also explored</w:t>
      </w:r>
      <w:r w:rsidRPr="00B3053C">
        <w:t xml:space="preserve"> how quickly charities submitted their </w:t>
      </w:r>
      <w:r w:rsidR="00C20077">
        <w:t>AIS</w:t>
      </w:r>
      <w:r w:rsidRPr="00B3053C">
        <w:t xml:space="preserve"> after the</w:t>
      </w:r>
      <w:r w:rsidR="004A37E2">
        <w:t xml:space="preserve"> </w:t>
      </w:r>
      <w:r w:rsidR="002D57FE">
        <w:t xml:space="preserve">additional </w:t>
      </w:r>
      <w:r w:rsidR="004A37E2">
        <w:t>second</w:t>
      </w:r>
      <w:r w:rsidRPr="00B3053C">
        <w:t xml:space="preserve"> reminder emails </w:t>
      </w:r>
      <w:r w:rsidR="002D57FE">
        <w:t xml:space="preserve">to </w:t>
      </w:r>
      <w:r w:rsidR="00543704">
        <w:t xml:space="preserve">a </w:t>
      </w:r>
      <w:r w:rsidR="002D57FE">
        <w:t xml:space="preserve">Responsible Person </w:t>
      </w:r>
      <w:r w:rsidRPr="00B3053C">
        <w:t xml:space="preserve">were sent. </w:t>
      </w:r>
      <w:r w:rsidR="00B619DE">
        <w:t xml:space="preserve">This </w:t>
      </w:r>
      <w:r w:rsidR="00C26062">
        <w:t>‘</w:t>
      </w:r>
      <w:r w:rsidR="008D4280">
        <w:t xml:space="preserve">survival </w:t>
      </w:r>
      <w:r w:rsidR="00B619DE">
        <w:t>analysis</w:t>
      </w:r>
      <w:r w:rsidR="00C26062">
        <w:t>’</w:t>
      </w:r>
      <w:r w:rsidR="00B619DE">
        <w:t xml:space="preserve"> showed </w:t>
      </w:r>
      <w:r w:rsidRPr="00B3053C">
        <w:t xml:space="preserve">that charities </w:t>
      </w:r>
      <w:r w:rsidR="00566F5F">
        <w:t xml:space="preserve">that </w:t>
      </w:r>
      <w:r w:rsidRPr="00B3053C">
        <w:t xml:space="preserve">received the extra email reminder to their </w:t>
      </w:r>
      <w:r w:rsidR="00B619DE">
        <w:t>RP</w:t>
      </w:r>
      <w:r w:rsidRPr="00B3053C">
        <w:t xml:space="preserve"> submitted their AIS </w:t>
      </w:r>
      <w:r w:rsidR="00566F5F">
        <w:t xml:space="preserve">around </w:t>
      </w:r>
      <w:r w:rsidR="00657088">
        <w:t>3 </w:t>
      </w:r>
      <w:r w:rsidRPr="00E94260">
        <w:t>days earlier</w:t>
      </w:r>
      <w:r w:rsidR="00566F5F">
        <w:t xml:space="preserve"> </w:t>
      </w:r>
      <w:r w:rsidRPr="00B3053C">
        <w:t xml:space="preserve">than </w:t>
      </w:r>
      <w:r w:rsidR="004D3D5F">
        <w:t>charities</w:t>
      </w:r>
      <w:r w:rsidR="004D3D5F" w:rsidRPr="00B3053C">
        <w:t xml:space="preserve"> </w:t>
      </w:r>
      <w:r w:rsidR="00566F5F">
        <w:t xml:space="preserve">that </w:t>
      </w:r>
      <w:r w:rsidRPr="00B3053C">
        <w:t xml:space="preserve">only received the usual reminder. </w:t>
      </w:r>
      <w:r w:rsidR="00901D77">
        <w:t>That is, t</w:t>
      </w:r>
      <w:r w:rsidR="00FE4A87" w:rsidRPr="0077527A">
        <w:t>he median time to submission was:</w:t>
      </w:r>
    </w:p>
    <w:p w14:paraId="7AD32E52" w14:textId="7B9C2284" w:rsidR="00FE4A87" w:rsidRPr="00406802" w:rsidRDefault="00FE4A87" w:rsidP="00406802">
      <w:pPr>
        <w:pStyle w:val="Bullet"/>
      </w:pPr>
      <w:r w:rsidRPr="00406802">
        <w:t>18 days for charities in the treatment group (who received the additional email</w:t>
      </w:r>
      <w:r w:rsidR="00D96CF1" w:rsidRPr="00406802">
        <w:t xml:space="preserve"> to an RP</w:t>
      </w:r>
      <w:r w:rsidRPr="00406802">
        <w:t>).</w:t>
      </w:r>
    </w:p>
    <w:p w14:paraId="42BFECB4" w14:textId="227CD4F9" w:rsidR="00033CB1" w:rsidRPr="00406802" w:rsidRDefault="00FE4A87" w:rsidP="00406802">
      <w:pPr>
        <w:pStyle w:val="Bullet"/>
      </w:pPr>
      <w:r w:rsidRPr="00406802">
        <w:t xml:space="preserve">21 days for charities in the control group (who only received the standard </w:t>
      </w:r>
      <w:r w:rsidR="00D96CF1" w:rsidRPr="00406802">
        <w:t xml:space="preserve">email </w:t>
      </w:r>
      <w:r w:rsidRPr="00406802">
        <w:t>reminder).</w:t>
      </w:r>
    </w:p>
    <w:p w14:paraId="4C2987A5" w14:textId="678CCBA8" w:rsidR="00033CB1" w:rsidRPr="001C158C" w:rsidRDefault="00033CB1" w:rsidP="006957BB">
      <w:pPr>
        <w:pStyle w:val="ChartMainHeading"/>
      </w:pPr>
      <w:r w:rsidRPr="00F46305">
        <w:lastRenderedPageBreak/>
        <w:t xml:space="preserve">Figure </w:t>
      </w:r>
      <w:r w:rsidR="005F792A">
        <w:t>4</w:t>
      </w:r>
      <w:r w:rsidRPr="00F46305">
        <w:t xml:space="preserve">. </w:t>
      </w:r>
      <w:r>
        <w:t xml:space="preserve">Total </w:t>
      </w:r>
      <w:r w:rsidR="00443B17">
        <w:t>n</w:t>
      </w:r>
      <w:r w:rsidR="00443B17" w:rsidRPr="001C158C">
        <w:t xml:space="preserve">umber of AIS </w:t>
      </w:r>
      <w:r w:rsidRPr="001C158C">
        <w:t>submission</w:t>
      </w:r>
      <w:r w:rsidR="00443B17" w:rsidRPr="001C158C">
        <w:t>s</w:t>
      </w:r>
      <w:r w:rsidRPr="0031693A">
        <w:t xml:space="preserve"> </w:t>
      </w:r>
      <w:r w:rsidR="00443B17" w:rsidRPr="001C158C">
        <w:t>by day</w:t>
      </w:r>
      <w:r w:rsidR="0031693A">
        <w:rPr>
          <w:iCs/>
        </w:rPr>
        <w:t>, January 2025</w:t>
      </w:r>
    </w:p>
    <w:p w14:paraId="4AAFE997" w14:textId="7A91D9DF" w:rsidR="004C79DF" w:rsidRDefault="00B87BCE" w:rsidP="00FE1D6B">
      <w:pPr>
        <w:pStyle w:val="ChartGraphic"/>
      </w:pPr>
      <w:r>
        <w:rPr>
          <w:noProof/>
        </w:rPr>
        <w:drawing>
          <wp:inline distT="0" distB="0" distL="0" distR="0" wp14:anchorId="4D45B2FD" wp14:editId="523CCEC5">
            <wp:extent cx="5757684" cy="2517653"/>
            <wp:effectExtent l="0" t="0" r="0" b="0"/>
            <wp:docPr id="898148914" name="Picture 27" descr="This line chart tracks daily AIS submissions from 3 to 31 January. The chart shows that charities in the treatment group consistently submitted their AIS at greater rates than charities in the control group, and this commenced on the date the first email was sent. The treatment group consistently outperformed the control group until approximately 22 January, at which point the treatment group and control groups both show a similar number of daily submissions. There is a strong uptick of AIS submissions among both groups from 27 Janua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148914" name="Picture 27" descr="This line chart tracks daily AIS submissions from 3 to 31 January. The chart shows that charities in the treatment group consistently submitted their AIS at greater rates than charities in the control group, and this commenced on the date the first email was sent. The treatment group consistently outperformed the control group until approximately 22 January, at which point the treatment group and control groups both show a similar number of daily submissions. There is a strong uptick of AIS submissions among both groups from 27 January.  "/>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757684" cy="2517653"/>
                    </a:xfrm>
                    <a:prstGeom prst="rect">
                      <a:avLst/>
                    </a:prstGeom>
                  </pic:spPr>
                </pic:pic>
              </a:graphicData>
            </a:graphic>
          </wp:inline>
        </w:drawing>
      </w:r>
    </w:p>
    <w:p w14:paraId="57EFCAB9" w14:textId="6A9D1188" w:rsidR="00F16E26" w:rsidRPr="00222E33" w:rsidRDefault="005057BC" w:rsidP="00222E33">
      <w:pPr>
        <w:pStyle w:val="ChartorTableNote"/>
      </w:pPr>
      <w:r w:rsidRPr="00222E33">
        <w:t xml:space="preserve">Note: </w:t>
      </w:r>
      <w:r w:rsidR="00D17A7A" w:rsidRPr="00222E33">
        <w:t>Daily submission rate on weekdays only (N = 7,856)</w:t>
      </w:r>
      <w:r w:rsidR="00901D77" w:rsidRPr="00222E33">
        <w:t>.</w:t>
      </w:r>
    </w:p>
    <w:p w14:paraId="4A015909" w14:textId="5113DD88" w:rsidR="00785BA7" w:rsidRDefault="005315FA" w:rsidP="005315FA">
      <w:r>
        <w:t xml:space="preserve">Figure </w:t>
      </w:r>
      <w:r w:rsidR="00CA0CC8">
        <w:t>4</w:t>
      </w:r>
      <w:r w:rsidRPr="005315FA">
        <w:t xml:space="preserve"> </w:t>
      </w:r>
      <w:r w:rsidR="00D96CF1" w:rsidRPr="005315FA">
        <w:t>show</w:t>
      </w:r>
      <w:r w:rsidR="00D96CF1">
        <w:t>s</w:t>
      </w:r>
      <w:r w:rsidR="00D96CF1" w:rsidRPr="005315FA">
        <w:t xml:space="preserve"> </w:t>
      </w:r>
      <w:r w:rsidR="00B87BCE">
        <w:t>the total</w:t>
      </w:r>
      <w:r w:rsidRPr="005315FA">
        <w:t xml:space="preserve"> number of AIS submissions by day, comparing the treatment and control groups. Submissions steadily increased throughout January, with a notable spike in the final days leading up to the </w:t>
      </w:r>
      <w:r w:rsidRPr="005315FA" w:rsidDel="00B8297C">
        <w:t>31</w:t>
      </w:r>
      <w:r w:rsidR="00B8297C">
        <w:t> </w:t>
      </w:r>
      <w:r w:rsidRPr="005315FA">
        <w:t>January</w:t>
      </w:r>
      <w:r w:rsidR="00B8297C">
        <w:t> </w:t>
      </w:r>
      <w:r w:rsidR="00D96CF1">
        <w:t xml:space="preserve">2025 </w:t>
      </w:r>
      <w:r w:rsidRPr="005315FA">
        <w:t xml:space="preserve">deadline. Both groups followed a similar trend, but the treatment group consistently submitted slightly earlier, resulting in a small but visible gap between the </w:t>
      </w:r>
      <w:r w:rsidR="00FD24FB">
        <w:t>2</w:t>
      </w:r>
      <w:r w:rsidR="00901D77">
        <w:t> </w:t>
      </w:r>
      <w:r w:rsidRPr="005315FA">
        <w:t>lines. This suggests that the additional reminder email had a modest but consistent effect on encouraging earlier submissions</w:t>
      </w:r>
      <w:r w:rsidR="008D4280">
        <w:t xml:space="preserve">, consistent with the </w:t>
      </w:r>
      <w:r w:rsidR="00C26062">
        <w:t>‘</w:t>
      </w:r>
      <w:r w:rsidR="008D4280">
        <w:t>survival analysis</w:t>
      </w:r>
      <w:r w:rsidR="00C26062">
        <w:t>’</w:t>
      </w:r>
      <w:r w:rsidR="008D4280">
        <w:t xml:space="preserve"> reported above</w:t>
      </w:r>
      <w:r w:rsidRPr="005315FA">
        <w:t>.</w:t>
      </w:r>
    </w:p>
    <w:p w14:paraId="3ABF8F87" w14:textId="77777777" w:rsidR="00817A02" w:rsidRDefault="00817A02" w:rsidP="00817A02">
      <w:pPr>
        <w:pStyle w:val="NoSpacing"/>
      </w:pPr>
    </w:p>
    <w:tbl>
      <w:tblPr>
        <w:tblW w:w="5000" w:type="pct"/>
        <w:shd w:val="clear" w:color="auto" w:fill="EEEEEE" w:themeFill="background2"/>
        <w:tblCellMar>
          <w:top w:w="227" w:type="dxa"/>
          <w:left w:w="227" w:type="dxa"/>
          <w:bottom w:w="227" w:type="dxa"/>
          <w:right w:w="227" w:type="dxa"/>
        </w:tblCellMar>
        <w:tblLook w:val="01E0" w:firstRow="1" w:lastRow="1" w:firstColumn="1" w:lastColumn="1" w:noHBand="0" w:noVBand="0"/>
      </w:tblPr>
      <w:tblGrid>
        <w:gridCol w:w="9072"/>
      </w:tblGrid>
      <w:tr w:rsidR="000E0A4F" w14:paraId="75685CF7" w14:textId="77777777" w:rsidTr="003A405A">
        <w:tc>
          <w:tcPr>
            <w:tcW w:w="5000" w:type="pct"/>
            <w:shd w:val="clear" w:color="auto" w:fill="EEEEEE" w:themeFill="background2"/>
          </w:tcPr>
          <w:p w14:paraId="3E524686" w14:textId="4A02A98F" w:rsidR="000E0A4F" w:rsidRPr="00E5359D" w:rsidRDefault="000E0A4F" w:rsidP="003A405A">
            <w:pPr>
              <w:pStyle w:val="BoxText"/>
              <w:rPr>
                <w:b/>
                <w:bCs/>
                <w:i/>
                <w:iCs/>
              </w:rPr>
            </w:pPr>
            <w:r w:rsidRPr="000E0A4F">
              <w:rPr>
                <w:b/>
                <w:bCs/>
                <w:i/>
                <w:iCs/>
              </w:rPr>
              <w:t xml:space="preserve">This trial provides evidence that charities that received an additional email reminder to their RP were not only more likely to submit their AIS on </w:t>
            </w:r>
            <w:proofErr w:type="gramStart"/>
            <w:r w:rsidRPr="000E0A4F">
              <w:rPr>
                <w:b/>
                <w:bCs/>
                <w:i/>
                <w:iCs/>
              </w:rPr>
              <w:t>time, but</w:t>
            </w:r>
            <w:proofErr w:type="gramEnd"/>
            <w:r w:rsidRPr="000E0A4F">
              <w:rPr>
                <w:b/>
                <w:bCs/>
                <w:i/>
                <w:iCs/>
              </w:rPr>
              <w:t xml:space="preserve"> also submit it sooner.</w:t>
            </w:r>
          </w:p>
        </w:tc>
      </w:tr>
    </w:tbl>
    <w:p w14:paraId="0391E63F" w14:textId="291FE414" w:rsidR="00A678FA" w:rsidRPr="0055113D" w:rsidRDefault="005B5FDA" w:rsidP="00D12769">
      <w:pPr>
        <w:pStyle w:val="Heading2"/>
      </w:pPr>
      <w:bookmarkStart w:id="29" w:name="_Toc197603339"/>
      <w:bookmarkStart w:id="30" w:name="_Toc207712029"/>
      <w:r>
        <w:t>On</w:t>
      </w:r>
      <w:r w:rsidR="00BA7F5C">
        <w:t>-</w:t>
      </w:r>
      <w:r>
        <w:t xml:space="preserve">time submission rates </w:t>
      </w:r>
      <w:r w:rsidR="00132D8C">
        <w:t xml:space="preserve">increased </w:t>
      </w:r>
      <w:r w:rsidR="00A678FA">
        <w:t xml:space="preserve">across </w:t>
      </w:r>
      <w:r w:rsidR="009578F5">
        <w:t>all</w:t>
      </w:r>
      <w:r w:rsidR="007C1D4C">
        <w:t xml:space="preserve"> </w:t>
      </w:r>
      <w:r w:rsidR="00A678FA">
        <w:t>charity characteristics</w:t>
      </w:r>
      <w:bookmarkEnd w:id="29"/>
      <w:bookmarkEnd w:id="30"/>
    </w:p>
    <w:p w14:paraId="1DD350AD" w14:textId="24378CF3" w:rsidR="00A36C7C" w:rsidRDefault="000E0013" w:rsidP="004545C8">
      <w:r w:rsidRPr="000E0013">
        <w:t>The evaluation also included subgroup analysis to examine whether the treatment had different effects across specific types of charities. Th</w:t>
      </w:r>
      <w:r w:rsidR="00093323">
        <w:t>is subgroup analysis</w:t>
      </w:r>
      <w:r w:rsidRPr="000E0013">
        <w:t xml:space="preserve"> </w:t>
      </w:r>
      <w:r w:rsidR="005541F2">
        <w:t>used standardised ACNC criteria, which were:</w:t>
      </w:r>
    </w:p>
    <w:p w14:paraId="3431B84F" w14:textId="1A531A92" w:rsidR="002A3CCA" w:rsidRPr="00406802" w:rsidRDefault="002A3CCA" w:rsidP="00BC216B">
      <w:pPr>
        <w:pStyle w:val="ListBullet"/>
      </w:pPr>
      <w:r w:rsidRPr="00406802">
        <w:rPr>
          <w:b/>
          <w:bCs/>
        </w:rPr>
        <w:t>Charity size</w:t>
      </w:r>
      <w:r w:rsidRPr="00406802">
        <w:t xml:space="preserve">: </w:t>
      </w:r>
      <w:r w:rsidR="00CC25F8" w:rsidRPr="00406802">
        <w:t>A c</w:t>
      </w:r>
      <w:r w:rsidRPr="00406802">
        <w:t>harit</w:t>
      </w:r>
      <w:r w:rsidR="00CC25F8" w:rsidRPr="00406802">
        <w:t>y</w:t>
      </w:r>
      <w:r w:rsidR="00C26062">
        <w:t>’</w:t>
      </w:r>
      <w:r w:rsidR="00CC25F8" w:rsidRPr="00406802">
        <w:t>s</w:t>
      </w:r>
      <w:r w:rsidR="008A7914" w:rsidRPr="00406802">
        <w:t xml:space="preserve"> size </w:t>
      </w:r>
      <w:r w:rsidR="00316B96" w:rsidRPr="00406802">
        <w:t xml:space="preserve">was classified </w:t>
      </w:r>
      <w:r w:rsidR="008A7914" w:rsidRPr="00406802">
        <w:t xml:space="preserve">based on </w:t>
      </w:r>
      <w:r w:rsidR="00CC25F8" w:rsidRPr="00406802">
        <w:t xml:space="preserve">its </w:t>
      </w:r>
      <w:r w:rsidR="008A7914" w:rsidRPr="00406802">
        <w:t>annual revenue</w:t>
      </w:r>
      <w:r w:rsidR="00316B96" w:rsidRPr="00406802">
        <w:t xml:space="preserve">, following </w:t>
      </w:r>
      <w:r w:rsidR="0042339C" w:rsidRPr="00406802">
        <w:t xml:space="preserve">the </w:t>
      </w:r>
      <w:r w:rsidR="00316B96" w:rsidRPr="00406802">
        <w:t>ACNC legislative criteria: small</w:t>
      </w:r>
      <w:r w:rsidR="00CC25F8" w:rsidRPr="00406802">
        <w:t xml:space="preserve"> </w:t>
      </w:r>
      <w:r w:rsidR="008A7914" w:rsidRPr="00406802">
        <w:t>(</w:t>
      </w:r>
      <w:r w:rsidR="00BE5B15" w:rsidRPr="00406802">
        <w:t>revenue under $500,000)</w:t>
      </w:r>
      <w:r w:rsidRPr="00406802">
        <w:t>, medium</w:t>
      </w:r>
      <w:r w:rsidR="00BE5B15" w:rsidRPr="00406802">
        <w:t xml:space="preserve"> (</w:t>
      </w:r>
      <w:r w:rsidR="0037178F" w:rsidRPr="00406802">
        <w:t>$500,000 to $3</w:t>
      </w:r>
      <w:r w:rsidR="00B16CF5" w:rsidRPr="00406802">
        <w:t> </w:t>
      </w:r>
      <w:r w:rsidR="0037178F" w:rsidRPr="00406802">
        <w:t>million)</w:t>
      </w:r>
      <w:r w:rsidRPr="00406802">
        <w:t>, or large</w:t>
      </w:r>
      <w:r w:rsidR="0037178F" w:rsidRPr="00406802">
        <w:t xml:space="preserve"> </w:t>
      </w:r>
      <w:r w:rsidR="00316B96" w:rsidRPr="00406802">
        <w:t>($3</w:t>
      </w:r>
      <w:r w:rsidR="00B16CF5" w:rsidRPr="00406802">
        <w:t> </w:t>
      </w:r>
      <w:r w:rsidR="00316B96" w:rsidRPr="00406802">
        <w:t>million</w:t>
      </w:r>
      <w:r w:rsidR="0023527D" w:rsidRPr="00406802">
        <w:t xml:space="preserve"> </w:t>
      </w:r>
      <w:r w:rsidR="0037178F" w:rsidRPr="00406802">
        <w:t>or more</w:t>
      </w:r>
      <w:r w:rsidR="00316B96" w:rsidRPr="00406802">
        <w:t>).</w:t>
      </w:r>
    </w:p>
    <w:p w14:paraId="727876B4" w14:textId="4D44EFEF" w:rsidR="002A3CCA" w:rsidRPr="00406802" w:rsidRDefault="002A3CCA" w:rsidP="00BC216B">
      <w:pPr>
        <w:pStyle w:val="ListBullet"/>
      </w:pPr>
      <w:r w:rsidRPr="00406802">
        <w:rPr>
          <w:b/>
          <w:bCs/>
        </w:rPr>
        <w:t>Incorporated association status</w:t>
      </w:r>
      <w:r w:rsidRPr="00406802">
        <w:t xml:space="preserve">: Charities report whether they </w:t>
      </w:r>
      <w:r w:rsidR="00CB50AA" w:rsidRPr="00406802">
        <w:t xml:space="preserve">are </w:t>
      </w:r>
      <w:r w:rsidRPr="00406802">
        <w:t xml:space="preserve">an incorporated association in the AIS. </w:t>
      </w:r>
    </w:p>
    <w:p w14:paraId="126EC696" w14:textId="3534C78E" w:rsidR="002A3CCA" w:rsidRPr="00406802" w:rsidRDefault="002A3CCA" w:rsidP="00BC216B">
      <w:pPr>
        <w:pStyle w:val="ListBullet"/>
      </w:pPr>
      <w:r w:rsidRPr="00406802">
        <w:rPr>
          <w:b/>
          <w:bCs/>
        </w:rPr>
        <w:t>Volunteer</w:t>
      </w:r>
      <w:r w:rsidR="00C26062">
        <w:rPr>
          <w:b/>
          <w:bCs/>
        </w:rPr>
        <w:noBreakHyphen/>
      </w:r>
      <w:r w:rsidRPr="00406802">
        <w:rPr>
          <w:b/>
          <w:bCs/>
        </w:rPr>
        <w:t>based status</w:t>
      </w:r>
      <w:r w:rsidRPr="00406802">
        <w:t xml:space="preserve">: Charities </w:t>
      </w:r>
      <w:r w:rsidR="00CB50AA" w:rsidRPr="00406802">
        <w:t xml:space="preserve">are </w:t>
      </w:r>
      <w:r w:rsidRPr="00406802">
        <w:t>classified as volunteer</w:t>
      </w:r>
      <w:r w:rsidR="00C26062">
        <w:noBreakHyphen/>
      </w:r>
      <w:r w:rsidRPr="00406802">
        <w:t>based if they had no employees but had at least one unpaid volunteer. Otherwise, they were classified as non</w:t>
      </w:r>
      <w:r w:rsidR="00C26062">
        <w:noBreakHyphen/>
      </w:r>
      <w:r w:rsidRPr="00406802">
        <w:t>volunteer</w:t>
      </w:r>
      <w:r w:rsidR="0044422E" w:rsidRPr="00406802">
        <w:t xml:space="preserve"> </w:t>
      </w:r>
      <w:r w:rsidRPr="00406802">
        <w:t>based.</w:t>
      </w:r>
    </w:p>
    <w:p w14:paraId="3EC5313F" w14:textId="05EE698D" w:rsidR="002A3CCA" w:rsidRPr="00406802" w:rsidRDefault="002A3CCA" w:rsidP="00BC216B">
      <w:pPr>
        <w:pStyle w:val="ListBullet"/>
      </w:pPr>
      <w:r w:rsidRPr="00BC216B">
        <w:rPr>
          <w:b/>
          <w:bCs/>
        </w:rPr>
        <w:lastRenderedPageBreak/>
        <w:t xml:space="preserve">Basic </w:t>
      </w:r>
      <w:r w:rsidR="00F94E9C" w:rsidRPr="00BC216B">
        <w:rPr>
          <w:b/>
          <w:bCs/>
        </w:rPr>
        <w:t>Religious</w:t>
      </w:r>
      <w:r w:rsidRPr="00BC216B" w:rsidDel="00F94E9C">
        <w:rPr>
          <w:b/>
          <w:bCs/>
        </w:rPr>
        <w:t xml:space="preserve"> </w:t>
      </w:r>
      <w:r w:rsidR="00F94E9C" w:rsidRPr="00BC216B">
        <w:rPr>
          <w:b/>
          <w:bCs/>
        </w:rPr>
        <w:t xml:space="preserve">Charity </w:t>
      </w:r>
      <w:r w:rsidRPr="00BC216B">
        <w:rPr>
          <w:b/>
          <w:bCs/>
        </w:rPr>
        <w:t>status</w:t>
      </w:r>
      <w:r w:rsidRPr="00406802">
        <w:t xml:space="preserve">: Charities </w:t>
      </w:r>
      <w:r w:rsidR="006860E8" w:rsidRPr="00406802">
        <w:t xml:space="preserve">can </w:t>
      </w:r>
      <w:r w:rsidRPr="00406802">
        <w:t>classify themselves as a Basic Religious Charity if they me</w:t>
      </w:r>
      <w:r w:rsidR="006860E8" w:rsidRPr="00406802">
        <w:t>e</w:t>
      </w:r>
      <w:r w:rsidRPr="00406802">
        <w:t xml:space="preserve">t specific criteria set by </w:t>
      </w:r>
      <w:r w:rsidR="008224E0" w:rsidRPr="00406802">
        <w:t xml:space="preserve">the </w:t>
      </w:r>
      <w:r w:rsidRPr="00406802">
        <w:t>ACNC</w:t>
      </w:r>
      <w:r w:rsidR="00C26062">
        <w:t>’</w:t>
      </w:r>
      <w:r w:rsidR="008224E0" w:rsidRPr="00406802">
        <w:t>s</w:t>
      </w:r>
      <w:r w:rsidRPr="00406802">
        <w:t xml:space="preserve"> legislation.</w:t>
      </w:r>
      <w:r w:rsidR="00724D74" w:rsidRPr="00406802">
        <w:footnoteReference w:id="7"/>
      </w:r>
      <w:r w:rsidRPr="00406802">
        <w:t xml:space="preserve"> </w:t>
      </w:r>
    </w:p>
    <w:p w14:paraId="2DFF260A" w14:textId="0003952A" w:rsidR="002A3CCA" w:rsidRPr="00EC6EE7" w:rsidRDefault="002A3CCA" w:rsidP="00EC6EE7">
      <w:pPr>
        <w:pStyle w:val="ListBullet"/>
      </w:pPr>
      <w:r w:rsidRPr="00EC6EE7">
        <w:rPr>
          <w:b/>
          <w:bCs/>
        </w:rPr>
        <w:t>First AIS</w:t>
      </w:r>
      <w:r w:rsidRPr="00EC6EE7">
        <w:t xml:space="preserve">: The ACNC </w:t>
      </w:r>
      <w:r w:rsidR="002146E0" w:rsidRPr="00EC6EE7">
        <w:t xml:space="preserve">categorised charities according to </w:t>
      </w:r>
      <w:r w:rsidRPr="00EC6EE7">
        <w:t xml:space="preserve">whether this was </w:t>
      </w:r>
      <w:r w:rsidR="002146E0" w:rsidRPr="00EC6EE7">
        <w:t xml:space="preserve">the </w:t>
      </w:r>
      <w:r w:rsidRPr="00EC6EE7">
        <w:t>charity</w:t>
      </w:r>
      <w:r w:rsidR="00C26062">
        <w:t>’</w:t>
      </w:r>
      <w:r w:rsidRPr="00EC6EE7">
        <w:t xml:space="preserve">s first time submitting an AIS. </w:t>
      </w:r>
    </w:p>
    <w:p w14:paraId="247E8E41" w14:textId="121685D4" w:rsidR="00373B7B" w:rsidRDefault="006860E8" w:rsidP="000A27D7">
      <w:r>
        <w:t xml:space="preserve">The </w:t>
      </w:r>
      <w:r w:rsidR="002146E0">
        <w:t>primary</w:t>
      </w:r>
      <w:r>
        <w:t xml:space="preserve"> analysis was run separately for each </w:t>
      </w:r>
      <w:r w:rsidR="00B06598">
        <w:t>sub</w:t>
      </w:r>
      <w:r>
        <w:t>group</w:t>
      </w:r>
      <w:r w:rsidR="00B06598">
        <w:t xml:space="preserve"> of interest</w:t>
      </w:r>
      <w:r>
        <w:t xml:space="preserve">. </w:t>
      </w:r>
      <w:r w:rsidR="00044F05">
        <w:t>For example, the ACE examined the treatment effect (difference between the treatment and control on</w:t>
      </w:r>
      <w:r w:rsidR="00C26062">
        <w:noBreakHyphen/>
      </w:r>
      <w:r w:rsidR="00044F05">
        <w:t xml:space="preserve">time AIS submission rates) for </w:t>
      </w:r>
      <w:r w:rsidR="00373B7B">
        <w:t>volunteer</w:t>
      </w:r>
      <w:r w:rsidR="00C26062">
        <w:noBreakHyphen/>
      </w:r>
      <w:r w:rsidR="002B2C18" w:rsidRPr="002B2C18">
        <w:t>based charities, then just for non</w:t>
      </w:r>
      <w:r w:rsidR="00C26062">
        <w:noBreakHyphen/>
      </w:r>
      <w:r w:rsidR="002B2C18" w:rsidRPr="002B2C18">
        <w:t>volunteer</w:t>
      </w:r>
      <w:r w:rsidR="00C26062">
        <w:noBreakHyphen/>
      </w:r>
      <w:r w:rsidR="002B2C18" w:rsidRPr="002B2C18">
        <w:t>based charities, and so on.</w:t>
      </w:r>
      <w:r w:rsidR="002B2C18">
        <w:t xml:space="preserve"> </w:t>
      </w:r>
    </w:p>
    <w:p w14:paraId="50167A61" w14:textId="2158CB12" w:rsidR="005F5BB4" w:rsidRDefault="00373B7B" w:rsidP="007C1D4C">
      <w:r>
        <w:t>Across all subgroups, the treatment improved on</w:t>
      </w:r>
      <w:r w:rsidR="00C26062">
        <w:noBreakHyphen/>
      </w:r>
      <w:r>
        <w:t xml:space="preserve">time submission rates. That is, there was no evidence </w:t>
      </w:r>
      <w:r w:rsidR="00AA343E">
        <w:t>that the treatment did not improve submission rates, or backfired, for any</w:t>
      </w:r>
      <w:r w:rsidR="00B07D5B">
        <w:t xml:space="preserve"> </w:t>
      </w:r>
      <w:r w:rsidR="00AE544D">
        <w:t xml:space="preserve">specific type </w:t>
      </w:r>
      <w:r w:rsidR="008F6EE0">
        <w:t>of charity</w:t>
      </w:r>
      <w:r>
        <w:t xml:space="preserve">. </w:t>
      </w:r>
    </w:p>
    <w:p w14:paraId="4F583885" w14:textId="6D007DDC" w:rsidR="00222F34" w:rsidRDefault="00580C07" w:rsidP="007C1D4C">
      <w:r w:rsidRPr="00580C07">
        <w:t xml:space="preserve">Figure </w:t>
      </w:r>
      <w:r w:rsidR="00404F93">
        <w:t>5</w:t>
      </w:r>
      <w:r w:rsidRPr="00580C07">
        <w:t xml:space="preserve"> shows that large charities had the highest on</w:t>
      </w:r>
      <w:r w:rsidR="00C26062">
        <w:noBreakHyphen/>
      </w:r>
      <w:r w:rsidRPr="00580C07">
        <w:t>time submission rates, regardless of treatment status. Among large charities, 80.9% in the treatment group submitted on time compared to 77.3% in the control group, indicating a 3.6 percentage point improvement due to the treatment. Medium and small charities experienced larger effects, with treatment leading to a 5.1 percentage point increase for medium charities and a 5.8 percentage point increase for small charities.</w:t>
      </w:r>
      <w:r w:rsidR="000C0284">
        <w:t xml:space="preserve"> </w:t>
      </w:r>
    </w:p>
    <w:p w14:paraId="702F4B32" w14:textId="034F0675" w:rsidR="00882877" w:rsidRPr="00FE1D6B" w:rsidRDefault="002F5191" w:rsidP="00FE1D6B">
      <w:pPr>
        <w:pStyle w:val="ChartMainHeading"/>
      </w:pPr>
      <w:r w:rsidRPr="00FE1D6B">
        <w:t xml:space="preserve">Figure </w:t>
      </w:r>
      <w:r w:rsidR="00404F93" w:rsidRPr="00FE1D6B">
        <w:t>5</w:t>
      </w:r>
      <w:r w:rsidR="00992931" w:rsidRPr="00FE1D6B">
        <w:t xml:space="preserve">. </w:t>
      </w:r>
      <w:r w:rsidR="00192156" w:rsidRPr="00FE1D6B">
        <w:t>O</w:t>
      </w:r>
      <w:r w:rsidR="00CF1476" w:rsidRPr="00FE1D6B">
        <w:t>n</w:t>
      </w:r>
      <w:r w:rsidR="00BA7F5C">
        <w:t>-</w:t>
      </w:r>
      <w:r w:rsidR="00CF1476" w:rsidRPr="00FE1D6B">
        <w:t xml:space="preserve">time </w:t>
      </w:r>
      <w:r w:rsidR="00192156" w:rsidRPr="00FE1D6B">
        <w:t xml:space="preserve">AIS </w:t>
      </w:r>
      <w:r w:rsidR="00CF1476" w:rsidRPr="00FE1D6B">
        <w:t>submission rate</w:t>
      </w:r>
      <w:r w:rsidR="00992931" w:rsidRPr="00FE1D6B">
        <w:t xml:space="preserve"> for charities by </w:t>
      </w:r>
      <w:r w:rsidR="00E5780A" w:rsidRPr="00FE1D6B">
        <w:t>size</w:t>
      </w:r>
    </w:p>
    <w:p w14:paraId="20B9FD20" w14:textId="2BF6F6DF" w:rsidR="00575203" w:rsidRPr="00297D41" w:rsidRDefault="00CE3F8F" w:rsidP="00FE1D6B">
      <w:pPr>
        <w:pStyle w:val="ChartGraphic"/>
      </w:pPr>
      <w:r w:rsidRPr="00FE1D6B">
        <w:rPr>
          <w:noProof/>
        </w:rPr>
        <w:drawing>
          <wp:inline distT="0" distB="0" distL="0" distR="0" wp14:anchorId="3C699B0F" wp14:editId="7144F159">
            <wp:extent cx="5757684" cy="2517653"/>
            <wp:effectExtent l="0" t="0" r="0" b="0"/>
            <wp:docPr id="1556280779" name="Picture 2" descr="This bar chart shows the predicted probability of on-time AIS submission by charity size. For small charities, the control group had a submission rate of 53.5%, while the treatment group had 59.3%. For medium charities, the control group submitted at 63.5% compared to 68.7% in the treatment group. Among large charities, 77.2% submitted on time in the control group, while 80.9% did so in the treatment group. In all size categories, the treatment group outperformed the control group on on-time submis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280779" name="Picture 2" descr="This bar chart shows the predicted probability of on-time AIS submission by charity size. For small charities, the control group had a submission rate of 53.5%, while the treatment group had 59.3%. For medium charities, the control group submitted at 63.5% compared to 68.7% in the treatment group. Among large charities, 77.2% submitted on time in the control group, while 80.9% did so in the treatment group. In all size categories, the treatment group outperformed the control group on on-time submissions."/>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757684" cy="2517653"/>
                    </a:xfrm>
                    <a:prstGeom prst="rect">
                      <a:avLst/>
                    </a:prstGeom>
                  </pic:spPr>
                </pic:pic>
              </a:graphicData>
            </a:graphic>
          </wp:inline>
        </w:drawing>
      </w:r>
    </w:p>
    <w:p w14:paraId="025C38F4" w14:textId="50D23A38" w:rsidR="00882877" w:rsidRPr="00E46935" w:rsidRDefault="00C468A8" w:rsidP="00E46935">
      <w:pPr>
        <w:pStyle w:val="ChartorTableNote"/>
      </w:pPr>
      <w:r w:rsidRPr="00E46935">
        <w:t xml:space="preserve">Note: </w:t>
      </w:r>
      <w:r w:rsidR="00882877" w:rsidRPr="00E46935">
        <w:t>N=1</w:t>
      </w:r>
      <w:r w:rsidRPr="00E46935">
        <w:t>,</w:t>
      </w:r>
      <w:r w:rsidR="00882877" w:rsidRPr="00E46935">
        <w:t>228 for Large Charities, N= 2</w:t>
      </w:r>
      <w:r w:rsidRPr="00E46935">
        <w:t>,</w:t>
      </w:r>
      <w:r w:rsidR="00882877" w:rsidRPr="00E46935">
        <w:t>231 for Medium Charities, N=10</w:t>
      </w:r>
      <w:r w:rsidRPr="00E46935">
        <w:t>,</w:t>
      </w:r>
      <w:r w:rsidR="00882877" w:rsidRPr="00E46935">
        <w:t>347 for Small Charities</w:t>
      </w:r>
      <w:r w:rsidRPr="00E46935">
        <w:t>.</w:t>
      </w:r>
      <w:r w:rsidR="004E334F" w:rsidRPr="00E46935">
        <w:t xml:space="preserve"> </w:t>
      </w:r>
      <w:r w:rsidR="00E95E3D" w:rsidRPr="00E46935">
        <w:t>The sample sizes do not add up to the full sample of 15,000 due to missing data</w:t>
      </w:r>
      <w:r w:rsidR="00554552" w:rsidRPr="00E46935">
        <w:t>. S</w:t>
      </w:r>
      <w:r w:rsidR="00E95E3D" w:rsidRPr="00E46935">
        <w:t>ee the Technical Appendix</w:t>
      </w:r>
      <w:r w:rsidR="00067477" w:rsidRPr="00E46935">
        <w:t> C</w:t>
      </w:r>
      <w:r w:rsidR="00E95E3D" w:rsidRPr="00E46935">
        <w:t xml:space="preserve"> for more details.</w:t>
      </w:r>
    </w:p>
    <w:p w14:paraId="539B9F2B" w14:textId="6AB70C5F" w:rsidR="000C0284" w:rsidRDefault="000C0284" w:rsidP="000A27D7">
      <w:r>
        <w:t xml:space="preserve">The results for the remaining 4 subgroup analyses are shown in Figure </w:t>
      </w:r>
      <w:r w:rsidR="004A17D5">
        <w:t>6</w:t>
      </w:r>
      <w:r>
        <w:t xml:space="preserve">. </w:t>
      </w:r>
    </w:p>
    <w:p w14:paraId="7EC444EC" w14:textId="46A1739F" w:rsidR="00D7721E" w:rsidRDefault="00582296" w:rsidP="000A27D7">
      <w:pPr>
        <w:sectPr w:rsidR="00D7721E" w:rsidSect="00C33623">
          <w:footerReference w:type="even" r:id="rId34"/>
          <w:footerReference w:type="default" r:id="rId35"/>
          <w:pgSz w:w="11906" w:h="16838" w:code="9"/>
          <w:pgMar w:top="1843" w:right="1417" w:bottom="1417" w:left="1417" w:header="709" w:footer="709" w:gutter="0"/>
          <w:cols w:space="708"/>
          <w:docGrid w:linePitch="360"/>
        </w:sectPr>
      </w:pPr>
      <w:r>
        <w:t>Although there were some differences in the magnitude of the treatment effect when comparing it across different subgroups</w:t>
      </w:r>
      <w:r w:rsidR="00F878E6">
        <w:t xml:space="preserve">, none of these </w:t>
      </w:r>
      <w:r w:rsidR="003A6469">
        <w:t xml:space="preserve">differences </w:t>
      </w:r>
      <w:r w:rsidR="00F878E6">
        <w:t xml:space="preserve">were statistically significant. </w:t>
      </w:r>
      <w:r w:rsidR="004545C8" w:rsidRPr="004545C8">
        <w:t>This could mean th</w:t>
      </w:r>
      <w:r w:rsidR="00F878E6">
        <w:t>at th</w:t>
      </w:r>
      <w:r w:rsidR="004545C8" w:rsidRPr="004545C8">
        <w:t xml:space="preserve">e </w:t>
      </w:r>
      <w:r w:rsidR="00F878E6">
        <w:t xml:space="preserve">treatment </w:t>
      </w:r>
      <w:r w:rsidR="004545C8" w:rsidRPr="004545C8">
        <w:t xml:space="preserve">effect is similar across groups, or it could </w:t>
      </w:r>
      <w:r w:rsidR="00426D40">
        <w:t>be because</w:t>
      </w:r>
      <w:r w:rsidR="00C57428">
        <w:t xml:space="preserve"> </w:t>
      </w:r>
      <w:r w:rsidR="00DD463F">
        <w:t xml:space="preserve">there was insufficient sample size to detect small differences in the </w:t>
      </w:r>
      <w:r w:rsidR="003115CB">
        <w:t>treatment effect</w:t>
      </w:r>
      <w:r w:rsidR="007C1D4C" w:rsidRPr="007C1D4C">
        <w:t>.</w:t>
      </w:r>
    </w:p>
    <w:p w14:paraId="081B057F" w14:textId="4D31A60A" w:rsidR="00FC667F" w:rsidRDefault="0044728D" w:rsidP="00A121D0">
      <w:pPr>
        <w:pStyle w:val="ChartMainHeading"/>
      </w:pPr>
      <w:r>
        <w:rPr>
          <w:noProof/>
        </w:rPr>
        <w:lastRenderedPageBreak/>
        <w:drawing>
          <wp:anchor distT="0" distB="0" distL="114300" distR="114300" simplePos="0" relativeHeight="251658242" behindDoc="1" locked="0" layoutInCell="1" allowOverlap="1" wp14:anchorId="5F02DD57" wp14:editId="0C22150D">
            <wp:simplePos x="0" y="0"/>
            <wp:positionH relativeFrom="column">
              <wp:posOffset>14605</wp:posOffset>
            </wp:positionH>
            <wp:positionV relativeFrom="paragraph">
              <wp:posOffset>276225</wp:posOffset>
            </wp:positionV>
            <wp:extent cx="8622030" cy="4311015"/>
            <wp:effectExtent l="0" t="0" r="7620" b="0"/>
            <wp:wrapTight wrapText="bothSides">
              <wp:wrapPolygon edited="0">
                <wp:start x="0" y="0"/>
                <wp:lineTo x="0" y="21476"/>
                <wp:lineTo x="21571" y="21476"/>
                <wp:lineTo x="21571" y="0"/>
                <wp:lineTo x="0" y="0"/>
              </wp:wrapPolygon>
            </wp:wrapTight>
            <wp:docPr id="1622950082" name="Picture 5" descr="This image shows four bar charts comparing predicted on-time AIS submission rates between control and treatment groups across different charity subgroups. For incorporated associations, 55.9% of the control group submitted on time compared to 62.3% of the treatment group; for non-incorporated associations, the rates were 58.4% and 63.1%, respectively. Among charities submitting an AIS for the first-time AIS, 46.3% submitted on time in the control group versus 52.7% in the treatment group, while returning filers had rates of 57.3%  for the control group and 62.6% for the treatment group. For Basic Religious Charities, on time rates were 57.3% (control) and 64.5% (treatment), and for non-basic-religious charities, 57.2% on-time rates for the control and 62.6% for the treatment group. Volunteer-based charities had submission rates of 53.6% for the control group and 59.1% for the treatment group, while non-volunteer-based charities had on-time submission rates of 60.5% and 66.1%, respectively. In all subgroups, the treatment group that received an additional email reminder to a Responsible Person demonstrated higher on-time submission rates, with small error bars indicating narrow confidence interv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950082" name="Picture 5" descr="This image shows four bar charts comparing predicted on-time AIS submission rates between control and treatment groups across different charity subgroups. For incorporated associations, 55.9% of the control group submitted on time compared to 62.3% of the treatment group; for non-incorporated associations, the rates were 58.4% and 63.1%, respectively. Among charities submitting an AIS for the first-time AIS, 46.3% submitted on time in the control group versus 52.7% in the treatment group, while returning filers had rates of 57.3%  for the control group and 62.6% for the treatment group. For Basic Religious Charities, on time rates were 57.3% (control) and 64.5% (treatment), and for non-basic-religious charities, 57.2% on-time rates for the control and 62.6% for the treatment group. Volunteer-based charities had submission rates of 53.6% for the control group and 59.1% for the treatment group, while non-volunteer-based charities had on-time submission rates of 60.5% and 66.1%, respectively. In all subgroups, the treatment group that received an additional email reminder to a Responsible Person demonstrated higher on-time submission rates, with small error bars indicating narrow confidence intervals."/>
                    <pic:cNvPicPr/>
                  </pic:nvPicPr>
                  <pic:blipFill>
                    <a:blip r:embed="rId36" cstate="print">
                      <a:extLst>
                        <a:ext uri="{28A0092B-C50C-407E-A947-70E740481C1C}">
                          <a14:useLocalDpi xmlns:a14="http://schemas.microsoft.com/office/drawing/2010/main" val="0"/>
                        </a:ext>
                      </a:extLst>
                    </a:blip>
                    <a:stretch>
                      <a:fillRect/>
                    </a:stretch>
                  </pic:blipFill>
                  <pic:spPr>
                    <a:xfrm>
                      <a:off x="0" y="0"/>
                      <a:ext cx="8622030" cy="4311015"/>
                    </a:xfrm>
                    <a:prstGeom prst="rect">
                      <a:avLst/>
                    </a:prstGeom>
                  </pic:spPr>
                </pic:pic>
              </a:graphicData>
            </a:graphic>
            <wp14:sizeRelH relativeFrom="margin">
              <wp14:pctWidth>0</wp14:pctWidth>
            </wp14:sizeRelH>
            <wp14:sizeRelV relativeFrom="margin">
              <wp14:pctHeight>0</wp14:pctHeight>
            </wp14:sizeRelV>
          </wp:anchor>
        </w:drawing>
      </w:r>
      <w:r w:rsidR="00C92A8D">
        <w:rPr>
          <w:noProof/>
        </w:rPr>
        <mc:AlternateContent>
          <mc:Choice Requires="wpg">
            <w:drawing>
              <wp:anchor distT="0" distB="0" distL="114300" distR="114300" simplePos="0" relativeHeight="251658241" behindDoc="0" locked="0" layoutInCell="1" allowOverlap="1" wp14:anchorId="4628C220" wp14:editId="40FDF2DB">
                <wp:simplePos x="0" y="0"/>
                <wp:positionH relativeFrom="column">
                  <wp:posOffset>-715645</wp:posOffset>
                </wp:positionH>
                <wp:positionV relativeFrom="paragraph">
                  <wp:posOffset>2339476</wp:posOffset>
                </wp:positionV>
                <wp:extent cx="10239375" cy="2269988"/>
                <wp:effectExtent l="0" t="0" r="0" b="0"/>
                <wp:wrapSquare wrapText="bothSides"/>
                <wp:docPr id="1707868939" name="Group 7" descr="Alt text: This Kaplan-Meier survival plot shows the proportion of charities that had not submitted their AIS over time between 3 January and 31 January 2025. The treatment group shows a steeper decline, indicating earlier submissions. "/>
                <wp:cNvGraphicFramePr/>
                <a:graphic xmlns:a="http://schemas.openxmlformats.org/drawingml/2006/main">
                  <a:graphicData uri="http://schemas.microsoft.com/office/word/2010/wordprocessingGroup">
                    <wpg:wgp>
                      <wpg:cNvGrpSpPr/>
                      <wpg:grpSpPr>
                        <a:xfrm>
                          <a:off x="0" y="0"/>
                          <a:ext cx="0" cy="0"/>
                          <a:chOff x="0" y="0"/>
                          <a:chExt cx="0" cy="0"/>
                        </a:xfrm>
                      </wpg:grpSpPr>
                    </wpg:wgp>
                  </a:graphicData>
                </a:graphic>
                <wp14:sizeRelH relativeFrom="margin">
                  <wp14:pctWidth>0</wp14:pctWidth>
                </wp14:sizeRelH>
                <wp14:sizeRelV relativeFrom="margin">
                  <wp14:pctHeight>0</wp14:pctHeight>
                </wp14:sizeRelV>
              </wp:anchor>
            </w:drawing>
          </mc:Choice>
          <mc:Fallback>
            <w:pict>
              <v:group w14:anchorId="0C574430" id="Group 7" o:spid="_x0000_s1026" alt="Alt text: This Kaplan-Meier survival plot shows the proportion of charities that had not submitted their AIS over time between 3 January and 31 January 2025. The treatment group shows a steeper decline, indicating earlier submissions. " style="position:absolute;margin-left:-56.35pt;margin-top:184.2pt;width:806.25pt;height:178.75pt;z-index:251658241;mso-width-relative:margin;mso-height-relative:margin"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">
                <w10:wrap type="square"/>
              </v:group>
            </w:pict>
          </mc:Fallback>
        </mc:AlternateContent>
      </w:r>
      <w:r w:rsidR="00FC667F" w:rsidRPr="00F46305">
        <w:t xml:space="preserve">Figure </w:t>
      </w:r>
      <w:r w:rsidR="001366C2">
        <w:t>6</w:t>
      </w:r>
      <w:r w:rsidR="00D27764">
        <w:t>.</w:t>
      </w:r>
      <w:r w:rsidR="00FC667F" w:rsidRPr="00F46305">
        <w:t xml:space="preserve"> </w:t>
      </w:r>
      <w:r w:rsidR="00192156">
        <w:t>O</w:t>
      </w:r>
      <w:r w:rsidR="00FC667F" w:rsidRPr="00F46305">
        <w:t>n</w:t>
      </w:r>
      <w:r w:rsidR="00BA7F5C">
        <w:t>-</w:t>
      </w:r>
      <w:r w:rsidR="00FC667F" w:rsidRPr="00F46305">
        <w:t xml:space="preserve">time </w:t>
      </w:r>
      <w:r w:rsidR="00192156">
        <w:t xml:space="preserve">AIS </w:t>
      </w:r>
      <w:r w:rsidR="00FC667F" w:rsidRPr="00A121D0">
        <w:t>submission</w:t>
      </w:r>
      <w:r w:rsidR="00FC667F" w:rsidRPr="00F46305">
        <w:t xml:space="preserve"> rate for charities by </w:t>
      </w:r>
      <w:r w:rsidR="00192156">
        <w:t xml:space="preserve">charity </w:t>
      </w:r>
      <w:r w:rsidR="00E85E36">
        <w:t>characteristic</w:t>
      </w:r>
    </w:p>
    <w:p w14:paraId="5D48E368" w14:textId="4C4C157B" w:rsidR="00967B7C" w:rsidRPr="00A121D0" w:rsidRDefault="0011698F" w:rsidP="00A121D0">
      <w:pPr>
        <w:pStyle w:val="ChartorTableNote"/>
        <w:sectPr w:rsidR="00967B7C" w:rsidRPr="00A121D0" w:rsidSect="00B82673">
          <w:footerReference w:type="even" r:id="rId37"/>
          <w:footerReference w:type="default" r:id="rId38"/>
          <w:pgSz w:w="16838" w:h="11906" w:orient="landscape" w:code="9"/>
          <w:pgMar w:top="1417" w:right="1843" w:bottom="1417" w:left="1417" w:header="709" w:footer="709" w:gutter="0"/>
          <w:cols w:space="708"/>
          <w:docGrid w:linePitch="360"/>
        </w:sectPr>
      </w:pPr>
      <w:r w:rsidRPr="00A121D0">
        <w:t xml:space="preserve">Note: First row: </w:t>
      </w:r>
      <w:r w:rsidR="00487EF6" w:rsidRPr="00A121D0">
        <w:t>N=6</w:t>
      </w:r>
      <w:r w:rsidR="00880F3A" w:rsidRPr="00A121D0">
        <w:t>,</w:t>
      </w:r>
      <w:r w:rsidR="00487EF6" w:rsidRPr="00A121D0">
        <w:t>481 for Incorporated Association, N=7</w:t>
      </w:r>
      <w:r w:rsidR="00880F3A" w:rsidRPr="00A121D0">
        <w:t>,</w:t>
      </w:r>
      <w:r w:rsidR="00487EF6" w:rsidRPr="00A121D0">
        <w:t>325 for Non</w:t>
      </w:r>
      <w:r w:rsidR="00C26062">
        <w:noBreakHyphen/>
      </w:r>
      <w:r w:rsidR="00487EF6" w:rsidRPr="00A121D0">
        <w:t>Incorporated Association</w:t>
      </w:r>
      <w:r w:rsidRPr="00A121D0">
        <w:t xml:space="preserve">. </w:t>
      </w:r>
      <w:r w:rsidR="00487EF6" w:rsidRPr="00A121D0">
        <w:t>N=1</w:t>
      </w:r>
      <w:r w:rsidR="00880F3A" w:rsidRPr="00A121D0">
        <w:t>,</w:t>
      </w:r>
      <w:r w:rsidR="00487EF6" w:rsidRPr="00A121D0">
        <w:t>192 for Submitted AIS for the first time, N= 13</w:t>
      </w:r>
      <w:r w:rsidR="00880F3A" w:rsidRPr="00A121D0">
        <w:t>,</w:t>
      </w:r>
      <w:r w:rsidR="00487EF6" w:rsidRPr="00A121D0">
        <w:t>808 for Submitted AIS before</w:t>
      </w:r>
      <w:r w:rsidR="00880F3A" w:rsidRPr="00A121D0">
        <w:t>.</w:t>
      </w:r>
      <w:r w:rsidR="00207EAC" w:rsidRPr="00A121D0">
        <w:t xml:space="preserve"> </w:t>
      </w:r>
      <w:r w:rsidRPr="00A121D0">
        <w:t xml:space="preserve">Second row: </w:t>
      </w:r>
      <w:r w:rsidR="003D2AD2" w:rsidRPr="00A121D0">
        <w:t xml:space="preserve">N=896 for </w:t>
      </w:r>
      <w:r w:rsidR="0039303E" w:rsidRPr="00A121D0">
        <w:t>B</w:t>
      </w:r>
      <w:r w:rsidR="003D2AD2" w:rsidRPr="00A121D0">
        <w:t xml:space="preserve">asic </w:t>
      </w:r>
      <w:r w:rsidR="008B3E3F" w:rsidRPr="00A121D0">
        <w:t>r</w:t>
      </w:r>
      <w:r w:rsidR="003D2AD2" w:rsidRPr="00A121D0">
        <w:t>eligious charities</w:t>
      </w:r>
      <w:r w:rsidR="0039303E" w:rsidRPr="00A121D0">
        <w:t xml:space="preserve"> and N= 12</w:t>
      </w:r>
      <w:r w:rsidR="00880F3A" w:rsidRPr="00A121D0">
        <w:t>,</w:t>
      </w:r>
      <w:r w:rsidR="0039303E" w:rsidRPr="00A121D0">
        <w:t xml:space="preserve">910 for </w:t>
      </w:r>
      <w:r w:rsidR="008B3E3F" w:rsidRPr="00A121D0">
        <w:t>N</w:t>
      </w:r>
      <w:r w:rsidR="0039303E" w:rsidRPr="00A121D0">
        <w:t>on</w:t>
      </w:r>
      <w:r w:rsidR="00C26062">
        <w:noBreakHyphen/>
      </w:r>
      <w:r w:rsidR="0039303E" w:rsidRPr="00A121D0">
        <w:t>basic religious charities.</w:t>
      </w:r>
      <w:r w:rsidR="00C9739E" w:rsidRPr="00A121D0">
        <w:t xml:space="preserve"> N=6</w:t>
      </w:r>
      <w:r w:rsidR="00880F3A" w:rsidRPr="00A121D0">
        <w:t>,</w:t>
      </w:r>
      <w:r w:rsidR="00C9739E" w:rsidRPr="00A121D0">
        <w:t>561 for Volunteer</w:t>
      </w:r>
      <w:r w:rsidR="00C26062">
        <w:noBreakHyphen/>
      </w:r>
      <w:r w:rsidR="00C9739E" w:rsidRPr="00A121D0">
        <w:t>based, N=7</w:t>
      </w:r>
      <w:r w:rsidR="00880F3A" w:rsidRPr="00A121D0">
        <w:t>,</w:t>
      </w:r>
      <w:r w:rsidR="00C9739E" w:rsidRPr="00A121D0">
        <w:t>245 for Non</w:t>
      </w:r>
      <w:r w:rsidR="00C26062">
        <w:noBreakHyphen/>
      </w:r>
      <w:r w:rsidR="00C9739E" w:rsidRPr="00A121D0">
        <w:t>volunteer</w:t>
      </w:r>
      <w:r w:rsidR="00C26062">
        <w:noBreakHyphen/>
      </w:r>
      <w:r w:rsidR="00C9739E" w:rsidRPr="00A121D0">
        <w:t>based</w:t>
      </w:r>
      <w:r w:rsidR="00880F3A" w:rsidRPr="00A121D0">
        <w:t>.</w:t>
      </w:r>
      <w:r w:rsidR="00A4065A" w:rsidRPr="00A121D0">
        <w:t xml:space="preserve"> For most of these subgroup analyses, the sample sizes do not sum to 15,000 </w:t>
      </w:r>
      <w:r w:rsidR="0092242C" w:rsidRPr="00A121D0">
        <w:t>due to</w:t>
      </w:r>
      <w:r w:rsidR="00163919" w:rsidRPr="00A121D0">
        <w:t xml:space="preserve"> missing data in the subgroup</w:t>
      </w:r>
      <w:r w:rsidR="0092242C" w:rsidRPr="00A121D0">
        <w:t>s</w:t>
      </w:r>
      <w:r w:rsidR="002A77E5" w:rsidRPr="00A121D0">
        <w:t>. S</w:t>
      </w:r>
      <w:r w:rsidR="00163919" w:rsidRPr="00A121D0">
        <w:t xml:space="preserve">ee Technical Appendix </w:t>
      </w:r>
      <w:r w:rsidR="00184120" w:rsidRPr="00A121D0">
        <w:t xml:space="preserve">C </w:t>
      </w:r>
      <w:r w:rsidR="00163919" w:rsidRPr="00A121D0">
        <w:t>for more details</w:t>
      </w:r>
      <w:r w:rsidR="002A77E5" w:rsidRPr="00A121D0">
        <w:t>.</w:t>
      </w:r>
      <w:r w:rsidR="00A4065A" w:rsidRPr="00A121D0">
        <w:t xml:space="preserve"> </w:t>
      </w:r>
    </w:p>
    <w:p w14:paraId="639D84C6" w14:textId="0566B78D" w:rsidR="008B0665" w:rsidRPr="00A5534E" w:rsidRDefault="00BD1528" w:rsidP="00620791">
      <w:pPr>
        <w:pStyle w:val="Heading2"/>
        <w:spacing w:before="0"/>
      </w:pPr>
      <w:bookmarkStart w:id="31" w:name="_Toc207712030"/>
      <w:r w:rsidRPr="00A5534E">
        <w:lastRenderedPageBreak/>
        <w:t>Operational considerations</w:t>
      </w:r>
      <w:bookmarkEnd w:id="31"/>
    </w:p>
    <w:p w14:paraId="004BD8B2" w14:textId="14B85ADE" w:rsidR="00C002DA" w:rsidRPr="00A5534E" w:rsidRDefault="004330B0" w:rsidP="00C002DA">
      <w:r w:rsidRPr="00A5534E">
        <w:t xml:space="preserve">Although an explicit assessment of </w:t>
      </w:r>
      <w:r w:rsidR="00835EE4" w:rsidRPr="00A5534E">
        <w:t xml:space="preserve">the operational </w:t>
      </w:r>
      <w:r w:rsidRPr="00A5534E">
        <w:t xml:space="preserve">costs and </w:t>
      </w:r>
      <w:r w:rsidR="0002157B" w:rsidRPr="00A5534E">
        <w:t>operational savings</w:t>
      </w:r>
      <w:r w:rsidRPr="00A5534E">
        <w:t xml:space="preserve"> was not included in the original Pre</w:t>
      </w:r>
      <w:r w:rsidR="00C26062">
        <w:noBreakHyphen/>
      </w:r>
      <w:r w:rsidRPr="00A5534E">
        <w:t>Analysis Plan, evaluating the practical costs and operational trade</w:t>
      </w:r>
      <w:r w:rsidR="00C26062">
        <w:noBreakHyphen/>
      </w:r>
      <w:r w:rsidRPr="00A5534E">
        <w:t xml:space="preserve">offs associated with the intervention provides </w:t>
      </w:r>
      <w:r w:rsidR="001D0B0F" w:rsidRPr="00A5534E">
        <w:t xml:space="preserve">important </w:t>
      </w:r>
      <w:r w:rsidRPr="00A5534E">
        <w:t>context for interpreting the trial</w:t>
      </w:r>
      <w:r w:rsidR="00C26062">
        <w:t>’</w:t>
      </w:r>
      <w:r w:rsidRPr="00A5534E">
        <w:t>s outcomes and informing future implementation decisions.</w:t>
      </w:r>
      <w:r w:rsidR="00975F68" w:rsidRPr="00A5534E">
        <w:t xml:space="preserve"> This section discusses these considerations.</w:t>
      </w:r>
    </w:p>
    <w:p w14:paraId="1EEA9683" w14:textId="1183981C" w:rsidR="006D3AB9" w:rsidRPr="00A5534E" w:rsidRDefault="00BD1528" w:rsidP="004A6817">
      <w:pPr>
        <w:pStyle w:val="Heading3"/>
      </w:pPr>
      <w:r w:rsidRPr="00A5534E">
        <w:t>Operational c</w:t>
      </w:r>
      <w:r w:rsidR="008B0665" w:rsidRPr="00A5534E">
        <w:t>ost</w:t>
      </w:r>
      <w:r w:rsidRPr="00A5534E">
        <w:t>s of the intervention</w:t>
      </w:r>
    </w:p>
    <w:p w14:paraId="01EA4DAF" w14:textId="37DA85BA" w:rsidR="00856FA9" w:rsidRPr="00A5534E" w:rsidRDefault="00856FA9" w:rsidP="00856FA9">
      <w:r w:rsidRPr="00A5534E">
        <w:t xml:space="preserve">While the additional reminder email to the Responsible Person had clear benefits, described </w:t>
      </w:r>
      <w:r w:rsidR="00AE187D" w:rsidRPr="00A5534E">
        <w:t>in Chapter 3</w:t>
      </w:r>
      <w:r w:rsidRPr="00A5534E">
        <w:t xml:space="preserve">, it also involved various </w:t>
      </w:r>
      <w:r w:rsidR="00015BC9" w:rsidRPr="00A5534E">
        <w:t>implementation</w:t>
      </w:r>
      <w:r w:rsidR="00AB0E35" w:rsidRPr="00A5534E">
        <w:t xml:space="preserve"> </w:t>
      </w:r>
      <w:r w:rsidRPr="00A5534E">
        <w:t>costs.</w:t>
      </w:r>
    </w:p>
    <w:p w14:paraId="14B2E0F5" w14:textId="53271AE6" w:rsidR="00856FA9" w:rsidRPr="00A5534E" w:rsidRDefault="00856FA9" w:rsidP="00856FA9">
      <w:r w:rsidRPr="00A5534E">
        <w:t>First, it was not possible to fully automate message delivery. Instead, for each batch of emails, the ACNC undertook manual data cleaning to ensure they were using the most accurate email address for the Responsible Person. This involved removing duplicate email addresses and updating the Responsible Person</w:t>
      </w:r>
      <w:r w:rsidR="00C26062">
        <w:t>’</w:t>
      </w:r>
      <w:r w:rsidRPr="00A5534E">
        <w:t xml:space="preserve">s email address if it had changed. This dataset was then uploaded to the mailout provider. Cumulatively, these tasks took about one full day of work </w:t>
      </w:r>
      <w:r w:rsidR="006438C9" w:rsidRPr="00A5534E">
        <w:t xml:space="preserve">over the trial period </w:t>
      </w:r>
      <w:r w:rsidRPr="00A5534E">
        <w:t xml:space="preserve">to complete. </w:t>
      </w:r>
    </w:p>
    <w:p w14:paraId="2D6CDB31" w14:textId="1126351F" w:rsidR="00856FA9" w:rsidRPr="00A5534E" w:rsidRDefault="00856FA9" w:rsidP="00856FA9">
      <w:r w:rsidRPr="00A5534E">
        <w:t>Second,</w:t>
      </w:r>
      <w:r w:rsidRPr="00A5534E" w:rsidDel="006438C9">
        <w:t xml:space="preserve"> </w:t>
      </w:r>
      <w:r w:rsidRPr="00A5534E">
        <w:t>the additional reminder email generated an increase in enquiries to the ACNC</w:t>
      </w:r>
      <w:r w:rsidR="00C26062">
        <w:t>’</w:t>
      </w:r>
      <w:r w:rsidRPr="00A5534E">
        <w:t>s call centre. During the period, the ACNC received an extra 77 calls (8.8%) from charities receiving the additional reminder (</w:t>
      </w:r>
      <w:r w:rsidR="00D24A2C" w:rsidRPr="00A5534E">
        <w:t>872</w:t>
      </w:r>
      <w:r w:rsidRPr="00A5534E">
        <w:t xml:space="preserve"> calls from the control group versus 949 from treatment). This required increased involvement from call centre managers </w:t>
      </w:r>
      <w:r w:rsidR="00FD4D19" w:rsidRPr="00A5534E">
        <w:t xml:space="preserve">to handle these extra calls, </w:t>
      </w:r>
      <w:r w:rsidRPr="00A5534E">
        <w:t>and reprioritisation of tasks.</w:t>
      </w:r>
      <w:r w:rsidRPr="00A5534E">
        <w:rPr>
          <w:rStyle w:val="FootnoteReference"/>
          <w:vertAlign w:val="superscript"/>
        </w:rPr>
        <w:footnoteReference w:id="8"/>
      </w:r>
    </w:p>
    <w:p w14:paraId="060ED430" w14:textId="5F4447B1" w:rsidR="00565A81" w:rsidRDefault="00856FA9" w:rsidP="00565A81">
      <w:r w:rsidRPr="00A5534E">
        <w:t xml:space="preserve">It is possible some of these costs could be reduced over time. </w:t>
      </w:r>
      <w:r w:rsidR="00565A81" w:rsidRPr="00BC48DF">
        <w:t>For example, enquiries from charities may decline as the organisation, rather than just a single Responsible Person, becomes more familiar with the reminder or AIS submission process</w:t>
      </w:r>
      <w:r w:rsidR="00A57B29">
        <w:t>.</w:t>
      </w:r>
    </w:p>
    <w:p w14:paraId="4421BC85" w14:textId="55E62195" w:rsidR="00856FA9" w:rsidRPr="00A5534E" w:rsidRDefault="00565A81" w:rsidP="00856FA9">
      <w:r>
        <w:t xml:space="preserve">Similarly, </w:t>
      </w:r>
      <w:r w:rsidR="00856FA9" w:rsidRPr="00A5534E">
        <w:t>it is possible the ACNC can find a simpler</w:t>
      </w:r>
      <w:r w:rsidR="065B81BC" w:rsidRPr="00A5534E">
        <w:t xml:space="preserve">, or more </w:t>
      </w:r>
      <w:r w:rsidR="00A5534E" w:rsidRPr="00A5534E">
        <w:t>targeted</w:t>
      </w:r>
      <w:r w:rsidR="065B81BC" w:rsidRPr="00A5534E">
        <w:t>,</w:t>
      </w:r>
      <w:r w:rsidR="00856FA9" w:rsidRPr="00A5534E">
        <w:t xml:space="preserve"> way to implement the message delivery process that reduces the amount of manual data cleaning required</w:t>
      </w:r>
      <w:r w:rsidR="002E0EC6" w:rsidRPr="00A5534E">
        <w:t>, meaning the resourcing costs for email deliver</w:t>
      </w:r>
      <w:r w:rsidR="0048629E" w:rsidRPr="00A5534E">
        <w:t>y</w:t>
      </w:r>
      <w:r w:rsidR="004B5147" w:rsidRPr="00A5534E">
        <w:t xml:space="preserve"> can be minimised</w:t>
      </w:r>
      <w:r w:rsidR="00856FA9" w:rsidRPr="00A5534E">
        <w:t xml:space="preserve">. </w:t>
      </w:r>
    </w:p>
    <w:p w14:paraId="443B533A" w14:textId="41505E0E" w:rsidR="00115498" w:rsidRPr="00A5534E" w:rsidRDefault="001034B3" w:rsidP="00856FA9">
      <w:r w:rsidRPr="00A5534E">
        <w:t xml:space="preserve">Any changes also need to be balanced </w:t>
      </w:r>
      <w:r w:rsidR="00D74621" w:rsidRPr="00A5534E">
        <w:t xml:space="preserve">against the </w:t>
      </w:r>
      <w:r w:rsidR="00115498" w:rsidRPr="00A5534E">
        <w:t xml:space="preserve">growing number of </w:t>
      </w:r>
      <w:r w:rsidR="002B2783" w:rsidRPr="00A5534E">
        <w:t>charities</w:t>
      </w:r>
      <w:r w:rsidR="00115498" w:rsidRPr="00A5534E">
        <w:t xml:space="preserve"> </w:t>
      </w:r>
      <w:r w:rsidR="00D74621" w:rsidRPr="00A5534E">
        <w:t xml:space="preserve">being </w:t>
      </w:r>
      <w:r w:rsidR="00115498" w:rsidRPr="00A5534E">
        <w:t>reg</w:t>
      </w:r>
      <w:r w:rsidR="002B2783" w:rsidRPr="00A5534E">
        <w:t xml:space="preserve">ulated </w:t>
      </w:r>
      <w:r w:rsidR="00115498" w:rsidRPr="00A5534E">
        <w:t>by the ACNC.</w:t>
      </w:r>
    </w:p>
    <w:p w14:paraId="7EA01D4D" w14:textId="315AEB53" w:rsidR="00C002DA" w:rsidRPr="00A5534E" w:rsidRDefault="0002157B" w:rsidP="00C002DA">
      <w:pPr>
        <w:pStyle w:val="Heading3"/>
      </w:pPr>
      <w:r w:rsidRPr="00A5534E">
        <w:t>Operational savings</w:t>
      </w:r>
      <w:r w:rsidR="00500AD9" w:rsidRPr="00A5534E">
        <w:t xml:space="preserve"> of the intervention</w:t>
      </w:r>
    </w:p>
    <w:p w14:paraId="41CC2380" w14:textId="77777777" w:rsidR="00DB46D0" w:rsidRDefault="004B5147" w:rsidP="00200E14">
      <w:r w:rsidRPr="00A5534E">
        <w:t xml:space="preserve">Although there were some costs of the intervention, these need to be considered against the additional benefits the trial delivered. </w:t>
      </w:r>
      <w:r w:rsidR="004A6817" w:rsidRPr="00A5534E">
        <w:t xml:space="preserve">The trial found that charities that received the additional reminder email to a Responsible Person submitted their AIS around three days earlier than those who did not. </w:t>
      </w:r>
    </w:p>
    <w:p w14:paraId="341DB790" w14:textId="4A3D106B" w:rsidR="00813E17" w:rsidRDefault="00215442" w:rsidP="00743B9E">
      <w:r w:rsidRPr="0029461F">
        <w:t>This pattern of earlier submission</w:t>
      </w:r>
      <w:r w:rsidR="008D5256" w:rsidRPr="0029461F">
        <w:t xml:space="preserve"> can </w:t>
      </w:r>
      <w:r w:rsidRPr="0029461F">
        <w:t xml:space="preserve">bring </w:t>
      </w:r>
      <w:r w:rsidR="00B31ADA" w:rsidRPr="0029461F">
        <w:t>about some operational savings</w:t>
      </w:r>
      <w:r w:rsidR="00EE7B1A" w:rsidRPr="0029461F">
        <w:t>. I</w:t>
      </w:r>
      <w:r w:rsidR="0067368F" w:rsidRPr="0029461F">
        <w:t xml:space="preserve">t may reduce </w:t>
      </w:r>
      <w:r w:rsidR="00BE6934" w:rsidRPr="0029461F">
        <w:t>the amount of follow</w:t>
      </w:r>
      <w:r w:rsidR="00C26062">
        <w:noBreakHyphen/>
      </w:r>
      <w:r w:rsidR="00BE6934" w:rsidRPr="0029461F">
        <w:t>up</w:t>
      </w:r>
      <w:r w:rsidR="001079FC" w:rsidRPr="0029461F">
        <w:t xml:space="preserve"> </w:t>
      </w:r>
      <w:r w:rsidR="00117EAA" w:rsidRPr="0029461F">
        <w:t xml:space="preserve">ACNC must undertake </w:t>
      </w:r>
      <w:r w:rsidR="001079FC" w:rsidRPr="0029461F">
        <w:t>with individual charities</w:t>
      </w:r>
      <w:r w:rsidR="00D9561B" w:rsidRPr="0029461F">
        <w:t>, lowering administrative cost</w:t>
      </w:r>
      <w:r w:rsidR="00117EAA" w:rsidRPr="0029461F">
        <w:t>s</w:t>
      </w:r>
      <w:r w:rsidR="00200E14" w:rsidRPr="0029461F">
        <w:t>. It may also</w:t>
      </w:r>
      <w:r w:rsidR="0050055F" w:rsidRPr="0029461F">
        <w:t xml:space="preserve"> </w:t>
      </w:r>
      <w:r w:rsidR="004A6817" w:rsidRPr="0029461F">
        <w:t>reduce last</w:t>
      </w:r>
      <w:r w:rsidR="00C26062">
        <w:noBreakHyphen/>
      </w:r>
      <w:r w:rsidR="004A6817" w:rsidRPr="0029461F">
        <w:t>minute extension requests</w:t>
      </w:r>
      <w:r w:rsidR="00200E14" w:rsidRPr="0029461F">
        <w:t>,</w:t>
      </w:r>
      <w:r w:rsidR="004A6817" w:rsidRPr="0029461F">
        <w:t xml:space="preserve"> easing pressure on staff. </w:t>
      </w:r>
      <w:r w:rsidR="00500AD9" w:rsidRPr="0029461F" w:rsidDel="004B1D3C">
        <w:t xml:space="preserve">Finally, </w:t>
      </w:r>
      <w:r w:rsidR="004A6817" w:rsidRPr="0029461F" w:rsidDel="004B1D3C">
        <w:t xml:space="preserve">by increasing </w:t>
      </w:r>
      <w:r w:rsidR="0050055F" w:rsidRPr="0029461F">
        <w:t>charities</w:t>
      </w:r>
      <w:r w:rsidR="00C26062">
        <w:t>’</w:t>
      </w:r>
      <w:r w:rsidR="0050055F" w:rsidRPr="0029461F">
        <w:t xml:space="preserve"> </w:t>
      </w:r>
      <w:r w:rsidR="004A6817" w:rsidRPr="0029461F" w:rsidDel="004B1D3C">
        <w:t xml:space="preserve">awareness of </w:t>
      </w:r>
      <w:r w:rsidR="0050055F" w:rsidRPr="0029461F">
        <w:t xml:space="preserve">their </w:t>
      </w:r>
      <w:r w:rsidR="004A6817" w:rsidRPr="0029461F" w:rsidDel="004B1D3C">
        <w:t xml:space="preserve">AIS obligations, the </w:t>
      </w:r>
      <w:r w:rsidR="0050055F" w:rsidRPr="0029461F">
        <w:t>reminders</w:t>
      </w:r>
      <w:r w:rsidR="004A6817" w:rsidRPr="0029461F" w:rsidDel="004B1D3C">
        <w:t xml:space="preserve"> may </w:t>
      </w:r>
      <w:r w:rsidR="0050055F" w:rsidRPr="0029461F">
        <w:t>help foster</w:t>
      </w:r>
      <w:r w:rsidR="004A6817" w:rsidRPr="0029461F" w:rsidDel="004B1D3C">
        <w:t xml:space="preserve"> more consistent reporting in future cycles</w:t>
      </w:r>
      <w:r w:rsidR="0059252A" w:rsidRPr="0029461F" w:rsidDel="004B1D3C">
        <w:t xml:space="preserve">. </w:t>
      </w:r>
      <w:r w:rsidR="0050055F" w:rsidRPr="0029461F">
        <w:t>Over time, this could</w:t>
      </w:r>
      <w:r w:rsidR="0059252A" w:rsidRPr="0029461F" w:rsidDel="004B1D3C">
        <w:t xml:space="preserve"> re</w:t>
      </w:r>
      <w:r w:rsidR="00513601" w:rsidRPr="0029461F" w:rsidDel="004B1D3C">
        <w:t>duce</w:t>
      </w:r>
      <w:r w:rsidR="004A6817" w:rsidRPr="0029461F" w:rsidDel="004B1D3C">
        <w:t xml:space="preserve"> the need for follow</w:t>
      </w:r>
      <w:r w:rsidR="00C26062">
        <w:noBreakHyphen/>
      </w:r>
      <w:r w:rsidR="004A6817" w:rsidRPr="0029461F" w:rsidDel="004B1D3C">
        <w:t xml:space="preserve">up and </w:t>
      </w:r>
      <w:r w:rsidR="0050055F" w:rsidRPr="0029461F">
        <w:t xml:space="preserve">enhance the </w:t>
      </w:r>
      <w:r w:rsidR="004A6817" w:rsidRPr="0029461F" w:rsidDel="004B1D3C">
        <w:t>ACNC</w:t>
      </w:r>
      <w:r w:rsidR="00C26062">
        <w:t>’</w:t>
      </w:r>
      <w:r w:rsidR="004A6817" w:rsidRPr="0029461F" w:rsidDel="004B1D3C">
        <w:t xml:space="preserve">s </w:t>
      </w:r>
      <w:r w:rsidR="0050055F" w:rsidRPr="0029461F">
        <w:t>overall</w:t>
      </w:r>
      <w:r w:rsidR="004A6817" w:rsidRPr="0029461F" w:rsidDel="004B1D3C">
        <w:t xml:space="preserve"> regulatory efficiency</w:t>
      </w:r>
      <w:r w:rsidR="00513601" w:rsidRPr="0029461F" w:rsidDel="004B1D3C">
        <w:t xml:space="preserve"> beyond </w:t>
      </w:r>
      <w:r w:rsidR="0050055F" w:rsidRPr="0029461F">
        <w:t>a</w:t>
      </w:r>
      <w:r w:rsidR="00513601" w:rsidRPr="0029461F" w:rsidDel="004B1D3C">
        <w:t xml:space="preserve"> single reporting period</w:t>
      </w:r>
      <w:r w:rsidR="004A6817" w:rsidRPr="00A5534E" w:rsidDel="004B1D3C">
        <w:t>.</w:t>
      </w:r>
      <w:r w:rsidR="005769B7" w:rsidDel="004B1D3C">
        <w:t xml:space="preserve"> </w:t>
      </w:r>
      <w:bookmarkStart w:id="32" w:name="_Toc197603340"/>
    </w:p>
    <w:p w14:paraId="566BBEB8" w14:textId="112E05F8" w:rsidR="00397D46" w:rsidRDefault="00397D46" w:rsidP="00A121D0">
      <w:pPr>
        <w:pStyle w:val="Heading1Numbered"/>
      </w:pPr>
      <w:bookmarkStart w:id="33" w:name="_Toc207712031"/>
      <w:r>
        <w:lastRenderedPageBreak/>
        <w:t xml:space="preserve">Conclusions and </w:t>
      </w:r>
      <w:bookmarkEnd w:id="32"/>
      <w:r>
        <w:t>recommendation</w:t>
      </w:r>
      <w:r w:rsidR="00743B9E">
        <w:t>s</w:t>
      </w:r>
      <w:bookmarkEnd w:id="33"/>
    </w:p>
    <w:p w14:paraId="6525A857" w14:textId="0EF08AE7" w:rsidR="00734246" w:rsidRPr="00734246" w:rsidRDefault="00734246" w:rsidP="0008552C">
      <w:r w:rsidRPr="00734246">
        <w:t>Th</w:t>
      </w:r>
      <w:r w:rsidR="00510042">
        <w:t xml:space="preserve">is </w:t>
      </w:r>
      <w:r w:rsidR="00A4065A">
        <w:t>randomised trial</w:t>
      </w:r>
      <w:r w:rsidR="00510042">
        <w:t xml:space="preserve"> provides strong evidence that </w:t>
      </w:r>
      <w:r w:rsidRPr="00734246">
        <w:t>sending an extra email reminder to a charity</w:t>
      </w:r>
      <w:r w:rsidR="00C26062">
        <w:t>’</w:t>
      </w:r>
      <w:r w:rsidRPr="00734246">
        <w:t xml:space="preserve">s </w:t>
      </w:r>
      <w:r w:rsidR="00510042">
        <w:t>RP</w:t>
      </w:r>
      <w:r w:rsidRPr="00734246">
        <w:t xml:space="preserve"> improves </w:t>
      </w:r>
      <w:r w:rsidR="00510042">
        <w:t>on</w:t>
      </w:r>
      <w:r w:rsidR="00C26062">
        <w:noBreakHyphen/>
      </w:r>
      <w:r w:rsidR="00510042">
        <w:t>time AIS submission rates</w:t>
      </w:r>
      <w:r w:rsidRPr="00734246">
        <w:t>. Charities</w:t>
      </w:r>
      <w:r w:rsidR="00867B01">
        <w:t xml:space="preserve"> in the trial</w:t>
      </w:r>
      <w:r w:rsidRPr="00734246">
        <w:t xml:space="preserve"> that received the </w:t>
      </w:r>
      <w:r w:rsidR="00AB1DD6">
        <w:t xml:space="preserve">additional email </w:t>
      </w:r>
      <w:r w:rsidRPr="00734246">
        <w:t>reminder were 5.6</w:t>
      </w:r>
      <w:r w:rsidR="00D801EE">
        <w:t> </w:t>
      </w:r>
      <w:r w:rsidRPr="00734246">
        <w:t xml:space="preserve">percentage points more likely to submit their </w:t>
      </w:r>
      <w:r w:rsidR="00AB1DD6">
        <w:t>AIS</w:t>
      </w:r>
      <w:r w:rsidRPr="00734246">
        <w:t xml:space="preserve"> on time</w:t>
      </w:r>
      <w:r w:rsidR="00AB1DD6">
        <w:t xml:space="preserve"> compared to charities that did not receive an additional email reminder to an RP</w:t>
      </w:r>
      <w:r w:rsidRPr="00734246">
        <w:t xml:space="preserve">. </w:t>
      </w:r>
      <w:r w:rsidR="006236E0">
        <w:t>Charities</w:t>
      </w:r>
      <w:r w:rsidR="003F0D3D">
        <w:t xml:space="preserve"> that</w:t>
      </w:r>
      <w:r w:rsidR="006236E0">
        <w:t xml:space="preserve"> received the additional email reminder to their RP</w:t>
      </w:r>
      <w:r w:rsidR="006236E0" w:rsidRPr="00734246">
        <w:t xml:space="preserve"> </w:t>
      </w:r>
      <w:r w:rsidRPr="00734246">
        <w:t xml:space="preserve">also submitted </w:t>
      </w:r>
      <w:r w:rsidR="006236E0">
        <w:t xml:space="preserve">their AIS </w:t>
      </w:r>
      <w:r w:rsidRPr="00734246">
        <w:t xml:space="preserve">earlier—a median of </w:t>
      </w:r>
      <w:r w:rsidR="008B7463">
        <w:t>3 </w:t>
      </w:r>
      <w:r w:rsidRPr="00734246">
        <w:t xml:space="preserve">days sooner than </w:t>
      </w:r>
      <w:r w:rsidR="006236E0">
        <w:t>charities</w:t>
      </w:r>
      <w:r w:rsidR="006236E0" w:rsidRPr="00734246">
        <w:t xml:space="preserve"> </w:t>
      </w:r>
      <w:r w:rsidR="003F0D3D">
        <w:t>that</w:t>
      </w:r>
      <w:r w:rsidRPr="00734246">
        <w:t xml:space="preserve"> did not receive the extra email.</w:t>
      </w:r>
    </w:p>
    <w:p w14:paraId="0474A13C" w14:textId="47EB5D0B" w:rsidR="00564F70" w:rsidRPr="00734246" w:rsidRDefault="00734246" w:rsidP="0008552C">
      <w:r w:rsidRPr="00734246">
        <w:t>These effects were consistent across all types of charities, including volunteer</w:t>
      </w:r>
      <w:r w:rsidR="00C26062">
        <w:noBreakHyphen/>
      </w:r>
      <w:r w:rsidRPr="00734246">
        <w:t xml:space="preserve">based, </w:t>
      </w:r>
      <w:r w:rsidR="002B2783">
        <w:t>Basic Religious Charities</w:t>
      </w:r>
      <w:r w:rsidRPr="00734246">
        <w:t>, incorporated</w:t>
      </w:r>
      <w:r w:rsidR="0040604A">
        <w:t xml:space="preserve"> associations</w:t>
      </w:r>
      <w:r w:rsidRPr="00734246">
        <w:t>, and small</w:t>
      </w:r>
      <w:r w:rsidR="0040604A">
        <w:t>, medium</w:t>
      </w:r>
      <w:r w:rsidRPr="00734246">
        <w:t xml:space="preserve"> or large charities. </w:t>
      </w:r>
      <w:r w:rsidR="007C7241">
        <w:t>The additional email reminder increased on</w:t>
      </w:r>
      <w:r w:rsidR="00C26062">
        <w:noBreakHyphen/>
      </w:r>
      <w:r w:rsidR="007C7241">
        <w:t xml:space="preserve">time AIS submission across all subgroups, and there was no </w:t>
      </w:r>
      <w:r w:rsidRPr="00734246">
        <w:t xml:space="preserve">statistically significant difference in </w:t>
      </w:r>
      <w:r w:rsidR="007C7241">
        <w:t>the additional email reminder</w:t>
      </w:r>
      <w:r w:rsidR="00C26062">
        <w:t>’</w:t>
      </w:r>
      <w:r w:rsidR="007C7241">
        <w:t>s</w:t>
      </w:r>
      <w:r w:rsidR="007C7241" w:rsidRPr="00734246">
        <w:t xml:space="preserve"> </w:t>
      </w:r>
      <w:r w:rsidRPr="00734246">
        <w:t>impact between groups. This suggests that the reminder works broadly</w:t>
      </w:r>
      <w:r w:rsidR="0004144B">
        <w:t xml:space="preserve"> across </w:t>
      </w:r>
      <w:r w:rsidR="00FB5817">
        <w:t xml:space="preserve">different </w:t>
      </w:r>
      <w:r w:rsidR="0004144B">
        <w:t>types of charities</w:t>
      </w:r>
      <w:r w:rsidRPr="00734246">
        <w:t>.</w:t>
      </w:r>
    </w:p>
    <w:p w14:paraId="059B7A4F" w14:textId="5D9C8A9A" w:rsidR="00CA41D8" w:rsidRDefault="00CA41D8" w:rsidP="0008552C">
      <w:r w:rsidRPr="007E1D65">
        <w:t xml:space="preserve">This </w:t>
      </w:r>
      <w:r>
        <w:t>result</w:t>
      </w:r>
      <w:r w:rsidRPr="007E1D65">
        <w:t xml:space="preserve"> </w:t>
      </w:r>
      <w:r>
        <w:t>was</w:t>
      </w:r>
      <w:r w:rsidRPr="007E1D65">
        <w:t xml:space="preserve"> based on a comparison between </w:t>
      </w:r>
      <w:r w:rsidR="00FD24FB">
        <w:t>2</w:t>
      </w:r>
      <w:r w:rsidR="00FD24FB" w:rsidRPr="007E1D65">
        <w:t xml:space="preserve"> </w:t>
      </w:r>
      <w:r w:rsidRPr="00CA41D8">
        <w:rPr>
          <w:i/>
          <w:iCs/>
        </w:rPr>
        <w:t xml:space="preserve">randomly allocated </w:t>
      </w:r>
      <w:r w:rsidRPr="007E1D65">
        <w:t xml:space="preserve">groups: one </w:t>
      </w:r>
      <w:r>
        <w:t xml:space="preserve">group of charities </w:t>
      </w:r>
      <w:r w:rsidRPr="007E1D65">
        <w:t xml:space="preserve">that received the extra email (the treatment group) and one </w:t>
      </w:r>
      <w:r>
        <w:t xml:space="preserve">group of charities </w:t>
      </w:r>
      <w:r w:rsidRPr="007E1D65">
        <w:t>that did not (the control group). Because the</w:t>
      </w:r>
      <w:r w:rsidR="00A64F24">
        <w:t xml:space="preserve"> </w:t>
      </w:r>
      <w:r w:rsidR="00FD24FB">
        <w:t>2</w:t>
      </w:r>
      <w:r w:rsidRPr="007E1D65">
        <w:t xml:space="preserve"> groups </w:t>
      </w:r>
      <w:r>
        <w:t xml:space="preserve">of charities </w:t>
      </w:r>
      <w:r w:rsidRPr="007E1D65">
        <w:t>were randomly selected</w:t>
      </w:r>
      <w:r>
        <w:t>,</w:t>
      </w:r>
      <w:r w:rsidRPr="007E1D65">
        <w:t xml:space="preserve"> and </w:t>
      </w:r>
      <w:r>
        <w:t xml:space="preserve">then </w:t>
      </w:r>
      <w:r w:rsidRPr="007E1D65">
        <w:t xml:space="preserve">treated the same in every other way, any general changes that might have influenced submission behaviour this year—such as improvements in </w:t>
      </w:r>
      <w:r w:rsidR="001A3B86">
        <w:t xml:space="preserve">the </w:t>
      </w:r>
      <w:r w:rsidRPr="007E1D65">
        <w:t>ACNC messaging, sector</w:t>
      </w:r>
      <w:r w:rsidR="00C26062">
        <w:noBreakHyphen/>
      </w:r>
      <w:r w:rsidRPr="007E1D65">
        <w:t>wide communication, or changes in reporting habits—would have affected both groups equally. This means</w:t>
      </w:r>
      <w:r w:rsidRPr="007E1D65" w:rsidDel="003C1FE2">
        <w:t xml:space="preserve"> </w:t>
      </w:r>
      <w:r w:rsidRPr="007E1D65">
        <w:t xml:space="preserve">the difference in submission rates </w:t>
      </w:r>
      <w:r>
        <w:t xml:space="preserve">can be attributed </w:t>
      </w:r>
      <w:r w:rsidRPr="007E1D65">
        <w:t>to the additional reminder email</w:t>
      </w:r>
      <w:r>
        <w:t xml:space="preserve"> sent to the RP</w:t>
      </w:r>
      <w:r w:rsidRPr="007E1D65">
        <w:t xml:space="preserve">, </w:t>
      </w:r>
      <w:r w:rsidR="003F78FE">
        <w:t>rather than other contextual factors</w:t>
      </w:r>
      <w:r w:rsidRPr="007E1D65">
        <w:t>.</w:t>
      </w:r>
    </w:p>
    <w:p w14:paraId="3DECE469" w14:textId="125B07B2" w:rsidR="002F0F1B" w:rsidRPr="00975357" w:rsidRDefault="00305FBD" w:rsidP="0008552C">
      <w:r w:rsidRPr="00975357">
        <w:t>The intervention delivered several benefits aligned with ACNC</w:t>
      </w:r>
      <w:r w:rsidR="00C26062">
        <w:t>’</w:t>
      </w:r>
      <w:r w:rsidRPr="00975357">
        <w:t>s regulatory objectives. First, improved on</w:t>
      </w:r>
      <w:r w:rsidR="00C26062">
        <w:noBreakHyphen/>
      </w:r>
      <w:r w:rsidRPr="00975357">
        <w:t>time AIS submissions contribute to a more accurate and up</w:t>
      </w:r>
      <w:r w:rsidR="00C26062">
        <w:noBreakHyphen/>
      </w:r>
      <w:r w:rsidRPr="00975357">
        <w:t>to</w:t>
      </w:r>
      <w:r w:rsidR="00C26062">
        <w:noBreakHyphen/>
      </w:r>
      <w:r w:rsidRPr="00975357">
        <w:t xml:space="preserve">date Charity Register, which supports transparency and </w:t>
      </w:r>
      <w:r w:rsidR="00207B9D">
        <w:t xml:space="preserve">potentially </w:t>
      </w:r>
      <w:r w:rsidRPr="00975357">
        <w:t xml:space="preserve">strengthens public trust. Second, </w:t>
      </w:r>
      <w:r w:rsidR="004F572A">
        <w:t>h</w:t>
      </w:r>
      <w:r w:rsidR="004F572A" w:rsidRPr="004F572A">
        <w:t>igher on</w:t>
      </w:r>
      <w:r w:rsidR="00C26062">
        <w:noBreakHyphen/>
      </w:r>
      <w:r w:rsidR="004F572A" w:rsidRPr="004F572A">
        <w:t>time AIS reporting reduces ACNC</w:t>
      </w:r>
      <w:r w:rsidR="00C26062">
        <w:t>’</w:t>
      </w:r>
      <w:r w:rsidR="004F572A" w:rsidRPr="004F572A">
        <w:t xml:space="preserve">s workload by lowering the volume of </w:t>
      </w:r>
      <w:r w:rsidR="00817BB3">
        <w:t>reminder emails</w:t>
      </w:r>
      <w:r w:rsidR="004F572A" w:rsidRPr="004F572A">
        <w:t>, extension requests, and follow</w:t>
      </w:r>
      <w:r w:rsidR="00C26062">
        <w:noBreakHyphen/>
      </w:r>
      <w:r w:rsidR="004F572A" w:rsidRPr="004F572A">
        <w:t>up communications. This frees staff capacity and allows resources to be redirected to other regulatory priorities</w:t>
      </w:r>
      <w:r w:rsidR="00964ECA">
        <w:t xml:space="preserve"> </w:t>
      </w:r>
      <w:r w:rsidR="00964ECA" w:rsidRPr="00964ECA">
        <w:t>(noting the operational costs listed below)</w:t>
      </w:r>
      <w:r w:rsidRPr="00975357">
        <w:t xml:space="preserve">. </w:t>
      </w:r>
      <w:r w:rsidRPr="00975357" w:rsidDel="002B2783">
        <w:t xml:space="preserve">Third, the </w:t>
      </w:r>
      <w:r w:rsidR="00A36DFB" w:rsidRPr="00975357" w:rsidDel="002B2783">
        <w:t xml:space="preserve">additional </w:t>
      </w:r>
      <w:r w:rsidRPr="00975357" w:rsidDel="002B2783">
        <w:t>reminder</w:t>
      </w:r>
      <w:r w:rsidR="00A36DFB" w:rsidRPr="00975357" w:rsidDel="002B2783">
        <w:t xml:space="preserve"> to an RP</w:t>
      </w:r>
      <w:r w:rsidRPr="00975357" w:rsidDel="002B2783">
        <w:t xml:space="preserve"> likely increased charities</w:t>
      </w:r>
      <w:r w:rsidR="00C26062">
        <w:t>’</w:t>
      </w:r>
      <w:r w:rsidRPr="00975357" w:rsidDel="002B2783">
        <w:t xml:space="preserve"> awareness of their reporting obligations, which may have longer</w:t>
      </w:r>
      <w:r w:rsidR="00C26062">
        <w:noBreakHyphen/>
      </w:r>
      <w:r w:rsidRPr="00975357" w:rsidDel="002B2783">
        <w:t>term benefits if it encourages more consistent compliance in future reporting periods.</w:t>
      </w:r>
      <w:r w:rsidR="00564274" w:rsidRPr="00975357" w:rsidDel="002B2783">
        <w:t xml:space="preserve"> </w:t>
      </w:r>
    </w:p>
    <w:p w14:paraId="45923C9C" w14:textId="262142D0" w:rsidR="000B71CF" w:rsidRPr="00975357" w:rsidRDefault="00C002F4" w:rsidP="0008552C">
      <w:r w:rsidRPr="00975357">
        <w:t>However, t</w:t>
      </w:r>
      <w:r w:rsidR="000B71CF" w:rsidRPr="00975357">
        <w:t xml:space="preserve">he additional reminder </w:t>
      </w:r>
      <w:r w:rsidRPr="00975357">
        <w:t xml:space="preserve">was associated with some resourcing costs. </w:t>
      </w:r>
      <w:r w:rsidR="000B71CF" w:rsidRPr="00975357">
        <w:t xml:space="preserve">Manual data cleaning was necessary to ensure the accuracy of </w:t>
      </w:r>
      <w:r w:rsidRPr="00975357">
        <w:t xml:space="preserve">RP </w:t>
      </w:r>
      <w:r w:rsidR="000B71CF" w:rsidRPr="00975357">
        <w:t>email addresses</w:t>
      </w:r>
      <w:r w:rsidRPr="00975357">
        <w:t xml:space="preserve">, and to ensure that the email was sent to the most appropriate </w:t>
      </w:r>
      <w:r w:rsidR="00F92E72" w:rsidRPr="00975357">
        <w:t>individual</w:t>
      </w:r>
      <w:r w:rsidR="000B71CF" w:rsidRPr="00975357">
        <w:t xml:space="preserve">. </w:t>
      </w:r>
      <w:r w:rsidR="00F92E72" w:rsidRPr="00975357">
        <w:t>In addition, t</w:t>
      </w:r>
      <w:r w:rsidR="000B71CF" w:rsidRPr="00975357">
        <w:t xml:space="preserve">he extra reminder </w:t>
      </w:r>
      <w:r w:rsidR="00F92E72" w:rsidRPr="00975357">
        <w:t xml:space="preserve">email </w:t>
      </w:r>
      <w:r w:rsidR="000B71CF" w:rsidRPr="00975357">
        <w:t>generated an increase in enquiries to the ACNC</w:t>
      </w:r>
      <w:r w:rsidR="00C26062">
        <w:t>’</w:t>
      </w:r>
      <w:r w:rsidR="000B71CF" w:rsidRPr="00975357">
        <w:t>s call centre</w:t>
      </w:r>
      <w:r w:rsidR="005D5DBA">
        <w:t>,</w:t>
      </w:r>
      <w:r w:rsidR="00262EA8" w:rsidRPr="00262EA8">
        <w:t xml:space="preserve"> which required a reallocation of tasks.</w:t>
      </w:r>
      <w:r w:rsidR="000B71CF" w:rsidRPr="00975357">
        <w:t xml:space="preserve"> </w:t>
      </w:r>
      <w:r w:rsidR="00F92E72" w:rsidRPr="00975357">
        <w:t>Although costs</w:t>
      </w:r>
      <w:r w:rsidR="00E050DB" w:rsidRPr="00975357">
        <w:t xml:space="preserve"> may</w:t>
      </w:r>
      <w:r w:rsidR="00F92E72" w:rsidRPr="00975357">
        <w:t xml:space="preserve"> </w:t>
      </w:r>
      <w:r w:rsidR="00E050DB" w:rsidRPr="00975357">
        <w:t>reduce</w:t>
      </w:r>
      <w:r w:rsidR="00F92E72" w:rsidRPr="00975357">
        <w:t xml:space="preserve"> over time</w:t>
      </w:r>
      <w:r w:rsidR="00E050DB" w:rsidRPr="00975357">
        <w:t>,</w:t>
      </w:r>
      <w:r w:rsidR="00F92E72" w:rsidRPr="00975357">
        <w:t xml:space="preserve"> </w:t>
      </w:r>
      <w:r w:rsidR="000B71CF" w:rsidRPr="00975357">
        <w:t xml:space="preserve">the ACNC will need to weigh </w:t>
      </w:r>
      <w:r w:rsidR="00D32825" w:rsidRPr="00975357">
        <w:t>all costs</w:t>
      </w:r>
      <w:r w:rsidR="000B71CF" w:rsidRPr="00975357">
        <w:t xml:space="preserve"> against the benefits of the additional reminder.</w:t>
      </w:r>
    </w:p>
    <w:p w14:paraId="766E1D96" w14:textId="5C165BD2" w:rsidR="00CA5141" w:rsidRPr="00975357" w:rsidRDefault="00E77970" w:rsidP="00CA5141">
      <w:bookmarkStart w:id="34" w:name="_Toc197603341"/>
      <w:r w:rsidRPr="008A0FC1">
        <w:rPr>
          <w:rStyle w:val="Strong"/>
        </w:rPr>
        <w:t xml:space="preserve">Recommendation 1 – </w:t>
      </w:r>
      <w:r w:rsidR="00E8339A" w:rsidRPr="008A0FC1">
        <w:rPr>
          <w:rStyle w:val="Strong"/>
        </w:rPr>
        <w:t>The ACNC should examine ways to minimise the implementation costs associated with the additional reminder so that it can become part of as business</w:t>
      </w:r>
      <w:r w:rsidR="00C26062">
        <w:rPr>
          <w:rStyle w:val="Strong"/>
        </w:rPr>
        <w:noBreakHyphen/>
      </w:r>
      <w:r w:rsidR="00E8339A" w:rsidRPr="008A0FC1">
        <w:rPr>
          <w:rStyle w:val="Strong"/>
        </w:rPr>
        <w:t>as</w:t>
      </w:r>
      <w:r w:rsidR="00C26062">
        <w:rPr>
          <w:rStyle w:val="Strong"/>
        </w:rPr>
        <w:noBreakHyphen/>
      </w:r>
      <w:r w:rsidR="00E8339A" w:rsidRPr="008A0FC1">
        <w:rPr>
          <w:rStyle w:val="Strong"/>
        </w:rPr>
        <w:t>usual practice</w:t>
      </w:r>
      <w:bookmarkEnd w:id="34"/>
      <w:r w:rsidR="0002066A" w:rsidRPr="008A0FC1">
        <w:rPr>
          <w:rStyle w:val="Strong"/>
        </w:rPr>
        <w:t>.</w:t>
      </w:r>
      <w:r w:rsidR="0002066A" w:rsidRPr="00975357">
        <w:t xml:space="preserve"> </w:t>
      </w:r>
      <w:r w:rsidR="00253E36" w:rsidRPr="00975357">
        <w:t>The trial showed that the reminder led to a substantial increase in on</w:t>
      </w:r>
      <w:r w:rsidR="00C26062">
        <w:noBreakHyphen/>
      </w:r>
      <w:r w:rsidR="00253E36" w:rsidRPr="00975357">
        <w:t>time submissions across all charit</w:t>
      </w:r>
      <w:r w:rsidR="00634C81" w:rsidRPr="00975357">
        <w:t>y</w:t>
      </w:r>
      <w:r w:rsidR="00253E36" w:rsidRPr="00975357">
        <w:t xml:space="preserve"> type</w:t>
      </w:r>
      <w:r w:rsidR="00634C81" w:rsidRPr="00975357">
        <w:t>s</w:t>
      </w:r>
      <w:r w:rsidR="00253E36" w:rsidRPr="00975357">
        <w:t xml:space="preserve">. </w:t>
      </w:r>
      <w:r w:rsidR="007E3C72" w:rsidRPr="00975357">
        <w:t xml:space="preserve">This has benefits for charities themselves, for public trust in </w:t>
      </w:r>
      <w:r w:rsidR="00CA5141" w:rsidRPr="00975357">
        <w:t>the Charity Register</w:t>
      </w:r>
      <w:r w:rsidR="007E3C72" w:rsidRPr="00975357">
        <w:t>, and for the ACNC</w:t>
      </w:r>
      <w:r w:rsidR="00A0758C" w:rsidRPr="00975357">
        <w:t xml:space="preserve">. </w:t>
      </w:r>
      <w:r w:rsidR="00015BC9" w:rsidRPr="00975357">
        <w:t>However, there were implementation costs associated with the additional reminder</w:t>
      </w:r>
      <w:r w:rsidR="002403F0" w:rsidRPr="00975357">
        <w:t xml:space="preserve"> related to manual data cleaning, and additional enquiries arising from the reminders</w:t>
      </w:r>
      <w:r w:rsidR="00015BC9" w:rsidRPr="00975357">
        <w:t>.</w:t>
      </w:r>
      <w:r w:rsidR="002403F0" w:rsidRPr="00975357">
        <w:t xml:space="preserve"> The ACNC should </w:t>
      </w:r>
      <w:r w:rsidR="00253E36" w:rsidRPr="00975357">
        <w:t>seek to minimise these costs</w:t>
      </w:r>
      <w:r w:rsidR="00A327AC" w:rsidRPr="00975357">
        <w:t>—for example, through automation, streamlined processes, or more targeted reminders.</w:t>
      </w:r>
      <w:r w:rsidR="002E034F" w:rsidRPr="00975357">
        <w:t xml:space="preserve"> The ACNC should then assess whether the </w:t>
      </w:r>
      <w:r w:rsidR="00A0758C" w:rsidRPr="00975357">
        <w:t xml:space="preserve">benefits of the additional reminder outweigh the remaining </w:t>
      </w:r>
      <w:r w:rsidR="002403F0" w:rsidRPr="00975357">
        <w:t>costs.</w:t>
      </w:r>
    </w:p>
    <w:p w14:paraId="24CD114D" w14:textId="6A22858C" w:rsidR="0057299F" w:rsidRPr="00975357" w:rsidRDefault="007704B0" w:rsidP="00B4403D">
      <w:r w:rsidRPr="008A0FC1">
        <w:rPr>
          <w:rStyle w:val="Strong"/>
        </w:rPr>
        <w:t xml:space="preserve">Recommendation 2 – </w:t>
      </w:r>
      <w:r w:rsidRPr="008A0FC1" w:rsidDel="00C56931">
        <w:rPr>
          <w:rStyle w:val="Strong"/>
        </w:rPr>
        <w:t xml:space="preserve">The ACNC should </w:t>
      </w:r>
      <w:r w:rsidRPr="008A0FC1">
        <w:rPr>
          <w:rStyle w:val="Strong"/>
        </w:rPr>
        <w:t>explore the alternative use of reminder</w:t>
      </w:r>
      <w:r w:rsidR="0032065C" w:rsidRPr="008A0FC1">
        <w:rPr>
          <w:rStyle w:val="Strong"/>
        </w:rPr>
        <w:t>s</w:t>
      </w:r>
      <w:r w:rsidRPr="008A0FC1">
        <w:rPr>
          <w:rStyle w:val="Strong"/>
        </w:rPr>
        <w:t>, within operational constraints.</w:t>
      </w:r>
      <w:r w:rsidRPr="00975357">
        <w:rPr>
          <w:b/>
          <w:bCs/>
        </w:rPr>
        <w:t xml:space="preserve"> </w:t>
      </w:r>
      <w:r w:rsidRPr="00975357">
        <w:t xml:space="preserve">Given the effectiveness of the reminder, the ACNC should </w:t>
      </w:r>
      <w:r w:rsidR="00311B6C" w:rsidRPr="00975357">
        <w:t xml:space="preserve">explore other potential uses </w:t>
      </w:r>
      <w:r w:rsidR="0093484D" w:rsidRPr="00975357">
        <w:t xml:space="preserve">for </w:t>
      </w:r>
      <w:r w:rsidRPr="00975357">
        <w:t>this approach</w:t>
      </w:r>
      <w:r w:rsidR="00BB4B39" w:rsidRPr="00975357">
        <w:t>, if the associated implementation costs can be kept manageable</w:t>
      </w:r>
      <w:r w:rsidRPr="00975357">
        <w:t>. For instance, ACNC could test sending reminders specifically to charities with overdue AIS submissions</w:t>
      </w:r>
      <w:r w:rsidR="000F476D">
        <w:t xml:space="preserve"> </w:t>
      </w:r>
      <w:r w:rsidRPr="00975357">
        <w:t xml:space="preserve">or extend the reminder strategy to charities with a 30 June deadline. </w:t>
      </w:r>
      <w:r w:rsidR="0057299F" w:rsidRPr="00975357">
        <w:t xml:space="preserve">Alternatively, the ACNC could consider trialling </w:t>
      </w:r>
      <w:r w:rsidR="0057299F" w:rsidRPr="00975357">
        <w:lastRenderedPageBreak/>
        <w:t xml:space="preserve">the additional reminder to RPs as the </w:t>
      </w:r>
      <w:r w:rsidR="0057299F" w:rsidRPr="00975357">
        <w:rPr>
          <w:i/>
          <w:iCs/>
        </w:rPr>
        <w:t xml:space="preserve">initial </w:t>
      </w:r>
      <w:r w:rsidR="00CA3F3F">
        <w:t>reminder</w:t>
      </w:r>
      <w:r w:rsidR="0081245F">
        <w:t xml:space="preserve"> </w:t>
      </w:r>
      <w:r w:rsidR="0057299F" w:rsidRPr="00975357">
        <w:t xml:space="preserve">regarding the AIS process, particularly for charities with historically lower submission rates or engagement levels. Such alternative uses of the reminder to RPs </w:t>
      </w:r>
      <w:r w:rsidR="00BA42A5" w:rsidRPr="00975357">
        <w:t>c</w:t>
      </w:r>
      <w:r w:rsidR="0057299F" w:rsidRPr="00975357">
        <w:t xml:space="preserve">ould enable the ACNC to enhance compliance outcomes, particularly for charities who may be more likely to submit their AIS late, while managing </w:t>
      </w:r>
      <w:r w:rsidR="00BA42A5" w:rsidRPr="00975357">
        <w:t>the associated implementation costs</w:t>
      </w:r>
      <w:r w:rsidR="0057299F" w:rsidRPr="00975357">
        <w:t>.</w:t>
      </w:r>
    </w:p>
    <w:p w14:paraId="7F3B30D8" w14:textId="426D1CA7" w:rsidR="00610FA4" w:rsidRPr="00975357" w:rsidRDefault="00355AFD" w:rsidP="000A27D7">
      <w:bookmarkStart w:id="35" w:name="_Toc197603343"/>
      <w:r w:rsidRPr="008A0FC1">
        <w:rPr>
          <w:rStyle w:val="Strong"/>
        </w:rPr>
        <w:t xml:space="preserve">Recommendation 3 – </w:t>
      </w:r>
      <w:r w:rsidR="007B251B" w:rsidRPr="008A0FC1">
        <w:rPr>
          <w:rStyle w:val="Strong"/>
        </w:rPr>
        <w:t xml:space="preserve">The ACNC should consider more randomised trials to </w:t>
      </w:r>
      <w:r w:rsidR="00793F13" w:rsidRPr="008A0FC1">
        <w:rPr>
          <w:rStyle w:val="Strong"/>
        </w:rPr>
        <w:t>strengthen</w:t>
      </w:r>
      <w:r w:rsidR="00EF462C" w:rsidRPr="008A0FC1">
        <w:rPr>
          <w:rStyle w:val="Strong"/>
        </w:rPr>
        <w:t xml:space="preserve"> regulatory </w:t>
      </w:r>
      <w:r w:rsidR="00246088" w:rsidRPr="008A0FC1">
        <w:rPr>
          <w:rStyle w:val="Strong"/>
        </w:rPr>
        <w:t>outcomes</w:t>
      </w:r>
      <w:bookmarkEnd w:id="35"/>
      <w:r w:rsidR="00815EDF" w:rsidRPr="008A0FC1">
        <w:rPr>
          <w:rStyle w:val="Strong"/>
        </w:rPr>
        <w:t xml:space="preserve"> within operational constraints</w:t>
      </w:r>
      <w:r w:rsidR="0002066A" w:rsidRPr="008A0FC1">
        <w:rPr>
          <w:rStyle w:val="Strong"/>
        </w:rPr>
        <w:t>.</w:t>
      </w:r>
      <w:r w:rsidR="0002066A" w:rsidRPr="00975357">
        <w:t xml:space="preserve"> </w:t>
      </w:r>
      <w:r w:rsidR="00610FA4" w:rsidRPr="00975357">
        <w:t xml:space="preserve">This trial </w:t>
      </w:r>
      <w:r w:rsidR="00325DE1" w:rsidRPr="00975357">
        <w:t xml:space="preserve">demonstrates the value of </w:t>
      </w:r>
      <w:r w:rsidR="00254F9A" w:rsidRPr="00975357">
        <w:t>randomised trial</w:t>
      </w:r>
      <w:r w:rsidR="00325DE1" w:rsidRPr="00975357">
        <w:t xml:space="preserve">s </w:t>
      </w:r>
      <w:r w:rsidR="00C86A50" w:rsidRPr="00975357">
        <w:t xml:space="preserve">in testing </w:t>
      </w:r>
      <w:r w:rsidR="00610FA4" w:rsidRPr="00975357">
        <w:t xml:space="preserve">policy ideas </w:t>
      </w:r>
      <w:r w:rsidR="004B1988" w:rsidRPr="00975357">
        <w:t xml:space="preserve">or regulatory processes </w:t>
      </w:r>
      <w:r w:rsidR="00610FA4" w:rsidRPr="00975357">
        <w:t>before rolling them out more broadly. R</w:t>
      </w:r>
      <w:r w:rsidR="00254F9A" w:rsidRPr="00975357">
        <w:t>andomised trial</w:t>
      </w:r>
      <w:r w:rsidR="00610FA4" w:rsidRPr="00975357">
        <w:t xml:space="preserve">s are especially helpful when there is uncertainty about the likely impact of an intervention, or when several options are being considered. In this case, the trial helped assess whether </w:t>
      </w:r>
      <w:r w:rsidR="00246088" w:rsidRPr="00975357">
        <w:t xml:space="preserve">an </w:t>
      </w:r>
      <w:r w:rsidR="00610FA4" w:rsidRPr="00975357">
        <w:t xml:space="preserve">extra reminder </w:t>
      </w:r>
      <w:r w:rsidR="004A27B3" w:rsidRPr="00975357">
        <w:t>could</w:t>
      </w:r>
      <w:r w:rsidR="00610FA4" w:rsidRPr="00975357">
        <w:t xml:space="preserve"> make a meaningful difference in </w:t>
      </w:r>
      <w:r w:rsidR="00C86A50" w:rsidRPr="00975357">
        <w:t>on</w:t>
      </w:r>
      <w:r w:rsidR="00C26062">
        <w:noBreakHyphen/>
      </w:r>
      <w:r w:rsidR="00C86A50" w:rsidRPr="00975357">
        <w:t>time AIS submission</w:t>
      </w:r>
      <w:r w:rsidR="00F15CA1" w:rsidRPr="00975357">
        <w:t>, as well as identifying associated implementation costs</w:t>
      </w:r>
      <w:r w:rsidR="00610FA4" w:rsidRPr="00975357">
        <w:t>.</w:t>
      </w:r>
    </w:p>
    <w:p w14:paraId="08EE5E25" w14:textId="5B3880D8" w:rsidR="003C1AC0" w:rsidRDefault="00C86A50" w:rsidP="009F1261">
      <w:pPr>
        <w:rPr>
          <w:rFonts w:ascii="Calibri" w:hAnsi="Calibri" w:cs="Arial"/>
          <w:b/>
          <w:color w:val="2C384A" w:themeColor="accent1"/>
          <w:kern w:val="32"/>
          <w:sz w:val="44"/>
          <w:szCs w:val="36"/>
        </w:rPr>
      </w:pPr>
      <w:r w:rsidRPr="00975357">
        <w:t xml:space="preserve">The ACNC </w:t>
      </w:r>
      <w:r w:rsidR="00246088" w:rsidRPr="00975357">
        <w:t xml:space="preserve">could </w:t>
      </w:r>
      <w:r w:rsidRPr="00975357">
        <w:t>consider</w:t>
      </w:r>
      <w:r w:rsidR="00246088" w:rsidRPr="00975357">
        <w:t xml:space="preserve"> </w:t>
      </w:r>
      <w:r w:rsidR="00AE5676" w:rsidRPr="00975357">
        <w:t>rigorous impact evaluation approaches</w:t>
      </w:r>
      <w:r w:rsidR="003A2711" w:rsidRPr="00975357">
        <w:t xml:space="preserve"> within operational constraints</w:t>
      </w:r>
      <w:r w:rsidR="00AE5676" w:rsidRPr="00975357">
        <w:t xml:space="preserve">, </w:t>
      </w:r>
      <w:r w:rsidR="00246088" w:rsidRPr="00975357">
        <w:t xml:space="preserve">including </w:t>
      </w:r>
      <w:r w:rsidR="00254F9A" w:rsidRPr="00975357">
        <w:t>randomised trial</w:t>
      </w:r>
      <w:r w:rsidR="00246088" w:rsidRPr="00975357">
        <w:t>s</w:t>
      </w:r>
      <w:r w:rsidR="00E51989" w:rsidRPr="00975357">
        <w:t>,</w:t>
      </w:r>
      <w:r w:rsidRPr="00975357">
        <w:t xml:space="preserve"> </w:t>
      </w:r>
      <w:r w:rsidR="00246088" w:rsidRPr="00975357">
        <w:t xml:space="preserve">to add </w:t>
      </w:r>
      <w:r w:rsidR="00A46ADA" w:rsidRPr="00975357">
        <w:t xml:space="preserve">more robust evidence </w:t>
      </w:r>
      <w:r w:rsidR="005D2E34" w:rsidRPr="00975357">
        <w:t xml:space="preserve">to ongoing </w:t>
      </w:r>
      <w:r w:rsidR="00352CED" w:rsidRPr="00975357">
        <w:t>operational</w:t>
      </w:r>
      <w:r w:rsidR="005D2E34" w:rsidRPr="00975357">
        <w:t xml:space="preserve"> processes. </w:t>
      </w:r>
      <w:r w:rsidR="00246088" w:rsidRPr="00975357">
        <w:t>I</w:t>
      </w:r>
      <w:r w:rsidR="00610FA4" w:rsidRPr="00975357">
        <w:t xml:space="preserve">n situations where the expected outcome is relatively clear (for example, </w:t>
      </w:r>
      <w:r w:rsidR="00EA1D47">
        <w:t xml:space="preserve">using </w:t>
      </w:r>
      <w:r w:rsidR="00610FA4" w:rsidRPr="00975357">
        <w:t>reminder</w:t>
      </w:r>
      <w:r w:rsidR="006B1E07">
        <w:t>s</w:t>
      </w:r>
      <w:r w:rsidR="00610FA4" w:rsidRPr="00975357">
        <w:t xml:space="preserve"> </w:t>
      </w:r>
      <w:r w:rsidR="00EA1D47">
        <w:t xml:space="preserve">to </w:t>
      </w:r>
      <w:r w:rsidR="00610FA4" w:rsidRPr="00975357">
        <w:t>increas</w:t>
      </w:r>
      <w:r w:rsidR="00EA1D47">
        <w:t>e</w:t>
      </w:r>
      <w:r w:rsidR="00610FA4" w:rsidRPr="00975357">
        <w:t xml:space="preserve"> engagement), simpler approaches may be more appropriate. But </w:t>
      </w:r>
      <w:r w:rsidR="005367ED" w:rsidRPr="00975357">
        <w:t xml:space="preserve">in situations such as </w:t>
      </w:r>
      <w:r w:rsidR="00610FA4" w:rsidRPr="00975357">
        <w:t xml:space="preserve">when the </w:t>
      </w:r>
      <w:r w:rsidR="00C05CB1" w:rsidRPr="00975357">
        <w:t xml:space="preserve">size of the </w:t>
      </w:r>
      <w:r w:rsidR="00610FA4" w:rsidRPr="00975357">
        <w:t xml:space="preserve">effect is </w:t>
      </w:r>
      <w:r w:rsidR="00C05CB1" w:rsidRPr="00975357">
        <w:t>uncertain</w:t>
      </w:r>
      <w:r w:rsidR="00610FA4" w:rsidRPr="00975357">
        <w:t xml:space="preserve">, </w:t>
      </w:r>
      <w:r w:rsidR="005367ED" w:rsidRPr="00975357">
        <w:t xml:space="preserve">the potential costs and benefits need to be weighed up, </w:t>
      </w:r>
      <w:r w:rsidR="00610FA4" w:rsidRPr="00975357">
        <w:t xml:space="preserve">the mechanisms are unclear, or past evidence is mixed, a </w:t>
      </w:r>
      <w:r w:rsidR="005367ED" w:rsidRPr="00975357">
        <w:t xml:space="preserve">randomised trial </w:t>
      </w:r>
      <w:r w:rsidR="00610FA4" w:rsidRPr="00975357">
        <w:t>can help provide greater clarity and reduce the risk of investing in less effective</w:t>
      </w:r>
      <w:r w:rsidR="00610FA4" w:rsidRPr="00975357" w:rsidDel="00246088">
        <w:t xml:space="preserve"> </w:t>
      </w:r>
      <w:r w:rsidR="005D2E34" w:rsidRPr="00975357">
        <w:t>regulatory strategies</w:t>
      </w:r>
      <w:r w:rsidR="00610FA4" w:rsidRPr="00975357">
        <w:t>.</w:t>
      </w:r>
      <w:r w:rsidR="005D2E34">
        <w:t xml:space="preserve"> </w:t>
      </w:r>
    </w:p>
    <w:p w14:paraId="59CB54F3" w14:textId="77777777" w:rsidR="004775FA" w:rsidRDefault="004775FA">
      <w:pPr>
        <w:spacing w:before="0" w:after="160" w:line="259" w:lineRule="auto"/>
        <w:rPr>
          <w:rFonts w:ascii="Calibri" w:hAnsi="Calibri" w:cs="Arial"/>
          <w:b/>
          <w:color w:val="2C384A" w:themeColor="accent1"/>
          <w:kern w:val="32"/>
          <w:sz w:val="44"/>
          <w:szCs w:val="36"/>
        </w:rPr>
        <w:sectPr w:rsidR="004775FA" w:rsidSect="00870009">
          <w:headerReference w:type="even" r:id="rId39"/>
          <w:headerReference w:type="default" r:id="rId40"/>
          <w:footerReference w:type="even" r:id="rId41"/>
          <w:footerReference w:type="default" r:id="rId42"/>
          <w:headerReference w:type="first" r:id="rId43"/>
          <w:footerReference w:type="first" r:id="rId44"/>
          <w:pgSz w:w="11906" w:h="16838" w:code="9"/>
          <w:pgMar w:top="1843" w:right="1417" w:bottom="1417" w:left="1417" w:header="709" w:footer="709" w:gutter="0"/>
          <w:cols w:space="708"/>
          <w:docGrid w:linePitch="360"/>
        </w:sectPr>
      </w:pPr>
    </w:p>
    <w:p w14:paraId="2BB5F19F" w14:textId="0BFB51A1" w:rsidR="00866270" w:rsidRPr="00832850" w:rsidRDefault="00866270" w:rsidP="00832850">
      <w:pPr>
        <w:pStyle w:val="AppendixHeading"/>
        <w:spacing w:before="0"/>
      </w:pPr>
      <w:bookmarkStart w:id="36" w:name="_Toc197603344"/>
      <w:bookmarkStart w:id="37" w:name="_Toc207712032"/>
      <w:r w:rsidRPr="00832850">
        <w:lastRenderedPageBreak/>
        <w:t>Appendix A</w:t>
      </w:r>
      <w:r w:rsidR="00D41B23" w:rsidRPr="00832850">
        <w:t>:</w:t>
      </w:r>
      <w:r w:rsidRPr="00832850">
        <w:t xml:space="preserve"> </w:t>
      </w:r>
      <w:r w:rsidR="00CA3F3F" w:rsidRPr="00832850">
        <w:t>Reminder</w:t>
      </w:r>
      <w:r w:rsidRPr="00832850">
        <w:t xml:space="preserve"> </w:t>
      </w:r>
      <w:r w:rsidR="00A12F8C" w:rsidRPr="00832850">
        <w:t>sent to R</w:t>
      </w:r>
      <w:r w:rsidR="003B7FDE" w:rsidRPr="00832850">
        <w:t xml:space="preserve">esponsible </w:t>
      </w:r>
      <w:r w:rsidR="00A12F8C" w:rsidRPr="00832850">
        <w:t>P</w:t>
      </w:r>
      <w:r w:rsidR="003B7FDE" w:rsidRPr="00832850">
        <w:t>erson</w:t>
      </w:r>
      <w:bookmarkEnd w:id="36"/>
      <w:bookmarkEnd w:id="37"/>
    </w:p>
    <w:p w14:paraId="3F9A8D7F" w14:textId="535A63A2" w:rsidR="00C54E8A" w:rsidRDefault="00C54E8A" w:rsidP="00C54E8A">
      <w:r>
        <w:t xml:space="preserve">The image below shows </w:t>
      </w:r>
      <w:r w:rsidR="008F3E83">
        <w:t xml:space="preserve">the email reminder that was sent to the Responsible Person. </w:t>
      </w:r>
      <w:r w:rsidR="00A23EF3">
        <w:t xml:space="preserve">The text of that reminder </w:t>
      </w:r>
      <w:r w:rsidR="000E075C">
        <w:t>is provided below.</w:t>
      </w:r>
    </w:p>
    <w:p w14:paraId="6F4C35EC" w14:textId="77777777" w:rsidR="000F0E46" w:rsidRDefault="00501AC5" w:rsidP="00820D84">
      <w:r>
        <w:rPr>
          <w:noProof/>
        </w:rPr>
        <w:drawing>
          <wp:inline distT="0" distB="0" distL="0" distR="0" wp14:anchorId="01B18B88" wp14:editId="742E55A2">
            <wp:extent cx="5760720" cy="6804660"/>
            <wp:effectExtent l="0" t="0" r="0" b="0"/>
            <wp:docPr id="1960852521" name="Picture 1" descr="The image shows the screenshot of the email reminder that was sent to the Responsible Person. The text of that reminder is provided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852521" name="Picture 1" descr="The image shows the screenshot of the email reminder that was sent to the Responsible Person. The text of that reminder is provided below."/>
                    <pic:cNvPicPr/>
                  </pic:nvPicPr>
                  <pic:blipFill>
                    <a:blip r:embed="rId45" cstate="print">
                      <a:extLst>
                        <a:ext uri="{28A0092B-C50C-407E-A947-70E740481C1C}">
                          <a14:useLocalDpi xmlns:a14="http://schemas.microsoft.com/office/drawing/2010/main" val="0"/>
                        </a:ext>
                      </a:extLst>
                    </a:blip>
                    <a:stretch>
                      <a:fillRect/>
                    </a:stretch>
                  </pic:blipFill>
                  <pic:spPr>
                    <a:xfrm>
                      <a:off x="0" y="0"/>
                      <a:ext cx="5760720" cy="6804660"/>
                    </a:xfrm>
                    <a:prstGeom prst="rect">
                      <a:avLst/>
                    </a:prstGeom>
                  </pic:spPr>
                </pic:pic>
              </a:graphicData>
            </a:graphic>
          </wp:inline>
        </w:drawing>
      </w:r>
    </w:p>
    <w:p w14:paraId="6986FC93" w14:textId="77777777" w:rsidR="00E30208" w:rsidRDefault="00E30208">
      <w:pPr>
        <w:spacing w:before="0" w:after="160" w:line="259" w:lineRule="auto"/>
        <w:rPr>
          <w:b/>
          <w:bCs/>
        </w:rPr>
      </w:pPr>
      <w:r>
        <w:rPr>
          <w:b/>
          <w:bCs/>
        </w:rPr>
        <w:br w:type="page"/>
      </w:r>
    </w:p>
    <w:p w14:paraId="044F7C9C" w14:textId="7C5B0137" w:rsidR="00E30208" w:rsidRPr="003F1235" w:rsidRDefault="00E30208" w:rsidP="003F1235">
      <w:pPr>
        <w:pStyle w:val="Heading2"/>
      </w:pPr>
      <w:bookmarkStart w:id="38" w:name="_Toc207712033"/>
      <w:r w:rsidRPr="003F1235">
        <w:lastRenderedPageBreak/>
        <w:t>Time is running out to submit the 202</w:t>
      </w:r>
      <w:r w:rsidR="00EE12BB" w:rsidRPr="003F1235">
        <w:t>4</w:t>
      </w:r>
      <w:r w:rsidRPr="003F1235">
        <w:t xml:space="preserve"> Annual Information Statement</w:t>
      </w:r>
      <w:bookmarkEnd w:id="38"/>
    </w:p>
    <w:p w14:paraId="786C1342" w14:textId="78A61686" w:rsidR="00E30208" w:rsidRPr="00EE12BB" w:rsidRDefault="00E30208" w:rsidP="00EE12BB">
      <w:r w:rsidRPr="00EE12BB">
        <w:t xml:space="preserve">You are receiving this reminder because your email address is listed as </w:t>
      </w:r>
      <w:r>
        <w:t xml:space="preserve">a Responsible Person for </w:t>
      </w:r>
      <w:r w:rsidRPr="00AE3B9A">
        <w:rPr>
          <w:rStyle w:val="Strong"/>
        </w:rPr>
        <w:t>Charity Name</w:t>
      </w:r>
      <w:r>
        <w:t xml:space="preserve"> </w:t>
      </w:r>
      <w:r w:rsidRPr="00EE12BB">
        <w:t>(ABN:</w:t>
      </w:r>
      <w:r>
        <w:t xml:space="preserve"> </w:t>
      </w:r>
      <w:r w:rsidRPr="00AE3B9A">
        <w:rPr>
          <w:rStyle w:val="Strong"/>
        </w:rPr>
        <w:t>00000000000</w:t>
      </w:r>
      <w:r w:rsidRPr="00EE12BB">
        <w:t>), a charity registered with the Australian Charities and Not</w:t>
      </w:r>
      <w:r w:rsidR="00C26062">
        <w:noBreakHyphen/>
      </w:r>
      <w:r w:rsidRPr="00EE12BB">
        <w:t>for</w:t>
      </w:r>
      <w:r w:rsidR="00C26062">
        <w:noBreakHyphen/>
      </w:r>
      <w:r w:rsidRPr="00EE12BB">
        <w:t>profit Commission (ACNC).</w:t>
      </w:r>
      <w:r>
        <w:t xml:space="preserve"> </w:t>
      </w:r>
    </w:p>
    <w:p w14:paraId="652BB9B8" w14:textId="36A30922" w:rsidR="00E30208" w:rsidRPr="00EE12BB" w:rsidRDefault="00E30208" w:rsidP="00EE12BB">
      <w:r w:rsidRPr="00EE12BB">
        <w:t>If you are no longer the correct person to receive these reminders, please forward this email to the relevant person in the charity.</w:t>
      </w:r>
      <w:r>
        <w:t xml:space="preserve"> </w:t>
      </w:r>
    </w:p>
    <w:p w14:paraId="5980B3AA" w14:textId="27A22B47" w:rsidR="00E30208" w:rsidRPr="00EE12BB" w:rsidRDefault="00E30208" w:rsidP="00EE12BB">
      <w:r w:rsidRPr="00EE12BB">
        <w:t>Charities registered with the ACNC must submit the Annual Information Statement to the ACNC before</w:t>
      </w:r>
      <w:r>
        <w:t xml:space="preserve"> </w:t>
      </w:r>
      <w:r w:rsidRPr="00EE12BB">
        <w:t>the due date each year.</w:t>
      </w:r>
    </w:p>
    <w:p w14:paraId="39796935" w14:textId="311C8B51" w:rsidR="00E30208" w:rsidRPr="00EE12BB" w:rsidRDefault="00E30208" w:rsidP="00EE12BB">
      <w:r w:rsidRPr="00EE12BB">
        <w:t xml:space="preserve">Please log in to the Charity Portal and submit the </w:t>
      </w:r>
      <w:r>
        <w:t>2024</w:t>
      </w:r>
      <w:r w:rsidRPr="00EE12BB">
        <w:t xml:space="preserve"> Annual Information Statement now or</w:t>
      </w:r>
      <w:r>
        <w:t xml:space="preserve"> </w:t>
      </w:r>
      <w:r w:rsidRPr="00EE12BB">
        <w:t>before:</w:t>
      </w:r>
      <w:r>
        <w:t xml:space="preserve"> </w:t>
      </w:r>
    </w:p>
    <w:p w14:paraId="01C5F80A" w14:textId="77777777" w:rsidR="00E30208" w:rsidRPr="003F1235" w:rsidRDefault="00E30208" w:rsidP="003F1235">
      <w:pPr>
        <w:rPr>
          <w:rStyle w:val="Strong"/>
        </w:rPr>
      </w:pPr>
      <w:r w:rsidRPr="003F1235">
        <w:rPr>
          <w:rStyle w:val="Strong"/>
        </w:rPr>
        <w:t>31 January 2025</w:t>
      </w:r>
    </w:p>
    <w:p w14:paraId="22C94CAF" w14:textId="77777777" w:rsidR="00E30208" w:rsidRPr="005A4503" w:rsidRDefault="00E30208" w:rsidP="005A4503">
      <w:r w:rsidRPr="005A4503">
        <w:t>Log in to the Charity Portal to submit</w:t>
      </w:r>
    </w:p>
    <w:p w14:paraId="1F8FA022" w14:textId="3B1DAFC8" w:rsidR="003C1AC0" w:rsidRPr="003F1235" w:rsidRDefault="003C1AC0" w:rsidP="003F1235">
      <w:r w:rsidRPr="003F1235">
        <w:t>The information provided in the Annual Information Statement can make your charity</w:t>
      </w:r>
      <w:r w:rsidR="00C26062" w:rsidRPr="003F1235">
        <w:t>’</w:t>
      </w:r>
      <w:r w:rsidRPr="003F1235">
        <w:t>s work more visible and can help you promote your charity</w:t>
      </w:r>
      <w:r w:rsidR="00C26062" w:rsidRPr="003F1235">
        <w:t>’</w:t>
      </w:r>
      <w:r w:rsidRPr="003F1235">
        <w:t>s programs and activities. This is available to many potential supporters that visit the Charity Register every day.</w:t>
      </w:r>
    </w:p>
    <w:p w14:paraId="63FEF890" w14:textId="7580870A" w:rsidR="00E30208" w:rsidRPr="005A4503" w:rsidRDefault="00E30208" w:rsidP="005A4503">
      <w:r w:rsidRPr="005A4503">
        <w:t>Use the Charity Portal to submit</w:t>
      </w:r>
    </w:p>
    <w:p w14:paraId="47929FB4" w14:textId="77777777" w:rsidR="003C1AC0" w:rsidRPr="00EE12BB" w:rsidRDefault="003C1AC0" w:rsidP="00EE12BB">
      <w:r w:rsidRPr="00EE12BB">
        <w:t>To access your charity, please use a unique email address that is exclusively associated with you. Such as a personal or unique work email.</w:t>
      </w:r>
    </w:p>
    <w:p w14:paraId="5F058BBD" w14:textId="77777777" w:rsidR="003C1AC0" w:rsidRPr="00EE12BB" w:rsidRDefault="003C1AC0" w:rsidP="00EE12BB">
      <w:r w:rsidRPr="00EE12BB">
        <w:t>If you log in using a generic or shared email, the charity may not be displayed correctly or linked to your account.</w:t>
      </w:r>
    </w:p>
    <w:p w14:paraId="72CEB935" w14:textId="5EC99181" w:rsidR="00E30208" w:rsidRPr="00A9459B" w:rsidRDefault="00E30208" w:rsidP="00F965CD">
      <w:pPr>
        <w:pStyle w:val="OutlineNumbered1"/>
        <w:tabs>
          <w:tab w:val="clear" w:pos="851"/>
        </w:tabs>
        <w:ind w:left="426" w:hanging="426"/>
      </w:pPr>
      <w:r w:rsidRPr="00A9459B">
        <w:t>Log in to the Charity Portal</w:t>
      </w:r>
    </w:p>
    <w:p w14:paraId="7FA42780" w14:textId="033FB91D" w:rsidR="00E30208" w:rsidRPr="00A9459B" w:rsidRDefault="00E30208" w:rsidP="00F965CD">
      <w:pPr>
        <w:pStyle w:val="OutlineNumbered1"/>
        <w:tabs>
          <w:tab w:val="clear" w:pos="851"/>
        </w:tabs>
        <w:ind w:left="426" w:hanging="426"/>
      </w:pPr>
      <w:r w:rsidRPr="00A9459B">
        <w:t xml:space="preserve">Select your charity from under the </w:t>
      </w:r>
      <w:r w:rsidR="00C26062">
        <w:t>‘</w:t>
      </w:r>
      <w:r w:rsidRPr="00A9459B">
        <w:t>Charities</w:t>
      </w:r>
      <w:r w:rsidR="00C26062">
        <w:t>’</w:t>
      </w:r>
      <w:r w:rsidRPr="00A9459B">
        <w:t xml:space="preserve"> heading.</w:t>
      </w:r>
    </w:p>
    <w:p w14:paraId="578C6670" w14:textId="17933084" w:rsidR="00E30208" w:rsidRPr="00A9459B" w:rsidRDefault="00E30208" w:rsidP="00F965CD">
      <w:pPr>
        <w:pStyle w:val="OutlineNumbered1"/>
        <w:tabs>
          <w:tab w:val="clear" w:pos="851"/>
        </w:tabs>
        <w:ind w:left="426" w:hanging="426"/>
      </w:pPr>
      <w:r w:rsidRPr="00A9459B">
        <w:t xml:space="preserve">Click </w:t>
      </w:r>
      <w:r w:rsidR="00C26062">
        <w:t>‘</w:t>
      </w:r>
      <w:r w:rsidRPr="00A9459B">
        <w:t>Manage reporting</w:t>
      </w:r>
      <w:r w:rsidR="00C26062">
        <w:t>’</w:t>
      </w:r>
      <w:r w:rsidRPr="00A9459B">
        <w:t>.</w:t>
      </w:r>
    </w:p>
    <w:p w14:paraId="4042CA27" w14:textId="3D6B60FE" w:rsidR="00E30208" w:rsidRPr="00A9459B" w:rsidRDefault="00E30208" w:rsidP="00F965CD">
      <w:pPr>
        <w:pStyle w:val="OutlineNumbered1"/>
        <w:tabs>
          <w:tab w:val="clear" w:pos="851"/>
        </w:tabs>
        <w:ind w:left="426" w:hanging="426"/>
      </w:pPr>
      <w:r w:rsidRPr="00A9459B">
        <w:t>Click the icon to start the 2023 Annual Information Statement.</w:t>
      </w:r>
    </w:p>
    <w:p w14:paraId="5D52107C" w14:textId="284CE54C" w:rsidR="00E30208" w:rsidRPr="003F1235" w:rsidRDefault="00E30208" w:rsidP="003F1235">
      <w:pPr>
        <w:pStyle w:val="Heading3"/>
      </w:pPr>
      <w:r w:rsidRPr="003F1235">
        <w:t>Need help with the Charity Portal?</w:t>
      </w:r>
    </w:p>
    <w:p w14:paraId="058754AB" w14:textId="77777777" w:rsidR="003F1235" w:rsidRDefault="00E30208" w:rsidP="003F1235">
      <w:pPr>
        <w:pStyle w:val="Bullet"/>
      </w:pPr>
      <w:r w:rsidRPr="003F1235">
        <w:t xml:space="preserve">See our guidance on how to sign up to the Charity Portal and if you are new to a charity. </w:t>
      </w:r>
    </w:p>
    <w:p w14:paraId="6C9C4B95" w14:textId="63671B18" w:rsidR="00E30208" w:rsidRPr="003F1235" w:rsidRDefault="00E30208" w:rsidP="003F1235">
      <w:pPr>
        <w:pStyle w:val="Bullet"/>
      </w:pPr>
      <w:r w:rsidRPr="003F1235">
        <w:t>Log in to the Charity Portal to submit</w:t>
      </w:r>
    </w:p>
    <w:p w14:paraId="430C761C" w14:textId="77777777" w:rsidR="003C1AC0" w:rsidRPr="003F1235" w:rsidRDefault="003C1AC0" w:rsidP="003F1235">
      <w:pPr>
        <w:pStyle w:val="Heading3"/>
      </w:pPr>
      <w:r w:rsidRPr="003F1235">
        <w:t>Need help?</w:t>
      </w:r>
    </w:p>
    <w:p w14:paraId="501BE810" w14:textId="3A4F01DE" w:rsidR="00E30208" w:rsidRPr="003F1235" w:rsidRDefault="00E30208" w:rsidP="003F1235">
      <w:r w:rsidRPr="003F1235">
        <w:t>If you need help completing the Annual Information Statement, please see our Annual Information Statement guide and other resources.</w:t>
      </w:r>
    </w:p>
    <w:p w14:paraId="59A28A1F" w14:textId="32665D1B" w:rsidR="00E30208" w:rsidRPr="003F1235" w:rsidRDefault="00E30208" w:rsidP="003F1235">
      <w:r w:rsidRPr="003F1235">
        <w:t>If you need further assistance, please submit a general inquiry, reply to this email or contact us on 13 22 62 1pm to 5pm Monday to Friday (Victoria time).</w:t>
      </w:r>
    </w:p>
    <w:p w14:paraId="71E8B4A7" w14:textId="77777777" w:rsidR="00D41B23" w:rsidRPr="00EE12BB" w:rsidRDefault="00D41B23" w:rsidP="00EE12BB">
      <w:pPr>
        <w:spacing w:before="0" w:after="160" w:line="259" w:lineRule="auto"/>
        <w:rPr>
          <w:rFonts w:ascii="Calibri" w:hAnsi="Calibri"/>
          <w:b/>
          <w:color w:val="2C384A" w:themeColor="accent1"/>
          <w:kern w:val="32"/>
          <w:sz w:val="44"/>
        </w:rPr>
      </w:pPr>
      <w:r>
        <w:br w:type="page"/>
      </w:r>
    </w:p>
    <w:p w14:paraId="16572564" w14:textId="4723B600" w:rsidR="004F7197" w:rsidRPr="00832850" w:rsidRDefault="00866270" w:rsidP="00832850">
      <w:pPr>
        <w:pStyle w:val="AppendixHeading"/>
      </w:pPr>
      <w:bookmarkStart w:id="39" w:name="_Toc197603345"/>
      <w:bookmarkStart w:id="40" w:name="_Toc207712034"/>
      <w:r w:rsidRPr="00832850">
        <w:lastRenderedPageBreak/>
        <w:t>Appendix B</w:t>
      </w:r>
      <w:r w:rsidR="00323E7A" w:rsidRPr="00832850">
        <w:t>:</w:t>
      </w:r>
      <w:r w:rsidR="003B7FDE" w:rsidRPr="00832850">
        <w:t xml:space="preserve"> </w:t>
      </w:r>
      <w:r w:rsidR="00842DD5" w:rsidRPr="00832850">
        <w:t xml:space="preserve">Determination of </w:t>
      </w:r>
      <w:r w:rsidR="009A29DA" w:rsidRPr="00832850">
        <w:t>a charity</w:t>
      </w:r>
      <w:r w:rsidR="00C26062" w:rsidRPr="00832850">
        <w:t>’</w:t>
      </w:r>
      <w:r w:rsidR="009A29DA" w:rsidRPr="00832850">
        <w:t xml:space="preserve">s </w:t>
      </w:r>
      <w:r w:rsidR="00842DD5" w:rsidRPr="00832850">
        <w:t>Responsible Person</w:t>
      </w:r>
      <w:bookmarkEnd w:id="39"/>
      <w:bookmarkEnd w:id="40"/>
      <w:r w:rsidR="00384F9D" w:rsidRPr="00832850">
        <w:t xml:space="preserve"> </w:t>
      </w:r>
    </w:p>
    <w:p w14:paraId="24D44160" w14:textId="3D370B78" w:rsidR="00644C68" w:rsidRDefault="00537CCD" w:rsidP="00644C68">
      <w:r>
        <w:t xml:space="preserve">The </w:t>
      </w:r>
      <w:r w:rsidR="00644C68">
        <w:t xml:space="preserve">ACNC </w:t>
      </w:r>
      <w:r w:rsidR="009E3FB9">
        <w:t>used</w:t>
      </w:r>
      <w:r w:rsidR="00644C68">
        <w:t xml:space="preserve"> the criteria </w:t>
      </w:r>
      <w:r w:rsidR="00D41B23">
        <w:t xml:space="preserve">below </w:t>
      </w:r>
      <w:r w:rsidR="00644C68">
        <w:t xml:space="preserve">to determine which Responsible Person </w:t>
      </w:r>
      <w:r w:rsidR="00D41B23">
        <w:t>would</w:t>
      </w:r>
      <w:r w:rsidR="00644C68">
        <w:t xml:space="preserve"> receive the treatment intervention</w:t>
      </w:r>
      <w:r w:rsidR="009E3FB9">
        <w:t>.</w:t>
      </w:r>
      <w:r w:rsidR="00644C68">
        <w:t xml:space="preserve"> </w:t>
      </w:r>
    </w:p>
    <w:p w14:paraId="7DDCC568" w14:textId="386A4581" w:rsidR="00644C68" w:rsidRPr="004D66A0" w:rsidRDefault="00644C68" w:rsidP="00644C68">
      <w:r w:rsidRPr="004D66A0">
        <w:t xml:space="preserve">The preference order by position title </w:t>
      </w:r>
      <w:r w:rsidR="009A29DA">
        <w:t>we</w:t>
      </w:r>
      <w:r w:rsidR="006E1E60">
        <w:t>re</w:t>
      </w:r>
      <w:r w:rsidRPr="004D66A0">
        <w:t xml:space="preserve"> as follows:</w:t>
      </w:r>
    </w:p>
    <w:p w14:paraId="198E1634" w14:textId="77777777" w:rsidR="00644C68" w:rsidRPr="004D66A0" w:rsidRDefault="00644C68" w:rsidP="00F965CD">
      <w:pPr>
        <w:pStyle w:val="OutlineNumbered1"/>
        <w:numPr>
          <w:ilvl w:val="0"/>
          <w:numId w:val="41"/>
        </w:numPr>
        <w:tabs>
          <w:tab w:val="clear" w:pos="851"/>
        </w:tabs>
        <w:ind w:left="426" w:hanging="426"/>
      </w:pPr>
      <w:r w:rsidRPr="004D66A0">
        <w:t xml:space="preserve">Treasurer </w:t>
      </w:r>
    </w:p>
    <w:p w14:paraId="7AF68042" w14:textId="782A6CC4" w:rsidR="00644C68" w:rsidRPr="00BE5707" w:rsidRDefault="00644C68" w:rsidP="00F965CD">
      <w:pPr>
        <w:pStyle w:val="AlphaParagraph"/>
        <w:ind w:hanging="294"/>
      </w:pPr>
      <w:r w:rsidRPr="00BE5707">
        <w:t xml:space="preserve">If the Treasurer email is blank or their email matches the charity </w:t>
      </w:r>
      <w:r w:rsidR="009A29DA" w:rsidRPr="00BE5707">
        <w:t>address for service</w:t>
      </w:r>
      <w:r w:rsidRPr="00BE5707">
        <w:t xml:space="preserve"> email, then preference is given to the next position title listed below and follows the same criteria as specified in this point.</w:t>
      </w:r>
    </w:p>
    <w:p w14:paraId="5DA36D18" w14:textId="659AB105" w:rsidR="00644C68" w:rsidRPr="00BE5707" w:rsidRDefault="00644C68" w:rsidP="00F965CD">
      <w:pPr>
        <w:pStyle w:val="AlphaParagraph"/>
        <w:ind w:hanging="294"/>
      </w:pPr>
      <w:r w:rsidRPr="00BE5707">
        <w:t xml:space="preserve">Additionally, if there are </w:t>
      </w:r>
      <w:r w:rsidR="00FD24FB" w:rsidRPr="00BE5707">
        <w:t xml:space="preserve">2 </w:t>
      </w:r>
      <w:r w:rsidRPr="00BE5707">
        <w:t xml:space="preserve">Responsible People with the same position title that meet the criteria above (i.e. </w:t>
      </w:r>
      <w:r w:rsidR="00FD24FB" w:rsidRPr="00BE5707">
        <w:t>2</w:t>
      </w:r>
      <w:r w:rsidRPr="00BE5707">
        <w:t xml:space="preserve"> treasurers with unique emails), preference will be given to the Responsible Person with the more recent start date on their RP relationship.</w:t>
      </w:r>
    </w:p>
    <w:p w14:paraId="619D1B24" w14:textId="77777777" w:rsidR="00644C68" w:rsidRPr="004D66A0" w:rsidRDefault="00644C68" w:rsidP="00F965CD">
      <w:pPr>
        <w:pStyle w:val="OutlineNumbered1"/>
        <w:tabs>
          <w:tab w:val="clear" w:pos="851"/>
        </w:tabs>
        <w:ind w:left="426" w:hanging="426"/>
      </w:pPr>
      <w:r w:rsidRPr="004D66A0">
        <w:t>Secretary</w:t>
      </w:r>
    </w:p>
    <w:p w14:paraId="632723B8" w14:textId="77777777" w:rsidR="00644C68" w:rsidRPr="004D66A0" w:rsidRDefault="00644C68" w:rsidP="00F965CD">
      <w:pPr>
        <w:pStyle w:val="OutlineNumbered1"/>
        <w:tabs>
          <w:tab w:val="clear" w:pos="851"/>
        </w:tabs>
        <w:ind w:left="426" w:hanging="426"/>
      </w:pPr>
      <w:r w:rsidRPr="004D66A0">
        <w:t>Director</w:t>
      </w:r>
    </w:p>
    <w:p w14:paraId="6F923C68" w14:textId="77777777" w:rsidR="00644C68" w:rsidRPr="004D66A0" w:rsidRDefault="00644C68" w:rsidP="00F965CD">
      <w:pPr>
        <w:pStyle w:val="OutlineNumbered1"/>
        <w:tabs>
          <w:tab w:val="clear" w:pos="851"/>
        </w:tabs>
        <w:ind w:left="426" w:hanging="426"/>
      </w:pPr>
      <w:r w:rsidRPr="004D66A0">
        <w:t>President</w:t>
      </w:r>
    </w:p>
    <w:p w14:paraId="58245791" w14:textId="77777777" w:rsidR="00644C68" w:rsidRPr="004D66A0" w:rsidRDefault="00644C68" w:rsidP="00F965CD">
      <w:pPr>
        <w:pStyle w:val="OutlineNumbered1"/>
        <w:tabs>
          <w:tab w:val="clear" w:pos="851"/>
        </w:tabs>
        <w:ind w:left="426" w:hanging="426"/>
      </w:pPr>
      <w:r w:rsidRPr="004D66A0">
        <w:t>Public Officer</w:t>
      </w:r>
    </w:p>
    <w:p w14:paraId="05404433" w14:textId="77777777" w:rsidR="00644C68" w:rsidRPr="004D66A0" w:rsidRDefault="00644C68" w:rsidP="00F965CD">
      <w:pPr>
        <w:pStyle w:val="OutlineNumbered1"/>
        <w:tabs>
          <w:tab w:val="clear" w:pos="851"/>
        </w:tabs>
        <w:ind w:left="426" w:hanging="426"/>
      </w:pPr>
      <w:r w:rsidRPr="004D66A0">
        <w:t>Chairperson</w:t>
      </w:r>
    </w:p>
    <w:p w14:paraId="0D8508EF" w14:textId="77777777" w:rsidR="00644C68" w:rsidRPr="004D66A0" w:rsidRDefault="00644C68" w:rsidP="00F965CD">
      <w:pPr>
        <w:pStyle w:val="OutlineNumbered1"/>
        <w:tabs>
          <w:tab w:val="clear" w:pos="851"/>
        </w:tabs>
        <w:ind w:left="426" w:hanging="426"/>
      </w:pPr>
      <w:r w:rsidRPr="004D66A0">
        <w:t>Committee Member</w:t>
      </w:r>
    </w:p>
    <w:p w14:paraId="43B47956" w14:textId="77777777" w:rsidR="00644C68" w:rsidRPr="004D66A0" w:rsidRDefault="00644C68" w:rsidP="00F965CD">
      <w:pPr>
        <w:pStyle w:val="OutlineNumbered1"/>
        <w:tabs>
          <w:tab w:val="clear" w:pos="851"/>
        </w:tabs>
        <w:ind w:left="426" w:hanging="426"/>
      </w:pPr>
      <w:r w:rsidRPr="004D66A0">
        <w:t>Trustee</w:t>
      </w:r>
    </w:p>
    <w:p w14:paraId="7D9FC123" w14:textId="77777777" w:rsidR="00644C68" w:rsidRPr="004D66A0" w:rsidRDefault="00644C68" w:rsidP="00F965CD">
      <w:pPr>
        <w:pStyle w:val="OutlineNumbered1"/>
        <w:tabs>
          <w:tab w:val="clear" w:pos="851"/>
        </w:tabs>
        <w:ind w:left="426" w:hanging="426"/>
      </w:pPr>
      <w:r w:rsidRPr="004D66A0">
        <w:t>Board Member</w:t>
      </w:r>
    </w:p>
    <w:p w14:paraId="74C1674E" w14:textId="1F749502" w:rsidR="00644C68" w:rsidRPr="004D66A0" w:rsidRDefault="00644C68" w:rsidP="00F965CD">
      <w:pPr>
        <w:pStyle w:val="OutlineNumbered1"/>
        <w:tabs>
          <w:tab w:val="clear" w:pos="851"/>
        </w:tabs>
        <w:ind w:left="426" w:hanging="426"/>
      </w:pPr>
      <w:r w:rsidRPr="004D66A0">
        <w:t>Vice</w:t>
      </w:r>
      <w:r w:rsidR="00C26062">
        <w:noBreakHyphen/>
      </w:r>
      <w:r w:rsidRPr="004D66A0">
        <w:t>president</w:t>
      </w:r>
    </w:p>
    <w:p w14:paraId="3AA50476" w14:textId="77777777" w:rsidR="00644C68" w:rsidRPr="004D66A0" w:rsidRDefault="00644C68" w:rsidP="00F965CD">
      <w:pPr>
        <w:pStyle w:val="OutlineNumbered1"/>
        <w:tabs>
          <w:tab w:val="clear" w:pos="851"/>
        </w:tabs>
        <w:ind w:left="426" w:hanging="426"/>
      </w:pPr>
      <w:r w:rsidRPr="004D66A0">
        <w:t>Deputy Chairperson</w:t>
      </w:r>
    </w:p>
    <w:p w14:paraId="67A8F6B6" w14:textId="77777777" w:rsidR="00644C68" w:rsidRPr="00E24F08" w:rsidRDefault="00644C68" w:rsidP="00F965CD">
      <w:pPr>
        <w:pStyle w:val="OutlineNumbered1"/>
        <w:tabs>
          <w:tab w:val="clear" w:pos="851"/>
        </w:tabs>
        <w:ind w:left="426" w:hanging="426"/>
      </w:pPr>
      <w:r w:rsidRPr="004D66A0">
        <w:t>Other</w:t>
      </w:r>
    </w:p>
    <w:p w14:paraId="580D87C5" w14:textId="4676D30E" w:rsidR="00644C68" w:rsidRDefault="00644C68" w:rsidP="00644C68">
      <w:pPr>
        <w:spacing w:before="0" w:after="160" w:line="259" w:lineRule="auto"/>
      </w:pPr>
      <w:r>
        <w:br w:type="page"/>
      </w:r>
    </w:p>
    <w:p w14:paraId="181E6DF8" w14:textId="6725EB70" w:rsidR="003308CE" w:rsidRPr="00C82EDF" w:rsidRDefault="00072396" w:rsidP="00C82EDF">
      <w:pPr>
        <w:pStyle w:val="AppendixHeading"/>
      </w:pPr>
      <w:bookmarkStart w:id="41" w:name="_Toc197603347"/>
      <w:bookmarkStart w:id="42" w:name="_Toc207712035"/>
      <w:r w:rsidRPr="00C82EDF">
        <w:lastRenderedPageBreak/>
        <w:t>Appendix C</w:t>
      </w:r>
      <w:r w:rsidR="00CD4EF6" w:rsidRPr="00C82EDF">
        <w:t>:</w:t>
      </w:r>
      <w:r w:rsidRPr="00C82EDF">
        <w:t xml:space="preserve"> Technical </w:t>
      </w:r>
      <w:bookmarkEnd w:id="41"/>
      <w:r w:rsidR="00554862" w:rsidRPr="00C82EDF">
        <w:t>a</w:t>
      </w:r>
      <w:r w:rsidR="004F7197" w:rsidRPr="00C82EDF">
        <w:t>ppendix</w:t>
      </w:r>
      <w:bookmarkEnd w:id="42"/>
    </w:p>
    <w:p w14:paraId="3DB908C3" w14:textId="5087C953" w:rsidR="009445EB" w:rsidRDefault="009445EB" w:rsidP="009445EB">
      <w:r>
        <w:t>This appendix provides further detail on how the randomised trial was conducted and analysed, in accordance with the pre</w:t>
      </w:r>
      <w:r w:rsidR="00C26062">
        <w:noBreakHyphen/>
      </w:r>
      <w:r>
        <w:t xml:space="preserve">analysis plan. It details: </w:t>
      </w:r>
    </w:p>
    <w:p w14:paraId="1862EEF1" w14:textId="24C45D40" w:rsidR="009445EB" w:rsidRDefault="009445EB" w:rsidP="00F6204B">
      <w:pPr>
        <w:pStyle w:val="ListBullet"/>
      </w:pPr>
      <w:r>
        <w:t>pre</w:t>
      </w:r>
      <w:r w:rsidR="00C26062">
        <w:noBreakHyphen/>
      </w:r>
      <w:r>
        <w:t>registration and ethics</w:t>
      </w:r>
    </w:p>
    <w:p w14:paraId="40FB8A73" w14:textId="7D555E3F" w:rsidR="00613502" w:rsidRDefault="00613502" w:rsidP="00F6204B">
      <w:pPr>
        <w:pStyle w:val="ListBullet"/>
      </w:pPr>
      <w:r>
        <w:t>deviations from the pre</w:t>
      </w:r>
      <w:r w:rsidR="00C26062">
        <w:noBreakHyphen/>
      </w:r>
      <w:r>
        <w:t>analysis plan</w:t>
      </w:r>
    </w:p>
    <w:p w14:paraId="4AD6D959" w14:textId="42CADBA7" w:rsidR="009445EB" w:rsidRDefault="009445EB" w:rsidP="00F6204B">
      <w:pPr>
        <w:pStyle w:val="ListBullet"/>
      </w:pPr>
      <w:r>
        <w:t>data processing and randomisation</w:t>
      </w:r>
    </w:p>
    <w:p w14:paraId="7E91EBA8" w14:textId="7FCC3C71" w:rsidR="009445EB" w:rsidRDefault="009445EB" w:rsidP="00F6204B">
      <w:pPr>
        <w:pStyle w:val="ListBullet"/>
      </w:pPr>
      <w:r>
        <w:t>the study population</w:t>
      </w:r>
    </w:p>
    <w:p w14:paraId="0CC2E578" w14:textId="6211518D" w:rsidR="009445EB" w:rsidRDefault="00ED0A01" w:rsidP="00F6204B">
      <w:pPr>
        <w:pStyle w:val="ListBullet"/>
      </w:pPr>
      <w:r>
        <w:t>primary analysis</w:t>
      </w:r>
    </w:p>
    <w:p w14:paraId="62FFDA51" w14:textId="326B898C" w:rsidR="00ED0A01" w:rsidRDefault="00ED0A01" w:rsidP="00F6204B">
      <w:pPr>
        <w:pStyle w:val="ListBullet"/>
      </w:pPr>
      <w:r>
        <w:t>secondary analysis</w:t>
      </w:r>
    </w:p>
    <w:p w14:paraId="5373F717" w14:textId="53F1E723" w:rsidR="00ED0A01" w:rsidRDefault="00ED0A01" w:rsidP="00F6204B">
      <w:pPr>
        <w:pStyle w:val="ListBullet"/>
      </w:pPr>
      <w:r>
        <w:t>sub</w:t>
      </w:r>
      <w:r w:rsidR="00C26062">
        <w:noBreakHyphen/>
      </w:r>
      <w:r>
        <w:t>group analyses</w:t>
      </w:r>
    </w:p>
    <w:p w14:paraId="10EFE45B" w14:textId="3B45F305" w:rsidR="009445EB" w:rsidRDefault="009445EB" w:rsidP="00F6204B">
      <w:pPr>
        <w:pStyle w:val="ListBullet"/>
      </w:pPr>
      <w:r>
        <w:t>risk of bias</w:t>
      </w:r>
    </w:p>
    <w:p w14:paraId="099ED708" w14:textId="3F7A6772" w:rsidR="00D75161" w:rsidRDefault="00D75161" w:rsidP="00D75161">
      <w:pPr>
        <w:pStyle w:val="Heading2"/>
      </w:pPr>
      <w:bookmarkStart w:id="43" w:name="_Toc197603348"/>
      <w:bookmarkStart w:id="44" w:name="_Toc207712036"/>
      <w:r>
        <w:t>Pre</w:t>
      </w:r>
      <w:r w:rsidR="00B03E8A">
        <w:t>-</w:t>
      </w:r>
      <w:r>
        <w:t>registration and ethics</w:t>
      </w:r>
      <w:bookmarkEnd w:id="43"/>
      <w:bookmarkEnd w:id="44"/>
    </w:p>
    <w:p w14:paraId="456E830E" w14:textId="64AE157E" w:rsidR="00323E7A" w:rsidRDefault="00323E7A" w:rsidP="00EC63A0">
      <w:r>
        <w:t>The randomised trial was reviewed and approved by Macquarie University</w:t>
      </w:r>
      <w:r w:rsidR="00C26062">
        <w:t>’</w:t>
      </w:r>
      <w:r>
        <w:t>s human research ethics service (Project ID: 18222)</w:t>
      </w:r>
      <w:r w:rsidR="00304CC1">
        <w:t xml:space="preserve"> on 3 December 2024</w:t>
      </w:r>
      <w:r>
        <w:t xml:space="preserve">. It was assessed as </w:t>
      </w:r>
      <w:r w:rsidR="00C26062">
        <w:t>‘</w:t>
      </w:r>
      <w:r>
        <w:t>low risk</w:t>
      </w:r>
      <w:r w:rsidR="00C26062">
        <w:t>’</w:t>
      </w:r>
      <w:r>
        <w:t xml:space="preserve"> and so was not subject to further review by one of Macquarie</w:t>
      </w:r>
      <w:r w:rsidR="00C26062">
        <w:t>’</w:t>
      </w:r>
      <w:r>
        <w:t>s Human Research Ethics Committees.</w:t>
      </w:r>
    </w:p>
    <w:p w14:paraId="52D658D4" w14:textId="6A828ED9" w:rsidR="00EC63A0" w:rsidRPr="00EC63A0" w:rsidRDefault="00EC63A0" w:rsidP="00EC63A0">
      <w:r w:rsidRPr="00EC63A0">
        <w:t>The trial was publicly pre</w:t>
      </w:r>
      <w:r w:rsidR="00C26062">
        <w:noBreakHyphen/>
      </w:r>
      <w:r w:rsidRPr="00EC63A0">
        <w:t>registered with the American Economic Association</w:t>
      </w:r>
      <w:r w:rsidR="00C26062">
        <w:t>’</w:t>
      </w:r>
      <w:r w:rsidRPr="00EC63A0">
        <w:t>s Social Science Registry</w:t>
      </w:r>
      <w:r w:rsidR="00202DD0">
        <w:t xml:space="preserve"> (</w:t>
      </w:r>
      <w:hyperlink r:id="rId46" w:history="1">
        <w:r w:rsidR="00202DD0" w:rsidRPr="00202DD0">
          <w:rPr>
            <w:rStyle w:val="Hyperlink"/>
          </w:rPr>
          <w:t>AEARCTR</w:t>
        </w:r>
        <w:r w:rsidR="00C26062">
          <w:rPr>
            <w:rStyle w:val="Hyperlink"/>
          </w:rPr>
          <w:noBreakHyphen/>
        </w:r>
        <w:r w:rsidR="00202DD0" w:rsidRPr="00202DD0">
          <w:rPr>
            <w:rStyle w:val="Hyperlink"/>
          </w:rPr>
          <w:t>0015006</w:t>
        </w:r>
      </w:hyperlink>
      <w:r w:rsidR="00202DD0">
        <w:t>)</w:t>
      </w:r>
      <w:r w:rsidR="003047DD">
        <w:t xml:space="preserve"> on 17</w:t>
      </w:r>
      <w:r w:rsidR="004F3218">
        <w:t> </w:t>
      </w:r>
      <w:r w:rsidR="003047DD">
        <w:t>December</w:t>
      </w:r>
      <w:r w:rsidR="004F3218">
        <w:t> </w:t>
      </w:r>
      <w:r w:rsidR="003047DD">
        <w:t>2024</w:t>
      </w:r>
      <w:r w:rsidRPr="00EC63A0">
        <w:t>. The pre</w:t>
      </w:r>
      <w:r w:rsidR="00C26062">
        <w:noBreakHyphen/>
      </w:r>
      <w:r w:rsidRPr="00EC63A0">
        <w:t xml:space="preserve">analysis plan </w:t>
      </w:r>
      <w:r w:rsidR="00203270">
        <w:t xml:space="preserve">(PAP) </w:t>
      </w:r>
      <w:r w:rsidRPr="00EC63A0">
        <w:t>and registration were completed prior to the start of data collection and analysis.</w:t>
      </w:r>
    </w:p>
    <w:p w14:paraId="3107FFE8" w14:textId="3C4629CE" w:rsidR="00613502" w:rsidRDefault="00613502" w:rsidP="00613502">
      <w:pPr>
        <w:pStyle w:val="Heading2"/>
      </w:pPr>
      <w:bookmarkStart w:id="45" w:name="_Toc207712037"/>
      <w:r>
        <w:t>Deviations from the pre</w:t>
      </w:r>
      <w:r w:rsidR="00B03E8A">
        <w:t>-</w:t>
      </w:r>
      <w:r>
        <w:t>analysis plan (PAP)</w:t>
      </w:r>
      <w:bookmarkEnd w:id="45"/>
    </w:p>
    <w:p w14:paraId="58495654" w14:textId="559CE853" w:rsidR="00613502" w:rsidRDefault="00613502" w:rsidP="00613502">
      <w:r w:rsidRPr="00EC63A0">
        <w:t>Randomisation, data processing, and analysis followed the procedures outlined in the pre</w:t>
      </w:r>
      <w:r w:rsidR="00C26062">
        <w:noBreakHyphen/>
      </w:r>
      <w:r w:rsidRPr="00EC63A0">
        <w:t>analysis plan</w:t>
      </w:r>
      <w:r w:rsidR="009B0822">
        <w:t>, with the following 2 exceptions</w:t>
      </w:r>
      <w:r w:rsidRPr="00EC63A0">
        <w:t xml:space="preserve">. </w:t>
      </w:r>
      <w:r w:rsidR="009B0822" w:rsidRPr="009B0822">
        <w:t xml:space="preserve">These </w:t>
      </w:r>
      <w:r w:rsidRPr="009B0822">
        <w:t xml:space="preserve">deviations are </w:t>
      </w:r>
      <w:r w:rsidR="009B0822" w:rsidRPr="009B0822">
        <w:t xml:space="preserve">also </w:t>
      </w:r>
      <w:r w:rsidRPr="009B0822">
        <w:t>noted in the relevant sections of this Appendix.</w:t>
      </w:r>
    </w:p>
    <w:p w14:paraId="17215259" w14:textId="5941D1C3" w:rsidR="00613502" w:rsidRDefault="00613502" w:rsidP="00E5318A">
      <w:pPr>
        <w:pStyle w:val="Bullet"/>
      </w:pPr>
      <w:r w:rsidRPr="00613502">
        <w:t xml:space="preserve">The ACE did not </w:t>
      </w:r>
      <w:r>
        <w:t>pre</w:t>
      </w:r>
      <w:r w:rsidR="00C26062">
        <w:noBreakHyphen/>
      </w:r>
      <w:r w:rsidRPr="00613502">
        <w:t>specify that it would mean centre covariates in the PAP. The ACE mean</w:t>
      </w:r>
      <w:r w:rsidR="00C26062">
        <w:noBreakHyphen/>
      </w:r>
      <w:r w:rsidRPr="00613502">
        <w:t>centred the covariates to improve interpretability and reduce multicollinearity. This deviation did not change the results.</w:t>
      </w:r>
    </w:p>
    <w:p w14:paraId="3403FF85" w14:textId="25A47E27" w:rsidR="00613502" w:rsidRPr="00613502" w:rsidRDefault="00613502" w:rsidP="00E5318A">
      <w:pPr>
        <w:pStyle w:val="Bullet"/>
      </w:pPr>
      <w:r>
        <w:t>For the subgroup analysis, t</w:t>
      </w:r>
      <w:r w:rsidRPr="00613502">
        <w:t>he ACE did not specify a fully saturated model in the PAP. The ACE used a fully saturated model to make interpretation of subgroup effects and interactions clearer</w:t>
      </w:r>
      <w:r>
        <w:t xml:space="preserve">. This </w:t>
      </w:r>
      <w:r w:rsidRPr="00613502">
        <w:t xml:space="preserve">change </w:t>
      </w:r>
      <w:r>
        <w:t xml:space="preserve">did </w:t>
      </w:r>
      <w:r w:rsidRPr="00613502">
        <w:t>not alter the underlying results or conclusions.</w:t>
      </w:r>
    </w:p>
    <w:p w14:paraId="7C788D4F" w14:textId="52243A1E" w:rsidR="00B41D4F" w:rsidRDefault="00B41D4F" w:rsidP="00C0775D">
      <w:pPr>
        <w:pStyle w:val="Heading2"/>
      </w:pPr>
      <w:bookmarkStart w:id="46" w:name="_Toc197603350"/>
      <w:bookmarkStart w:id="47" w:name="_Toc207712038"/>
      <w:r>
        <w:t xml:space="preserve">Data </w:t>
      </w:r>
      <w:r w:rsidR="005C1637">
        <w:t>processing</w:t>
      </w:r>
      <w:bookmarkEnd w:id="46"/>
      <w:r w:rsidR="005C1637">
        <w:t xml:space="preserve"> </w:t>
      </w:r>
      <w:r w:rsidR="000F118E">
        <w:t>and randomisation</w:t>
      </w:r>
      <w:bookmarkEnd w:id="47"/>
      <w:r w:rsidR="005C1637">
        <w:t xml:space="preserve"> </w:t>
      </w:r>
    </w:p>
    <w:p w14:paraId="20128389" w14:textId="482B3C6E" w:rsidR="00A54427" w:rsidRDefault="009932FD" w:rsidP="00C0775D">
      <w:pPr>
        <w:pStyle w:val="Heading3"/>
      </w:pPr>
      <w:r w:rsidRPr="00C0775D">
        <w:t>Randomisation</w:t>
      </w:r>
    </w:p>
    <w:p w14:paraId="15E1C1D9" w14:textId="23CC298B" w:rsidR="00926170" w:rsidRPr="003A68C1" w:rsidRDefault="00FC3B6D" w:rsidP="003A68C1">
      <w:r w:rsidRPr="003A68C1">
        <w:t xml:space="preserve">As outlined in the PAP, </w:t>
      </w:r>
      <w:r w:rsidR="00983080" w:rsidRPr="003A68C1">
        <w:t>the</w:t>
      </w:r>
      <w:r w:rsidRPr="003A68C1">
        <w:t xml:space="preserve"> </w:t>
      </w:r>
      <w:r w:rsidR="00EF48DF" w:rsidRPr="003A68C1">
        <w:t>ACNC sen</w:t>
      </w:r>
      <w:r w:rsidR="00AB2B61" w:rsidRPr="003A68C1">
        <w:t>t</w:t>
      </w:r>
      <w:r w:rsidR="00EF48DF" w:rsidRPr="003A68C1">
        <w:t xml:space="preserve"> the ACE </w:t>
      </w:r>
      <w:r w:rsidR="00607CFA" w:rsidRPr="003A68C1">
        <w:t>a de</w:t>
      </w:r>
      <w:r w:rsidR="00C26062">
        <w:noBreakHyphen/>
      </w:r>
      <w:r w:rsidR="00607CFA" w:rsidRPr="003A68C1">
        <w:t>identified</w:t>
      </w:r>
      <w:r w:rsidR="00EF48DF" w:rsidRPr="003A68C1">
        <w:t xml:space="preserve"> csv file </w:t>
      </w:r>
      <w:r w:rsidR="005E2D36" w:rsidRPr="003A68C1">
        <w:t xml:space="preserve">for randomisation. The data </w:t>
      </w:r>
      <w:r w:rsidR="00EF48DF" w:rsidRPr="003A68C1">
        <w:t>file contain</w:t>
      </w:r>
      <w:r w:rsidR="005E2D36" w:rsidRPr="003A68C1">
        <w:t>ed</w:t>
      </w:r>
      <w:r w:rsidR="00EF48DF" w:rsidRPr="003A68C1">
        <w:t xml:space="preserve"> a charity identifier, and information on each charity</w:t>
      </w:r>
      <w:r w:rsidR="00C26062">
        <w:t>’</w:t>
      </w:r>
      <w:r w:rsidR="00EF48DF" w:rsidRPr="003A68C1">
        <w:t xml:space="preserve">s </w:t>
      </w:r>
      <w:r w:rsidR="005E2D36" w:rsidRPr="003A68C1">
        <w:t>characteristics</w:t>
      </w:r>
      <w:r w:rsidR="00EF48DF" w:rsidRPr="003A68C1">
        <w:t xml:space="preserve">: </w:t>
      </w:r>
      <w:r w:rsidR="00723595" w:rsidRPr="003A68C1">
        <w:t>charity size,</w:t>
      </w:r>
      <w:r w:rsidR="00EF48DF" w:rsidRPr="003A68C1">
        <w:t xml:space="preserve"> basic religious status, incorporated association, volunteer</w:t>
      </w:r>
      <w:r w:rsidR="00C26062">
        <w:noBreakHyphen/>
      </w:r>
      <w:r w:rsidR="00EF48DF" w:rsidRPr="003A68C1">
        <w:t xml:space="preserve">based status, and </w:t>
      </w:r>
      <w:r w:rsidR="00607455" w:rsidRPr="003A68C1">
        <w:t>whether it was the charity</w:t>
      </w:r>
      <w:r w:rsidR="00C26062">
        <w:t>’</w:t>
      </w:r>
      <w:r w:rsidR="00607455" w:rsidRPr="003A68C1">
        <w:t xml:space="preserve">s </w:t>
      </w:r>
      <w:r w:rsidR="00EF48DF" w:rsidRPr="003A68C1">
        <w:t xml:space="preserve">first AIS submission. </w:t>
      </w:r>
    </w:p>
    <w:p w14:paraId="2ADC6C0B" w14:textId="77777777" w:rsidR="003A68C1" w:rsidRDefault="003A68C1">
      <w:pPr>
        <w:spacing w:before="0" w:after="160" w:line="259" w:lineRule="auto"/>
      </w:pPr>
      <w:r>
        <w:br w:type="page"/>
      </w:r>
    </w:p>
    <w:p w14:paraId="5A7B1C79" w14:textId="2D658642" w:rsidR="00EF48DF" w:rsidRPr="003A68C1" w:rsidRDefault="00EF48DF" w:rsidP="003A68C1">
      <w:r w:rsidRPr="003A68C1">
        <w:lastRenderedPageBreak/>
        <w:t xml:space="preserve">The ACE </w:t>
      </w:r>
      <w:r w:rsidR="00AB2B61" w:rsidRPr="003A68C1">
        <w:t>then</w:t>
      </w:r>
      <w:r w:rsidRPr="003A68C1">
        <w:t xml:space="preserve"> conduct</w:t>
      </w:r>
      <w:r w:rsidR="00AB2B61" w:rsidRPr="003A68C1">
        <w:t>ed</w:t>
      </w:r>
      <w:r w:rsidRPr="003A68C1">
        <w:t xml:space="preserve"> the stratified randomisation process through the following steps:</w:t>
      </w:r>
    </w:p>
    <w:p w14:paraId="5CCD742A" w14:textId="36C6E1C3" w:rsidR="00FC3B6D" w:rsidRPr="003A68C1" w:rsidRDefault="00FC3B6D" w:rsidP="004C34E7">
      <w:pPr>
        <w:pStyle w:val="OutlineNumbered1"/>
        <w:numPr>
          <w:ilvl w:val="0"/>
          <w:numId w:val="43"/>
        </w:numPr>
        <w:tabs>
          <w:tab w:val="clear" w:pos="851"/>
        </w:tabs>
        <w:ind w:left="426" w:hanging="426"/>
      </w:pPr>
      <w:r w:rsidRPr="003A68C1">
        <w:t>Organise the data: The ACE ensured that all relevant fields were completed</w:t>
      </w:r>
      <w:r w:rsidR="00064239" w:rsidRPr="003A68C1">
        <w:t xml:space="preserve"> and coded accurately. The ACE did not find any inconsistency, nor that any changes to the data were required. </w:t>
      </w:r>
    </w:p>
    <w:p w14:paraId="732CFC40" w14:textId="2BF0C1AF" w:rsidR="00064239" w:rsidRPr="003A68C1" w:rsidRDefault="00064239" w:rsidP="004C34E7">
      <w:pPr>
        <w:pStyle w:val="OutlineNumbered1"/>
        <w:tabs>
          <w:tab w:val="clear" w:pos="851"/>
        </w:tabs>
        <w:ind w:left="426" w:hanging="426"/>
      </w:pPr>
      <w:r w:rsidRPr="003A68C1">
        <w:t xml:space="preserve">Randomly assign </w:t>
      </w:r>
      <w:r w:rsidR="00D1381B" w:rsidRPr="003A68C1">
        <w:t>charities to</w:t>
      </w:r>
      <w:r w:rsidRPr="003A68C1">
        <w:t xml:space="preserve"> </w:t>
      </w:r>
      <w:r w:rsidR="00C26062">
        <w:t>‘</w:t>
      </w:r>
      <w:r w:rsidRPr="003A68C1">
        <w:t>batches</w:t>
      </w:r>
      <w:r w:rsidR="00C26062">
        <w:t>’</w:t>
      </w:r>
      <w:r w:rsidRPr="003A68C1">
        <w:t>: The ACE randomly assigned each charity to a batch of 1,000. The batch order corresponded to</w:t>
      </w:r>
      <w:r w:rsidR="0008096C" w:rsidRPr="003A68C1">
        <w:t xml:space="preserve"> the order in which the email reminders were to be sent by ACNC</w:t>
      </w:r>
      <w:r w:rsidR="0092326A" w:rsidRPr="003A68C1">
        <w:t xml:space="preserve"> during January 2025</w:t>
      </w:r>
      <w:r w:rsidR="0008096C" w:rsidRPr="003A68C1">
        <w:t>.</w:t>
      </w:r>
    </w:p>
    <w:p w14:paraId="6E8555F1" w14:textId="33CB96AF" w:rsidR="0008096C" w:rsidRPr="003A68C1" w:rsidRDefault="0008096C" w:rsidP="004C34E7">
      <w:pPr>
        <w:pStyle w:val="OutlineNumbered1"/>
        <w:tabs>
          <w:tab w:val="clear" w:pos="851"/>
        </w:tabs>
        <w:ind w:left="426" w:hanging="426"/>
      </w:pPr>
      <w:r w:rsidRPr="003A68C1">
        <w:t xml:space="preserve">Randomise charities to treatment and control: The ACE randomised all charities to treatment and control, stratifying by </w:t>
      </w:r>
      <w:r w:rsidR="00C26062">
        <w:t>‘</w:t>
      </w:r>
      <w:r w:rsidRPr="003A68C1">
        <w:t>batch</w:t>
      </w:r>
      <w:r w:rsidR="00C26062">
        <w:t>’</w:t>
      </w:r>
      <w:r w:rsidRPr="003A68C1">
        <w:t xml:space="preserve">. This ensured even allocation of send dates across </w:t>
      </w:r>
      <w:r w:rsidR="0056325F" w:rsidRPr="003A68C1">
        <w:t xml:space="preserve">treatment and control groups. </w:t>
      </w:r>
    </w:p>
    <w:p w14:paraId="1E5A64FF" w14:textId="1CF32555" w:rsidR="0056325F" w:rsidRDefault="0056325F" w:rsidP="00EF48DF">
      <w:pPr>
        <w:pStyle w:val="NormalIndented"/>
        <w:ind w:left="0"/>
        <w:rPr>
          <w:rFonts w:ascii="Calibri Light" w:hAnsi="Calibri Light" w:cs="Calibri Light"/>
          <w:color w:val="000000" w:themeColor="text1"/>
        </w:rPr>
      </w:pPr>
      <w:r>
        <w:rPr>
          <w:rFonts w:ascii="Calibri Light" w:hAnsi="Calibri Light" w:cs="Calibri Light"/>
          <w:color w:val="000000" w:themeColor="text1"/>
        </w:rPr>
        <w:t xml:space="preserve">The ACE did not deviate from the PAP for this process. </w:t>
      </w:r>
    </w:p>
    <w:p w14:paraId="6F281844" w14:textId="7CF0D6B9" w:rsidR="00946C3B" w:rsidRDefault="001E2C6D" w:rsidP="003A68C1">
      <w:pPr>
        <w:pStyle w:val="Heading3"/>
      </w:pPr>
      <w:r>
        <w:t>Cleaning of outcome d</w:t>
      </w:r>
      <w:r w:rsidR="00D6215C">
        <w:t>ata</w:t>
      </w:r>
    </w:p>
    <w:p w14:paraId="73CB8D50" w14:textId="7E954D14" w:rsidR="005F7664" w:rsidRPr="003A68C1" w:rsidRDefault="00946C3B" w:rsidP="003A68C1">
      <w:r w:rsidRPr="003A68C1">
        <w:t>The ACE received de</w:t>
      </w:r>
      <w:r w:rsidR="00C26062">
        <w:noBreakHyphen/>
      </w:r>
      <w:r w:rsidRPr="003A68C1">
        <w:t xml:space="preserve">identified </w:t>
      </w:r>
      <w:r w:rsidR="00926170" w:rsidRPr="003A68C1">
        <w:t>outcome</w:t>
      </w:r>
      <w:r w:rsidRPr="003A68C1">
        <w:t xml:space="preserve"> data from </w:t>
      </w:r>
      <w:r w:rsidR="00983080" w:rsidRPr="003A68C1">
        <w:t xml:space="preserve">the </w:t>
      </w:r>
      <w:r w:rsidRPr="003A68C1">
        <w:t>ACNC on 17</w:t>
      </w:r>
      <w:r w:rsidR="001F317B" w:rsidRPr="003A68C1">
        <w:t> </w:t>
      </w:r>
      <w:r w:rsidRPr="003A68C1">
        <w:t>February</w:t>
      </w:r>
      <w:r w:rsidR="001F317B" w:rsidRPr="003A68C1">
        <w:t> </w:t>
      </w:r>
      <w:r w:rsidRPr="003A68C1">
        <w:t xml:space="preserve">2025. </w:t>
      </w:r>
      <w:r w:rsidR="0056325F" w:rsidRPr="003A68C1">
        <w:t>In preparing the data, the ACNC noted several discrepancies in the raw data. These were identified and discussed prior to any analyses taking place</w:t>
      </w:r>
      <w:r w:rsidR="005F7664" w:rsidRPr="003A68C1">
        <w:t xml:space="preserve"> and included instances of missing data (</w:t>
      </w:r>
      <w:r w:rsidR="00C242C9" w:rsidRPr="003A68C1">
        <w:t xml:space="preserve">one charity with missing </w:t>
      </w:r>
      <w:r w:rsidR="007E7611" w:rsidRPr="003A68C1">
        <w:t xml:space="preserve">covariate </w:t>
      </w:r>
      <w:r w:rsidR="00C242C9" w:rsidRPr="003A68C1">
        <w:t>data)</w:t>
      </w:r>
      <w:r w:rsidR="005F7664" w:rsidRPr="003A68C1">
        <w:t xml:space="preserve"> and </w:t>
      </w:r>
      <w:r w:rsidR="00F5158C" w:rsidRPr="003A68C1">
        <w:t xml:space="preserve">4 charities with </w:t>
      </w:r>
      <w:r w:rsidR="005F7664" w:rsidRPr="003A68C1">
        <w:t>incorrect information due to internal system errors</w:t>
      </w:r>
      <w:r w:rsidR="000A626D" w:rsidRPr="003A68C1">
        <w:t>.</w:t>
      </w:r>
    </w:p>
    <w:p w14:paraId="6F9B07F0" w14:textId="40B1A144" w:rsidR="006572BD" w:rsidRPr="003A68C1" w:rsidRDefault="000A4F1C" w:rsidP="003A68C1">
      <w:r w:rsidRPr="003A68C1">
        <w:t>During the data cleaning and verification process, t</w:t>
      </w:r>
      <w:r w:rsidR="005F7664" w:rsidRPr="003A68C1">
        <w:t xml:space="preserve">he ACE </w:t>
      </w:r>
      <w:r w:rsidR="000F1845" w:rsidRPr="003A68C1">
        <w:t xml:space="preserve">took the following action </w:t>
      </w:r>
      <w:r w:rsidR="005F7664" w:rsidRPr="003A68C1">
        <w:t>for each</w:t>
      </w:r>
      <w:r w:rsidR="006572BD" w:rsidRPr="003A68C1">
        <w:t xml:space="preserve"> instance of incorrect or missing data</w:t>
      </w:r>
      <w:r w:rsidR="00723595" w:rsidRPr="003A68C1">
        <w:t>.</w:t>
      </w:r>
    </w:p>
    <w:p w14:paraId="358E7985" w14:textId="27CF9332" w:rsidR="001302E6" w:rsidRPr="0015746F" w:rsidRDefault="00C0146E" w:rsidP="0015746F">
      <w:pPr>
        <w:pStyle w:val="Bullet"/>
      </w:pPr>
      <w:r w:rsidRPr="0015746F">
        <w:rPr>
          <w:i/>
          <w:iCs/>
        </w:rPr>
        <w:t xml:space="preserve">Charities </w:t>
      </w:r>
      <w:r w:rsidR="00BF739A" w:rsidRPr="0015746F">
        <w:rPr>
          <w:i/>
          <w:iCs/>
        </w:rPr>
        <w:t>g</w:t>
      </w:r>
      <w:r w:rsidRPr="0015746F">
        <w:rPr>
          <w:i/>
          <w:iCs/>
        </w:rPr>
        <w:t xml:space="preserve">ranted an </w:t>
      </w:r>
      <w:r w:rsidR="00BF739A" w:rsidRPr="0015746F">
        <w:rPr>
          <w:i/>
          <w:iCs/>
        </w:rPr>
        <w:t>e</w:t>
      </w:r>
      <w:r w:rsidRPr="0015746F">
        <w:rPr>
          <w:i/>
          <w:iCs/>
        </w:rPr>
        <w:t>xtension in 202</w:t>
      </w:r>
      <w:r w:rsidR="007F5D12" w:rsidRPr="0015746F">
        <w:rPr>
          <w:i/>
          <w:iCs/>
        </w:rPr>
        <w:t>5</w:t>
      </w:r>
      <w:r w:rsidR="002F2264" w:rsidRPr="0015746F">
        <w:rPr>
          <w:i/>
          <w:iCs/>
        </w:rPr>
        <w:t xml:space="preserve"> and charities that de</w:t>
      </w:r>
      <w:r w:rsidR="00C26062">
        <w:rPr>
          <w:i/>
          <w:iCs/>
        </w:rPr>
        <w:noBreakHyphen/>
      </w:r>
      <w:r w:rsidR="002F2264" w:rsidRPr="0015746F">
        <w:rPr>
          <w:i/>
          <w:iCs/>
        </w:rPr>
        <w:t xml:space="preserve">registered </w:t>
      </w:r>
      <w:r w:rsidR="00B41092" w:rsidRPr="0015746F">
        <w:rPr>
          <w:i/>
          <w:iCs/>
        </w:rPr>
        <w:t>between randomisation and data extraction</w:t>
      </w:r>
      <w:r w:rsidR="006572BD" w:rsidRPr="0015746F">
        <w:t xml:space="preserve">: </w:t>
      </w:r>
      <w:r w:rsidRPr="0015746F">
        <w:t xml:space="preserve">Although some charities were granted an AIS extension, </w:t>
      </w:r>
      <w:r w:rsidR="006572BD" w:rsidRPr="0015746F">
        <w:t>the ACE a</w:t>
      </w:r>
      <w:r w:rsidRPr="0015746F">
        <w:t>pplied a consistent rule that consider</w:t>
      </w:r>
      <w:r w:rsidR="000A4F1C" w:rsidRPr="0015746F">
        <w:t>ed</w:t>
      </w:r>
      <w:r w:rsidRPr="0015746F">
        <w:t xml:space="preserve"> 31</w:t>
      </w:r>
      <w:r w:rsidR="00322567" w:rsidRPr="0015746F">
        <w:t> </w:t>
      </w:r>
      <w:r w:rsidRPr="0015746F">
        <w:t>January</w:t>
      </w:r>
      <w:r w:rsidR="00322567" w:rsidRPr="0015746F">
        <w:t> </w:t>
      </w:r>
      <w:r w:rsidRPr="0015746F">
        <w:t>2025 as the fixed deadline for all submissions.</w:t>
      </w:r>
      <w:r w:rsidR="007E3FF3" w:rsidRPr="0015746F">
        <w:t xml:space="preserve"> </w:t>
      </w:r>
      <w:r w:rsidRPr="0015746F">
        <w:t>This mean</w:t>
      </w:r>
      <w:r w:rsidR="000A4F1C" w:rsidRPr="0015746F">
        <w:t>t</w:t>
      </w:r>
      <w:r w:rsidRPr="0015746F">
        <w:t xml:space="preserve"> that even if a charity received an extension</w:t>
      </w:r>
      <w:r w:rsidR="006572BD" w:rsidRPr="0015746F">
        <w:t xml:space="preserve"> to their AIS submission deadline</w:t>
      </w:r>
      <w:r w:rsidRPr="0015746F">
        <w:t>, the</w:t>
      </w:r>
      <w:r w:rsidR="001302E6" w:rsidRPr="0015746F">
        <w:t xml:space="preserve"> AIS submission was still </w:t>
      </w:r>
      <w:r w:rsidRPr="0015746F">
        <w:t xml:space="preserve">coded as </w:t>
      </w:r>
      <w:r w:rsidR="00C26062">
        <w:t>“</w:t>
      </w:r>
      <w:r w:rsidRPr="0015746F">
        <w:t>Not on time</w:t>
      </w:r>
      <w:r w:rsidR="00C26062">
        <w:t>”</w:t>
      </w:r>
      <w:r w:rsidR="007F5D12" w:rsidRPr="0015746F">
        <w:t xml:space="preserve"> </w:t>
      </w:r>
      <w:r w:rsidRPr="0015746F">
        <w:t>if the</w:t>
      </w:r>
      <w:r w:rsidR="001302E6" w:rsidRPr="0015746F">
        <w:t xml:space="preserve"> charity</w:t>
      </w:r>
      <w:r w:rsidRPr="0015746F">
        <w:t xml:space="preserve"> submitted </w:t>
      </w:r>
      <w:r w:rsidR="001302E6" w:rsidRPr="0015746F">
        <w:t xml:space="preserve">their AIS </w:t>
      </w:r>
      <w:r w:rsidRPr="0015746F">
        <w:t>after 31</w:t>
      </w:r>
      <w:r w:rsidR="001F317B" w:rsidRPr="0015746F">
        <w:t> </w:t>
      </w:r>
      <w:r w:rsidRPr="0015746F">
        <w:t>January.</w:t>
      </w:r>
      <w:r w:rsidR="007E3FF3" w:rsidRPr="0015746F">
        <w:t xml:space="preserve"> </w:t>
      </w:r>
      <w:r w:rsidR="008B7A51" w:rsidRPr="0015746F">
        <w:t>The same rule applied to charities that deregistered</w:t>
      </w:r>
      <w:r w:rsidR="00B41092" w:rsidRPr="0015746F">
        <w:t xml:space="preserve">. </w:t>
      </w:r>
      <w:r w:rsidRPr="0015746F">
        <w:t>This decision was made to avoid introducing a separate timeline for compliance and to maintain comparability across the sample.</w:t>
      </w:r>
    </w:p>
    <w:p w14:paraId="2DB921ED" w14:textId="69412ACB" w:rsidR="00C0146E" w:rsidRPr="0015746F" w:rsidRDefault="00C0146E" w:rsidP="0015746F">
      <w:pPr>
        <w:pStyle w:val="Bullet"/>
      </w:pPr>
      <w:r w:rsidRPr="0015746F">
        <w:rPr>
          <w:i/>
          <w:iCs/>
        </w:rPr>
        <w:t xml:space="preserve">Charities </w:t>
      </w:r>
      <w:r w:rsidR="00BF739A" w:rsidRPr="0015746F">
        <w:rPr>
          <w:i/>
          <w:iCs/>
        </w:rPr>
        <w:t>t</w:t>
      </w:r>
      <w:r w:rsidRPr="0015746F">
        <w:rPr>
          <w:i/>
          <w:iCs/>
        </w:rPr>
        <w:t xml:space="preserve">hat </w:t>
      </w:r>
      <w:r w:rsidR="00BF739A" w:rsidRPr="0015746F">
        <w:rPr>
          <w:i/>
          <w:iCs/>
        </w:rPr>
        <w:t>h</w:t>
      </w:r>
      <w:r w:rsidRPr="0015746F">
        <w:rPr>
          <w:i/>
          <w:iCs/>
        </w:rPr>
        <w:t xml:space="preserve">ad </w:t>
      </w:r>
      <w:r w:rsidR="00BF739A" w:rsidRPr="0015746F">
        <w:rPr>
          <w:i/>
          <w:iCs/>
        </w:rPr>
        <w:t>a</w:t>
      </w:r>
      <w:r w:rsidRPr="0015746F">
        <w:rPr>
          <w:i/>
          <w:iCs/>
        </w:rPr>
        <w:t xml:space="preserve">lready </w:t>
      </w:r>
      <w:r w:rsidR="00BF739A" w:rsidRPr="0015746F">
        <w:rPr>
          <w:i/>
          <w:iCs/>
        </w:rPr>
        <w:t>s</w:t>
      </w:r>
      <w:r w:rsidRPr="0015746F">
        <w:rPr>
          <w:i/>
          <w:iCs/>
        </w:rPr>
        <w:t xml:space="preserve">ubmitted </w:t>
      </w:r>
      <w:r w:rsidR="00BF739A" w:rsidRPr="0015746F">
        <w:rPr>
          <w:i/>
          <w:iCs/>
        </w:rPr>
        <w:t>b</w:t>
      </w:r>
      <w:r w:rsidRPr="0015746F">
        <w:rPr>
          <w:i/>
          <w:iCs/>
        </w:rPr>
        <w:t xml:space="preserve">efore the </w:t>
      </w:r>
      <w:r w:rsidR="00BF739A" w:rsidRPr="0015746F">
        <w:rPr>
          <w:i/>
          <w:iCs/>
        </w:rPr>
        <w:t>e</w:t>
      </w:r>
      <w:r w:rsidRPr="0015746F">
        <w:rPr>
          <w:i/>
          <w:iCs/>
        </w:rPr>
        <w:t xml:space="preserve">mail </w:t>
      </w:r>
      <w:r w:rsidR="00BF739A" w:rsidRPr="0015746F">
        <w:rPr>
          <w:i/>
          <w:iCs/>
        </w:rPr>
        <w:t>w</w:t>
      </w:r>
      <w:r w:rsidRPr="0015746F">
        <w:rPr>
          <w:i/>
          <w:iCs/>
        </w:rPr>
        <w:t xml:space="preserve">as </w:t>
      </w:r>
      <w:r w:rsidR="00BF739A" w:rsidRPr="0015746F">
        <w:rPr>
          <w:i/>
          <w:iCs/>
        </w:rPr>
        <w:t>s</w:t>
      </w:r>
      <w:r w:rsidRPr="0015746F">
        <w:rPr>
          <w:i/>
          <w:iCs/>
        </w:rPr>
        <w:t>ent</w:t>
      </w:r>
      <w:r w:rsidR="001302E6" w:rsidRPr="0015746F">
        <w:t xml:space="preserve">: </w:t>
      </w:r>
      <w:r w:rsidR="00B17FD2" w:rsidRPr="0015746F">
        <w:t>Several</w:t>
      </w:r>
      <w:r w:rsidRPr="0015746F">
        <w:t xml:space="preserve"> charities had already submitted their AIS before the rollout of email reminders began (7</w:t>
      </w:r>
      <w:r w:rsidR="00322567" w:rsidRPr="0015746F">
        <w:t> </w:t>
      </w:r>
      <w:r w:rsidRPr="0015746F">
        <w:t>January</w:t>
      </w:r>
      <w:r w:rsidR="00322567" w:rsidRPr="0015746F">
        <w:t> </w:t>
      </w:r>
      <w:r w:rsidRPr="0015746F">
        <w:t xml:space="preserve">2025). These were identified in the data by the label </w:t>
      </w:r>
      <w:r w:rsidR="00C26062">
        <w:t>“</w:t>
      </w:r>
      <w:r w:rsidRPr="0015746F">
        <w:t>Not sent (already submitted)</w:t>
      </w:r>
      <w:r w:rsidR="00C26062">
        <w:t>”</w:t>
      </w:r>
      <w:r w:rsidRPr="0015746F">
        <w:t>.</w:t>
      </w:r>
      <w:r w:rsidR="007E3FF3" w:rsidRPr="0015746F">
        <w:t xml:space="preserve"> </w:t>
      </w:r>
      <w:r w:rsidRPr="0015746F">
        <w:t xml:space="preserve">For these cases, the </w:t>
      </w:r>
      <w:r w:rsidR="00C26062">
        <w:t>‘</w:t>
      </w:r>
      <w:r w:rsidRPr="0015746F">
        <w:t>date</w:t>
      </w:r>
      <w:r w:rsidR="004532C0" w:rsidRPr="0015746F">
        <w:t xml:space="preserve"> </w:t>
      </w:r>
      <w:r w:rsidRPr="0015746F">
        <w:t>email</w:t>
      </w:r>
      <w:r w:rsidR="004532C0" w:rsidRPr="0015746F">
        <w:t xml:space="preserve"> </w:t>
      </w:r>
      <w:r w:rsidRPr="0015746F">
        <w:t>sent</w:t>
      </w:r>
      <w:r w:rsidR="00C26062">
        <w:t>’</w:t>
      </w:r>
      <w:r w:rsidRPr="0015746F">
        <w:t xml:space="preserve"> was set to missing (NA) to reflect the fact that they were not exposed to the treatment.</w:t>
      </w:r>
      <w:r w:rsidR="007E3FF3" w:rsidRPr="0015746F">
        <w:t xml:space="preserve"> </w:t>
      </w:r>
      <w:r w:rsidRPr="0015746F">
        <w:t xml:space="preserve">These charities were still included in the </w:t>
      </w:r>
      <w:r w:rsidR="00F055E7" w:rsidRPr="0015746F">
        <w:t>Intention</w:t>
      </w:r>
      <w:r w:rsidR="00C26062">
        <w:noBreakHyphen/>
      </w:r>
      <w:r w:rsidR="00F055E7" w:rsidRPr="0015746F">
        <w:t>to</w:t>
      </w:r>
      <w:r w:rsidR="00C26062">
        <w:noBreakHyphen/>
      </w:r>
      <w:r w:rsidR="00F055E7" w:rsidRPr="0015746F">
        <w:t>Treat for the primary analysis</w:t>
      </w:r>
      <w:r w:rsidR="00AD55FB" w:rsidRPr="0015746F">
        <w:t>,</w:t>
      </w:r>
      <w:r w:rsidR="00F055E7" w:rsidRPr="0015746F">
        <w:t xml:space="preserve"> but not in the survival analysis. </w:t>
      </w:r>
    </w:p>
    <w:p w14:paraId="69E1C4ED" w14:textId="44E70EE4" w:rsidR="00014708" w:rsidRPr="0015746F" w:rsidRDefault="000A4F1C" w:rsidP="0015746F">
      <w:pPr>
        <w:pStyle w:val="Bullet"/>
      </w:pPr>
      <w:r w:rsidRPr="0015746F">
        <w:rPr>
          <w:i/>
          <w:iCs/>
        </w:rPr>
        <w:t xml:space="preserve">Corrections to </w:t>
      </w:r>
      <w:r w:rsidR="00C26062">
        <w:rPr>
          <w:i/>
          <w:iCs/>
        </w:rPr>
        <w:t>‘</w:t>
      </w:r>
      <w:r w:rsidR="00B17FD2" w:rsidRPr="0015746F">
        <w:rPr>
          <w:i/>
          <w:iCs/>
        </w:rPr>
        <w:t>First AIS</w:t>
      </w:r>
      <w:r w:rsidR="00C26062">
        <w:rPr>
          <w:i/>
          <w:iCs/>
        </w:rPr>
        <w:t>’</w:t>
      </w:r>
      <w:r w:rsidR="00B17FD2" w:rsidRPr="0015746F">
        <w:rPr>
          <w:i/>
          <w:iCs/>
        </w:rPr>
        <w:t xml:space="preserve"> status</w:t>
      </w:r>
      <w:r w:rsidR="00B17FD2" w:rsidRPr="0015746F">
        <w:t xml:space="preserve">: </w:t>
      </w:r>
      <w:r w:rsidR="00956CFD" w:rsidRPr="0015746F">
        <w:t xml:space="preserve">ACE corrected the First AIS status to </w:t>
      </w:r>
      <w:r w:rsidR="00C26062">
        <w:t>‘</w:t>
      </w:r>
      <w:r w:rsidR="00956CFD" w:rsidRPr="0015746F">
        <w:t>Y</w:t>
      </w:r>
      <w:r w:rsidR="00C26062">
        <w:t>’</w:t>
      </w:r>
      <w:r w:rsidR="00956CFD" w:rsidRPr="0015746F">
        <w:t xml:space="preserve"> for </w:t>
      </w:r>
      <w:r w:rsidR="00FD24FB" w:rsidRPr="0015746F">
        <w:t xml:space="preserve">2 </w:t>
      </w:r>
      <w:r w:rsidR="00956CFD" w:rsidRPr="0015746F">
        <w:t xml:space="preserve">charities after </w:t>
      </w:r>
      <w:r w:rsidR="00D91366" w:rsidRPr="0015746F">
        <w:t xml:space="preserve">the </w:t>
      </w:r>
      <w:r w:rsidR="00956CFD" w:rsidRPr="0015746F">
        <w:t>ACNC identified the issue and confirmed that AIS24 was their first AIS, following a</w:t>
      </w:r>
      <w:r w:rsidR="00F5158C" w:rsidRPr="0015746F">
        <w:t>n</w:t>
      </w:r>
      <w:r w:rsidR="00956CFD" w:rsidRPr="0015746F">
        <w:t xml:space="preserve"> error </w:t>
      </w:r>
      <w:r w:rsidR="00F5158C" w:rsidRPr="0015746F">
        <w:t xml:space="preserve">identified </w:t>
      </w:r>
      <w:r w:rsidR="00956CFD" w:rsidRPr="0015746F">
        <w:t>in the original data query. Two other charities were marked as NA for on</w:t>
      </w:r>
      <w:r w:rsidR="00C26062">
        <w:noBreakHyphen/>
      </w:r>
      <w:r w:rsidR="00956CFD" w:rsidRPr="0015746F">
        <w:t>time submission as they were not required to submit an AIS in 2023</w:t>
      </w:r>
      <w:r w:rsidR="007E7611" w:rsidRPr="0015746F">
        <w:t>.</w:t>
      </w:r>
    </w:p>
    <w:p w14:paraId="21366F1E" w14:textId="687C2C7A" w:rsidR="009D4C9F" w:rsidRPr="0015746F" w:rsidRDefault="006A4548" w:rsidP="0015746F">
      <w:pPr>
        <w:pStyle w:val="Bullet"/>
      </w:pPr>
      <w:r w:rsidRPr="0015746F">
        <w:rPr>
          <w:i/>
          <w:iCs/>
        </w:rPr>
        <w:t>Missing covariate</w:t>
      </w:r>
      <w:r w:rsidR="00B17FD2" w:rsidRPr="0015746F">
        <w:rPr>
          <w:i/>
          <w:iCs/>
        </w:rPr>
        <w:t xml:space="preserve"> data</w:t>
      </w:r>
      <w:r w:rsidRPr="0015746F">
        <w:t xml:space="preserve">: </w:t>
      </w:r>
      <w:r w:rsidR="009D4C9F" w:rsidRPr="0015746F">
        <w:t xml:space="preserve">One charity had missing </w:t>
      </w:r>
      <w:r w:rsidRPr="0015746F">
        <w:t xml:space="preserve">data </w:t>
      </w:r>
      <w:r w:rsidR="009D4C9F" w:rsidRPr="0015746F">
        <w:t xml:space="preserve">for </w:t>
      </w:r>
      <w:r w:rsidRPr="0015746F">
        <w:t xml:space="preserve">the </w:t>
      </w:r>
      <w:r w:rsidR="009D4C9F" w:rsidRPr="0015746F">
        <w:t>covariate</w:t>
      </w:r>
      <w:r w:rsidR="003D0985" w:rsidRPr="0015746F">
        <w:t xml:space="preserve"> regarding</w:t>
      </w:r>
      <w:r w:rsidR="009D4C9F" w:rsidRPr="0015746F">
        <w:t xml:space="preserve"> on</w:t>
      </w:r>
      <w:r w:rsidR="00C26062">
        <w:noBreakHyphen/>
      </w:r>
      <w:r w:rsidR="009D4C9F" w:rsidRPr="0015746F">
        <w:t>time submission</w:t>
      </w:r>
      <w:r w:rsidR="003D0985" w:rsidRPr="0015746F">
        <w:t xml:space="preserve"> for the 2023 AIS</w:t>
      </w:r>
      <w:r w:rsidR="009D4C9F" w:rsidRPr="0015746F">
        <w:t xml:space="preserve">. </w:t>
      </w:r>
      <w:r w:rsidR="005B5E0C" w:rsidRPr="0015746F">
        <w:t>The ACE did not make any adjustment for this charity</w:t>
      </w:r>
      <w:r w:rsidR="0094287E" w:rsidRPr="0015746F">
        <w:t>, and the missing covariate was treated in line w</w:t>
      </w:r>
      <w:r w:rsidR="00C66A40" w:rsidRPr="0015746F">
        <w:t>ith the pre</w:t>
      </w:r>
      <w:r w:rsidR="00C26062">
        <w:noBreakHyphen/>
      </w:r>
      <w:r w:rsidR="00DE12A5" w:rsidRPr="0015746F">
        <w:t>specification (see details on page 26)</w:t>
      </w:r>
      <w:r w:rsidR="005B5E0C" w:rsidRPr="0015746F">
        <w:t xml:space="preserve">. </w:t>
      </w:r>
    </w:p>
    <w:p w14:paraId="0268FF05" w14:textId="00697CB4" w:rsidR="00F3383A" w:rsidRDefault="00F3383A">
      <w:pPr>
        <w:pStyle w:val="Heading2"/>
      </w:pPr>
      <w:bookmarkStart w:id="48" w:name="_Toc197603351"/>
      <w:bookmarkStart w:id="49" w:name="_Toc207712039"/>
      <w:r>
        <w:lastRenderedPageBreak/>
        <w:t>Summary of sample</w:t>
      </w:r>
      <w:bookmarkEnd w:id="48"/>
      <w:bookmarkEnd w:id="49"/>
    </w:p>
    <w:p w14:paraId="16DF86E4" w14:textId="23458492" w:rsidR="00B91ECE" w:rsidRDefault="006623DA" w:rsidP="00EB5E7C">
      <w:r w:rsidRPr="006623DA">
        <w:t>The sample include</w:t>
      </w:r>
      <w:r w:rsidR="00D57F45">
        <w:t>d</w:t>
      </w:r>
      <w:r w:rsidRPr="006623DA">
        <w:t xml:space="preserve"> 15,000 charities</w:t>
      </w:r>
      <w:r w:rsidR="00EB5E7C">
        <w:t>, which were</w:t>
      </w:r>
      <w:r w:rsidRPr="006623DA">
        <w:t xml:space="preserve"> evenly split between treatment and control groups. </w:t>
      </w:r>
      <w:r w:rsidR="00A277A1">
        <w:t>As expected, the sample was well balanced</w:t>
      </w:r>
      <w:r w:rsidR="00070040">
        <w:t xml:space="preserve"> between treatment and control on available characteristics</w:t>
      </w:r>
      <w:r w:rsidR="00190B8B">
        <w:t xml:space="preserve"> (Table 1)</w:t>
      </w:r>
      <w:r w:rsidR="00C40480">
        <w:t>: f</w:t>
      </w:r>
      <w:r w:rsidR="00190B8B">
        <w:t xml:space="preserve">or example, </w:t>
      </w:r>
      <w:r w:rsidR="00070040">
        <w:t>volunteer</w:t>
      </w:r>
      <w:r w:rsidR="00C26062">
        <w:noBreakHyphen/>
      </w:r>
      <w:r w:rsidR="00070040">
        <w:t xml:space="preserve">based (47.4% </w:t>
      </w:r>
      <w:r w:rsidR="00C40480">
        <w:t xml:space="preserve">in treatment </w:t>
      </w:r>
      <w:r w:rsidR="00070040">
        <w:t>versus 47.7%</w:t>
      </w:r>
      <w:r w:rsidR="00C40480">
        <w:t xml:space="preserve"> in control</w:t>
      </w:r>
      <w:r w:rsidR="00070040">
        <w:t>)</w:t>
      </w:r>
      <w:r w:rsidR="00D8524D">
        <w:t xml:space="preserve"> and </w:t>
      </w:r>
      <w:r w:rsidR="002469F1">
        <w:t>basic religious charity (</w:t>
      </w:r>
      <w:r w:rsidR="00843A32">
        <w:t xml:space="preserve">6.7% in treatment versus </w:t>
      </w:r>
      <w:r w:rsidR="002469F1">
        <w:t>6.3%)</w:t>
      </w:r>
      <w:r w:rsidR="00C40480">
        <w:t>.</w:t>
      </w:r>
      <w:r w:rsidR="00545470">
        <w:t xml:space="preserve"> </w:t>
      </w:r>
      <w:r w:rsidR="00DF7DD9">
        <w:t>Of course, there was a difference in the proportion</w:t>
      </w:r>
      <w:r w:rsidRPr="006623DA">
        <w:t xml:space="preserve"> of charities </w:t>
      </w:r>
      <w:r w:rsidR="00DF7DD9">
        <w:t xml:space="preserve">that </w:t>
      </w:r>
      <w:r w:rsidRPr="006623DA">
        <w:t xml:space="preserve">submitted their 2024 AIS on time, </w:t>
      </w:r>
      <w:r w:rsidR="00DF7DD9">
        <w:t xml:space="preserve">since that was the purpose of the trial: </w:t>
      </w:r>
      <w:r w:rsidR="00545470" w:rsidRPr="006623DA">
        <w:t xml:space="preserve">the </w:t>
      </w:r>
      <w:r w:rsidR="00784FFE">
        <w:t>rate for</w:t>
      </w:r>
      <w:r w:rsidRPr="006623DA">
        <w:t xml:space="preserve"> the treatment group </w:t>
      </w:r>
      <w:r w:rsidR="00784FFE">
        <w:t xml:space="preserve">was </w:t>
      </w:r>
      <w:r w:rsidRPr="006623DA">
        <w:t>61.8</w:t>
      </w:r>
      <w:r w:rsidR="00545470" w:rsidRPr="006623DA">
        <w:t>%</w:t>
      </w:r>
      <w:r w:rsidR="00784FFE">
        <w:t>,</w:t>
      </w:r>
      <w:r w:rsidRPr="006623DA">
        <w:t xml:space="preserve"> compared to </w:t>
      </w:r>
      <w:r w:rsidR="00784FFE">
        <w:t xml:space="preserve">56.5% for </w:t>
      </w:r>
      <w:r w:rsidRPr="006623DA">
        <w:t>the control group</w:t>
      </w:r>
      <w:r w:rsidR="00545470" w:rsidRPr="006623DA">
        <w:t>.</w:t>
      </w:r>
    </w:p>
    <w:p w14:paraId="2D9C6817" w14:textId="1B6E6212" w:rsidR="00784FFE" w:rsidRDefault="00784FFE" w:rsidP="00EB5E7C">
      <w:r>
        <w:t>The total sample was smaller for the following 4 subgroups: whether a charity is volunteer</w:t>
      </w:r>
      <w:r w:rsidR="00C26062">
        <w:noBreakHyphen/>
      </w:r>
      <w:r>
        <w:t xml:space="preserve">based, a basic religious charity, an incorporated association, and whether the charity submitted on time in 2023. This was because this subgroup information was only available for </w:t>
      </w:r>
      <w:r w:rsidR="00661231">
        <w:t xml:space="preserve">the 13,806 </w:t>
      </w:r>
      <w:r>
        <w:t xml:space="preserve">charities that had already submitted at least one AIS to the ACNC prior to the trial. Although </w:t>
      </w:r>
      <w:r w:rsidR="00B25477">
        <w:t xml:space="preserve">subgroup </w:t>
      </w:r>
      <w:r>
        <w:t xml:space="preserve">data </w:t>
      </w:r>
      <w:r w:rsidR="00B25477">
        <w:t xml:space="preserve">was available in </w:t>
      </w:r>
      <w:r>
        <w:t>the 2024 AIS submission (the subject of the current trial), this information could not be used as it was linked to the treatment effect (that is, only charities that submitted their AIS on time would have this information available for the ACNC).</w:t>
      </w:r>
    </w:p>
    <w:p w14:paraId="2B58D473" w14:textId="77777777" w:rsidR="0085497A" w:rsidRPr="00D33C3B" w:rsidRDefault="0085497A" w:rsidP="00D33C3B">
      <w:pPr>
        <w:pStyle w:val="TableMainHeading"/>
      </w:pPr>
      <w:r w:rsidRPr="00D33C3B">
        <w:t>Table 1. Trial sample composition</w:t>
      </w:r>
    </w:p>
    <w:tbl>
      <w:tblPr>
        <w:tblW w:w="5000" w:type="pct"/>
        <w:jc w:val="center"/>
        <w:tblLayout w:type="fixed"/>
        <w:tblLook w:val="04A0" w:firstRow="1" w:lastRow="0" w:firstColumn="1" w:lastColumn="0" w:noHBand="0" w:noVBand="1"/>
      </w:tblPr>
      <w:tblGrid>
        <w:gridCol w:w="2263"/>
        <w:gridCol w:w="745"/>
        <w:gridCol w:w="794"/>
        <w:gridCol w:w="729"/>
        <w:gridCol w:w="65"/>
        <w:gridCol w:w="728"/>
        <w:gridCol w:w="794"/>
        <w:gridCol w:w="784"/>
        <w:gridCol w:w="40"/>
        <w:gridCol w:w="633"/>
        <w:gridCol w:w="734"/>
        <w:gridCol w:w="753"/>
      </w:tblGrid>
      <w:tr w:rsidR="0085497A" w:rsidRPr="00967B7C" w14:paraId="35D44FAD" w14:textId="77777777" w:rsidTr="00C608AB">
        <w:trPr>
          <w:trHeight w:val="413"/>
          <w:jc w:val="center"/>
        </w:trPr>
        <w:tc>
          <w:tcPr>
            <w:tcW w:w="9062" w:type="dxa"/>
            <w:gridSpan w:val="12"/>
            <w:tcBorders>
              <w:top w:val="single" w:sz="4" w:space="0" w:color="auto"/>
              <w:left w:val="single" w:sz="4" w:space="0" w:color="auto"/>
              <w:bottom w:val="single" w:sz="8" w:space="0" w:color="A8A8A8"/>
              <w:right w:val="single" w:sz="4" w:space="0" w:color="auto"/>
            </w:tcBorders>
            <w:shd w:val="clear" w:color="auto" w:fill="2E3B4E" w:themeFill="accent3" w:themeFillShade="80"/>
            <w:vAlign w:val="center"/>
            <w:hideMark/>
          </w:tcPr>
          <w:p w14:paraId="09DB1C2B" w14:textId="77777777" w:rsidR="0085497A" w:rsidRPr="00C608AB" w:rsidRDefault="0085497A" w:rsidP="00C608AB">
            <w:pPr>
              <w:pStyle w:val="TableColumnHeadingLeft"/>
              <w:rPr>
                <w:color w:val="FFFFFF" w:themeColor="background1"/>
              </w:rPr>
            </w:pPr>
            <w:r w:rsidRPr="00C608AB">
              <w:rPr>
                <w:color w:val="FFFFFF" w:themeColor="background1"/>
              </w:rPr>
              <w:t>Summary Statistics by Treatment Group</w:t>
            </w:r>
          </w:p>
        </w:tc>
      </w:tr>
      <w:tr w:rsidR="0085497A" w:rsidRPr="00967B7C" w14:paraId="36E06DED" w14:textId="77777777" w:rsidTr="00C608AB">
        <w:trPr>
          <w:trHeight w:val="300"/>
          <w:jc w:val="center"/>
        </w:trPr>
        <w:tc>
          <w:tcPr>
            <w:tcW w:w="2263" w:type="dxa"/>
            <w:vMerge w:val="restart"/>
            <w:tcBorders>
              <w:top w:val="nil"/>
              <w:left w:val="single" w:sz="4" w:space="0" w:color="auto"/>
              <w:bottom w:val="single" w:sz="8" w:space="0" w:color="A8A8A8"/>
              <w:right w:val="nil"/>
            </w:tcBorders>
            <w:shd w:val="clear" w:color="000000" w:fill="FFFFFF"/>
            <w:vAlign w:val="center"/>
            <w:hideMark/>
          </w:tcPr>
          <w:p w14:paraId="2D016036" w14:textId="77777777" w:rsidR="0085497A" w:rsidRPr="00967B7C" w:rsidRDefault="0085497A" w:rsidP="00017E7A">
            <w:pPr>
              <w:pStyle w:val="TableColumnHeadingLeft"/>
            </w:pPr>
            <w:r w:rsidRPr="00967B7C">
              <w:t>Variable</w:t>
            </w:r>
          </w:p>
        </w:tc>
        <w:tc>
          <w:tcPr>
            <w:tcW w:w="2268" w:type="dxa"/>
            <w:gridSpan w:val="3"/>
            <w:tcBorders>
              <w:top w:val="single" w:sz="8" w:space="0" w:color="A8A8A8"/>
              <w:left w:val="nil"/>
              <w:bottom w:val="single" w:sz="8" w:space="0" w:color="A8A8A8"/>
              <w:right w:val="nil"/>
            </w:tcBorders>
            <w:shd w:val="clear" w:color="000000" w:fill="FFFFFF"/>
            <w:vAlign w:val="center"/>
            <w:hideMark/>
          </w:tcPr>
          <w:p w14:paraId="28D4D295" w14:textId="77777777" w:rsidR="0085497A" w:rsidRPr="001A6107" w:rsidRDefault="0085497A" w:rsidP="00017E7A">
            <w:pPr>
              <w:pStyle w:val="TableColumnHeadingLeft"/>
            </w:pPr>
            <w:r w:rsidRPr="001A6107">
              <w:t>Total Sample</w:t>
            </w:r>
          </w:p>
        </w:tc>
        <w:tc>
          <w:tcPr>
            <w:tcW w:w="2411" w:type="dxa"/>
            <w:gridSpan w:val="5"/>
            <w:tcBorders>
              <w:top w:val="single" w:sz="8" w:space="0" w:color="A8A8A8"/>
              <w:left w:val="nil"/>
              <w:bottom w:val="single" w:sz="8" w:space="0" w:color="A8A8A8"/>
              <w:right w:val="nil"/>
            </w:tcBorders>
            <w:shd w:val="clear" w:color="000000" w:fill="FFFFFF"/>
            <w:vAlign w:val="center"/>
            <w:hideMark/>
          </w:tcPr>
          <w:p w14:paraId="079F653D" w14:textId="77777777" w:rsidR="0085497A" w:rsidRPr="001A6107" w:rsidRDefault="0085497A" w:rsidP="00017E7A">
            <w:pPr>
              <w:pStyle w:val="TableColumnHeadingLeft"/>
            </w:pPr>
            <w:r w:rsidRPr="001A6107">
              <w:t>Control</w:t>
            </w:r>
          </w:p>
        </w:tc>
        <w:tc>
          <w:tcPr>
            <w:tcW w:w="2120" w:type="dxa"/>
            <w:gridSpan w:val="3"/>
            <w:tcBorders>
              <w:top w:val="single" w:sz="8" w:space="0" w:color="A8A8A8"/>
              <w:left w:val="nil"/>
              <w:bottom w:val="single" w:sz="8" w:space="0" w:color="A8A8A8"/>
              <w:right w:val="single" w:sz="4" w:space="0" w:color="auto"/>
            </w:tcBorders>
            <w:shd w:val="clear" w:color="000000" w:fill="FFFFFF"/>
            <w:vAlign w:val="center"/>
            <w:hideMark/>
          </w:tcPr>
          <w:p w14:paraId="08FB971A" w14:textId="77777777" w:rsidR="0085497A" w:rsidRPr="001A6107" w:rsidRDefault="0085497A" w:rsidP="00017E7A">
            <w:pPr>
              <w:pStyle w:val="TableColumnHeadingLeft"/>
            </w:pPr>
            <w:r w:rsidRPr="001A6107">
              <w:t>Treatment</w:t>
            </w:r>
          </w:p>
        </w:tc>
      </w:tr>
      <w:tr w:rsidR="00842659" w:rsidRPr="00967B7C" w14:paraId="1A6858F9" w14:textId="77777777" w:rsidTr="00C608AB">
        <w:trPr>
          <w:trHeight w:val="300"/>
          <w:jc w:val="center"/>
        </w:trPr>
        <w:tc>
          <w:tcPr>
            <w:tcW w:w="2263" w:type="dxa"/>
            <w:vMerge/>
            <w:tcBorders>
              <w:top w:val="nil"/>
              <w:left w:val="single" w:sz="4" w:space="0" w:color="auto"/>
              <w:bottom w:val="single" w:sz="8" w:space="0" w:color="A8A8A8"/>
              <w:right w:val="nil"/>
            </w:tcBorders>
            <w:vAlign w:val="center"/>
            <w:hideMark/>
          </w:tcPr>
          <w:p w14:paraId="5AE600C0" w14:textId="77777777" w:rsidR="0085497A" w:rsidRPr="00967B7C" w:rsidRDefault="0085497A" w:rsidP="00EE12BB">
            <w:pPr>
              <w:pStyle w:val="NormalIndented"/>
              <w:keepNext/>
              <w:ind w:left="87"/>
              <w:rPr>
                <w:rFonts w:ascii="Calibri Light" w:hAnsi="Calibri Light" w:cs="Calibri Light"/>
                <w:color w:val="333333"/>
                <w:sz w:val="20"/>
                <w:szCs w:val="20"/>
              </w:rPr>
            </w:pPr>
          </w:p>
        </w:tc>
        <w:tc>
          <w:tcPr>
            <w:tcW w:w="745" w:type="dxa"/>
            <w:tcBorders>
              <w:top w:val="single" w:sz="8" w:space="0" w:color="D3D3D3"/>
              <w:left w:val="nil"/>
              <w:bottom w:val="single" w:sz="8" w:space="0" w:color="D3D3D3"/>
              <w:right w:val="nil"/>
            </w:tcBorders>
            <w:shd w:val="clear" w:color="000000" w:fill="FFFFFF"/>
            <w:vAlign w:val="center"/>
            <w:hideMark/>
          </w:tcPr>
          <w:p w14:paraId="44B7B5EB" w14:textId="77777777" w:rsidR="0085497A" w:rsidRPr="00785918" w:rsidRDefault="0085497A" w:rsidP="00785918">
            <w:pPr>
              <w:pStyle w:val="TableColumnHeadingRight"/>
              <w:rPr>
                <w:color w:val="5D779D" w:themeColor="accent3"/>
              </w:rPr>
            </w:pPr>
            <w:r w:rsidRPr="00785918">
              <w:rPr>
                <w:color w:val="5D779D" w:themeColor="accent3"/>
              </w:rPr>
              <w:t>N</w:t>
            </w:r>
          </w:p>
        </w:tc>
        <w:tc>
          <w:tcPr>
            <w:tcW w:w="794" w:type="dxa"/>
            <w:tcBorders>
              <w:top w:val="single" w:sz="8" w:space="0" w:color="D3D3D3"/>
              <w:left w:val="nil"/>
              <w:bottom w:val="single" w:sz="8" w:space="0" w:color="D3D3D3"/>
              <w:right w:val="nil"/>
            </w:tcBorders>
            <w:shd w:val="clear" w:color="000000" w:fill="FFFFFF"/>
            <w:vAlign w:val="center"/>
            <w:hideMark/>
          </w:tcPr>
          <w:p w14:paraId="56CACEFD" w14:textId="77777777" w:rsidR="0085497A" w:rsidRPr="00785918" w:rsidRDefault="0085497A" w:rsidP="00785918">
            <w:pPr>
              <w:pStyle w:val="TableColumnHeadingRight"/>
              <w:rPr>
                <w:color w:val="5D779D" w:themeColor="accent3"/>
              </w:rPr>
            </w:pPr>
            <w:r w:rsidRPr="00785918">
              <w:rPr>
                <w:color w:val="5D779D" w:themeColor="accent3"/>
              </w:rPr>
              <w:t>Mean</w:t>
            </w:r>
          </w:p>
        </w:tc>
        <w:tc>
          <w:tcPr>
            <w:tcW w:w="794" w:type="dxa"/>
            <w:gridSpan w:val="2"/>
            <w:tcBorders>
              <w:top w:val="single" w:sz="8" w:space="0" w:color="D3D3D3"/>
              <w:left w:val="nil"/>
              <w:bottom w:val="single" w:sz="8" w:space="0" w:color="D3D3D3"/>
              <w:right w:val="single" w:sz="4" w:space="0" w:color="auto"/>
            </w:tcBorders>
            <w:shd w:val="clear" w:color="000000" w:fill="FFFFFF"/>
            <w:vAlign w:val="center"/>
            <w:hideMark/>
          </w:tcPr>
          <w:p w14:paraId="3D7398DA" w14:textId="77777777" w:rsidR="0085497A" w:rsidRPr="00785918" w:rsidRDefault="0085497A" w:rsidP="00785918">
            <w:pPr>
              <w:pStyle w:val="TableColumnHeadingRight"/>
              <w:rPr>
                <w:color w:val="5D779D" w:themeColor="accent3"/>
              </w:rPr>
            </w:pPr>
            <w:r w:rsidRPr="00785918">
              <w:rPr>
                <w:color w:val="5D779D" w:themeColor="accent3"/>
              </w:rPr>
              <w:t>SD</w:t>
            </w:r>
          </w:p>
        </w:tc>
        <w:tc>
          <w:tcPr>
            <w:tcW w:w="728" w:type="dxa"/>
            <w:tcBorders>
              <w:top w:val="single" w:sz="8" w:space="0" w:color="D3D3D3"/>
              <w:left w:val="single" w:sz="4" w:space="0" w:color="auto"/>
              <w:bottom w:val="single" w:sz="8" w:space="0" w:color="D3D3D3"/>
              <w:right w:val="nil"/>
            </w:tcBorders>
            <w:shd w:val="clear" w:color="000000" w:fill="FFFFFF"/>
            <w:vAlign w:val="center"/>
            <w:hideMark/>
          </w:tcPr>
          <w:p w14:paraId="16BBADFA" w14:textId="77777777" w:rsidR="0085497A" w:rsidRPr="00785918" w:rsidRDefault="0085497A" w:rsidP="00785918">
            <w:pPr>
              <w:pStyle w:val="TableColumnHeadingRight"/>
              <w:rPr>
                <w:color w:val="5D779D" w:themeColor="accent3"/>
              </w:rPr>
            </w:pPr>
            <w:r w:rsidRPr="00785918">
              <w:rPr>
                <w:color w:val="5D779D" w:themeColor="accent3"/>
              </w:rPr>
              <w:t>N</w:t>
            </w:r>
          </w:p>
        </w:tc>
        <w:tc>
          <w:tcPr>
            <w:tcW w:w="794" w:type="dxa"/>
            <w:tcBorders>
              <w:top w:val="single" w:sz="8" w:space="0" w:color="D3D3D3"/>
              <w:left w:val="nil"/>
              <w:bottom w:val="single" w:sz="8" w:space="0" w:color="D3D3D3"/>
              <w:right w:val="nil"/>
            </w:tcBorders>
            <w:shd w:val="clear" w:color="000000" w:fill="FFFFFF"/>
            <w:vAlign w:val="center"/>
            <w:hideMark/>
          </w:tcPr>
          <w:p w14:paraId="390E0DF0" w14:textId="77777777" w:rsidR="0085497A" w:rsidRPr="00785918" w:rsidRDefault="0085497A" w:rsidP="00785918">
            <w:pPr>
              <w:pStyle w:val="TableColumnHeadingRight"/>
              <w:rPr>
                <w:color w:val="5D779D" w:themeColor="accent3"/>
              </w:rPr>
            </w:pPr>
            <w:r w:rsidRPr="00785918">
              <w:rPr>
                <w:color w:val="5D779D" w:themeColor="accent3"/>
              </w:rPr>
              <w:t>Mean</w:t>
            </w:r>
          </w:p>
        </w:tc>
        <w:tc>
          <w:tcPr>
            <w:tcW w:w="784" w:type="dxa"/>
            <w:tcBorders>
              <w:top w:val="single" w:sz="8" w:space="0" w:color="D3D3D3"/>
              <w:left w:val="nil"/>
              <w:bottom w:val="single" w:sz="8" w:space="0" w:color="D3D3D3"/>
              <w:right w:val="single" w:sz="4" w:space="0" w:color="auto"/>
            </w:tcBorders>
            <w:shd w:val="clear" w:color="000000" w:fill="FFFFFF"/>
            <w:vAlign w:val="center"/>
            <w:hideMark/>
          </w:tcPr>
          <w:p w14:paraId="6B3979EA" w14:textId="77777777" w:rsidR="0085497A" w:rsidRPr="00785918" w:rsidRDefault="0085497A" w:rsidP="00785918">
            <w:pPr>
              <w:pStyle w:val="TableColumnHeadingRight"/>
              <w:rPr>
                <w:color w:val="5D779D" w:themeColor="accent3"/>
              </w:rPr>
            </w:pPr>
            <w:r w:rsidRPr="00785918">
              <w:rPr>
                <w:color w:val="5D779D" w:themeColor="accent3"/>
              </w:rPr>
              <w:t>SD</w:t>
            </w:r>
          </w:p>
        </w:tc>
        <w:tc>
          <w:tcPr>
            <w:tcW w:w="673" w:type="dxa"/>
            <w:gridSpan w:val="2"/>
            <w:tcBorders>
              <w:top w:val="single" w:sz="8" w:space="0" w:color="D3D3D3"/>
              <w:left w:val="single" w:sz="4" w:space="0" w:color="auto"/>
              <w:bottom w:val="single" w:sz="8" w:space="0" w:color="D3D3D3"/>
              <w:right w:val="nil"/>
            </w:tcBorders>
            <w:shd w:val="clear" w:color="000000" w:fill="FFFFFF"/>
            <w:vAlign w:val="center"/>
            <w:hideMark/>
          </w:tcPr>
          <w:p w14:paraId="1706FC06" w14:textId="77777777" w:rsidR="0085497A" w:rsidRPr="00785918" w:rsidRDefault="0085497A" w:rsidP="00785918">
            <w:pPr>
              <w:pStyle w:val="TableColumnHeadingRight"/>
              <w:rPr>
                <w:color w:val="5D779D" w:themeColor="accent3"/>
              </w:rPr>
            </w:pPr>
            <w:r w:rsidRPr="00785918">
              <w:rPr>
                <w:color w:val="5D779D" w:themeColor="accent3"/>
              </w:rPr>
              <w:t>N</w:t>
            </w:r>
          </w:p>
        </w:tc>
        <w:tc>
          <w:tcPr>
            <w:tcW w:w="734" w:type="dxa"/>
            <w:tcBorders>
              <w:top w:val="single" w:sz="8" w:space="0" w:color="D3D3D3"/>
              <w:left w:val="nil"/>
              <w:bottom w:val="single" w:sz="8" w:space="0" w:color="D3D3D3"/>
              <w:right w:val="nil"/>
            </w:tcBorders>
            <w:shd w:val="clear" w:color="000000" w:fill="FFFFFF"/>
            <w:vAlign w:val="center"/>
            <w:hideMark/>
          </w:tcPr>
          <w:p w14:paraId="01FF28F5" w14:textId="77777777" w:rsidR="0085497A" w:rsidRPr="00785918" w:rsidRDefault="0085497A" w:rsidP="00785918">
            <w:pPr>
              <w:pStyle w:val="TableColumnHeadingRight"/>
              <w:rPr>
                <w:color w:val="5D779D" w:themeColor="accent3"/>
              </w:rPr>
            </w:pPr>
            <w:r w:rsidRPr="00785918">
              <w:rPr>
                <w:color w:val="5D779D" w:themeColor="accent3"/>
              </w:rPr>
              <w:t>Mean</w:t>
            </w:r>
          </w:p>
        </w:tc>
        <w:tc>
          <w:tcPr>
            <w:tcW w:w="753" w:type="dxa"/>
            <w:tcBorders>
              <w:top w:val="single" w:sz="8" w:space="0" w:color="D3D3D3"/>
              <w:left w:val="nil"/>
              <w:bottom w:val="single" w:sz="8" w:space="0" w:color="D3D3D3"/>
              <w:right w:val="single" w:sz="4" w:space="0" w:color="auto"/>
            </w:tcBorders>
            <w:shd w:val="clear" w:color="000000" w:fill="FFFFFF"/>
            <w:vAlign w:val="center"/>
            <w:hideMark/>
          </w:tcPr>
          <w:p w14:paraId="34D2EA04" w14:textId="77777777" w:rsidR="0085497A" w:rsidRPr="00785918" w:rsidRDefault="0085497A" w:rsidP="00785918">
            <w:pPr>
              <w:pStyle w:val="TableColumnHeadingRight"/>
              <w:rPr>
                <w:color w:val="5D779D" w:themeColor="accent3"/>
              </w:rPr>
            </w:pPr>
            <w:r w:rsidRPr="00785918">
              <w:rPr>
                <w:color w:val="5D779D" w:themeColor="accent3"/>
              </w:rPr>
              <w:t>SD</w:t>
            </w:r>
          </w:p>
        </w:tc>
      </w:tr>
      <w:tr w:rsidR="00842659" w:rsidRPr="00967B7C" w14:paraId="5D84D326" w14:textId="77777777" w:rsidTr="00C608AB">
        <w:trPr>
          <w:trHeight w:val="300"/>
          <w:jc w:val="center"/>
        </w:trPr>
        <w:tc>
          <w:tcPr>
            <w:tcW w:w="2263" w:type="dxa"/>
            <w:tcBorders>
              <w:top w:val="single" w:sz="8" w:space="0" w:color="D3D3D3"/>
              <w:left w:val="single" w:sz="4" w:space="0" w:color="auto"/>
              <w:bottom w:val="single" w:sz="8" w:space="0" w:color="D3D3D3"/>
              <w:right w:val="nil"/>
            </w:tcBorders>
            <w:shd w:val="clear" w:color="000000" w:fill="FFFFFF"/>
            <w:vAlign w:val="bottom"/>
            <w:hideMark/>
          </w:tcPr>
          <w:p w14:paraId="302A17CF" w14:textId="634677A7" w:rsidR="0085497A" w:rsidRPr="00967B7C" w:rsidRDefault="00D8524D" w:rsidP="00D9071A">
            <w:pPr>
              <w:pStyle w:val="TableTextLeft"/>
            </w:pPr>
            <w:r>
              <w:t>On</w:t>
            </w:r>
            <w:r w:rsidR="00C26062">
              <w:noBreakHyphen/>
            </w:r>
            <w:r>
              <w:t>time submission 2024 (trial result)</w:t>
            </w:r>
          </w:p>
        </w:tc>
        <w:tc>
          <w:tcPr>
            <w:tcW w:w="745" w:type="dxa"/>
            <w:tcBorders>
              <w:top w:val="nil"/>
              <w:left w:val="nil"/>
              <w:bottom w:val="single" w:sz="8" w:space="0" w:color="D3D3D3"/>
              <w:right w:val="nil"/>
            </w:tcBorders>
            <w:shd w:val="clear" w:color="000000" w:fill="FFFFFF"/>
            <w:vAlign w:val="bottom"/>
            <w:hideMark/>
          </w:tcPr>
          <w:p w14:paraId="59E02163" w14:textId="1EAEF3D0" w:rsidR="0085497A" w:rsidRPr="00967B7C" w:rsidRDefault="0085497A" w:rsidP="00785918">
            <w:pPr>
              <w:pStyle w:val="TableTextRight"/>
            </w:pPr>
            <w:r w:rsidRPr="00967B7C">
              <w:t>15</w:t>
            </w:r>
            <w:r w:rsidR="003A7639">
              <w:t>,</w:t>
            </w:r>
            <w:r w:rsidRPr="00967B7C">
              <w:t>000</w:t>
            </w:r>
          </w:p>
        </w:tc>
        <w:tc>
          <w:tcPr>
            <w:tcW w:w="794" w:type="dxa"/>
            <w:tcBorders>
              <w:top w:val="nil"/>
              <w:left w:val="nil"/>
              <w:bottom w:val="single" w:sz="8" w:space="0" w:color="D3D3D3"/>
              <w:right w:val="nil"/>
            </w:tcBorders>
            <w:shd w:val="clear" w:color="000000" w:fill="FFFFFF"/>
            <w:vAlign w:val="bottom"/>
            <w:hideMark/>
          </w:tcPr>
          <w:p w14:paraId="066DADDB" w14:textId="77777777" w:rsidR="0085497A" w:rsidRPr="00967B7C" w:rsidRDefault="0085497A" w:rsidP="00785918">
            <w:pPr>
              <w:pStyle w:val="TableTextRight"/>
            </w:pPr>
            <w:r w:rsidRPr="00967B7C">
              <w:t>0.592</w:t>
            </w:r>
          </w:p>
        </w:tc>
        <w:tc>
          <w:tcPr>
            <w:tcW w:w="794" w:type="dxa"/>
            <w:gridSpan w:val="2"/>
            <w:tcBorders>
              <w:top w:val="nil"/>
              <w:left w:val="nil"/>
              <w:bottom w:val="single" w:sz="8" w:space="0" w:color="D3D3D3"/>
              <w:right w:val="single" w:sz="4" w:space="0" w:color="auto"/>
            </w:tcBorders>
            <w:shd w:val="clear" w:color="000000" w:fill="FFFFFF"/>
            <w:vAlign w:val="bottom"/>
            <w:hideMark/>
          </w:tcPr>
          <w:p w14:paraId="38B36AB3" w14:textId="77777777" w:rsidR="0085497A" w:rsidRPr="00967B7C" w:rsidRDefault="0085497A" w:rsidP="00785918">
            <w:pPr>
              <w:pStyle w:val="TableTextRight"/>
            </w:pPr>
            <w:r w:rsidRPr="00967B7C">
              <w:t>0.492</w:t>
            </w:r>
          </w:p>
        </w:tc>
        <w:tc>
          <w:tcPr>
            <w:tcW w:w="728" w:type="dxa"/>
            <w:tcBorders>
              <w:top w:val="nil"/>
              <w:left w:val="single" w:sz="4" w:space="0" w:color="auto"/>
              <w:bottom w:val="single" w:sz="8" w:space="0" w:color="D3D3D3"/>
              <w:right w:val="nil"/>
            </w:tcBorders>
            <w:shd w:val="clear" w:color="000000" w:fill="FFFFFF"/>
            <w:vAlign w:val="bottom"/>
            <w:hideMark/>
          </w:tcPr>
          <w:p w14:paraId="56111B16" w14:textId="67994A78" w:rsidR="0085497A" w:rsidRPr="00967B7C" w:rsidRDefault="0085497A" w:rsidP="00785918">
            <w:pPr>
              <w:pStyle w:val="TableTextRight"/>
            </w:pPr>
            <w:r w:rsidRPr="00967B7C">
              <w:t>7</w:t>
            </w:r>
            <w:r w:rsidR="003A7639">
              <w:t>,</w:t>
            </w:r>
            <w:r w:rsidRPr="00967B7C">
              <w:t>500</w:t>
            </w:r>
          </w:p>
        </w:tc>
        <w:tc>
          <w:tcPr>
            <w:tcW w:w="794" w:type="dxa"/>
            <w:tcBorders>
              <w:top w:val="nil"/>
              <w:left w:val="nil"/>
              <w:bottom w:val="single" w:sz="8" w:space="0" w:color="D3D3D3"/>
              <w:right w:val="nil"/>
            </w:tcBorders>
            <w:shd w:val="clear" w:color="000000" w:fill="FFFFFF"/>
            <w:vAlign w:val="bottom"/>
            <w:hideMark/>
          </w:tcPr>
          <w:p w14:paraId="6948EE76" w14:textId="77777777" w:rsidR="0085497A" w:rsidRPr="00967B7C" w:rsidRDefault="0085497A" w:rsidP="00785918">
            <w:pPr>
              <w:pStyle w:val="TableTextRight"/>
            </w:pPr>
            <w:r w:rsidRPr="00967B7C">
              <w:t>0.565</w:t>
            </w:r>
          </w:p>
        </w:tc>
        <w:tc>
          <w:tcPr>
            <w:tcW w:w="784" w:type="dxa"/>
            <w:tcBorders>
              <w:top w:val="nil"/>
              <w:left w:val="nil"/>
              <w:bottom w:val="single" w:sz="8" w:space="0" w:color="D3D3D3"/>
              <w:right w:val="single" w:sz="4" w:space="0" w:color="auto"/>
            </w:tcBorders>
            <w:shd w:val="clear" w:color="000000" w:fill="FFFFFF"/>
            <w:vAlign w:val="bottom"/>
            <w:hideMark/>
          </w:tcPr>
          <w:p w14:paraId="2DF10C0B" w14:textId="77777777" w:rsidR="0085497A" w:rsidRPr="00967B7C" w:rsidRDefault="0085497A" w:rsidP="00785918">
            <w:pPr>
              <w:pStyle w:val="TableTextRight"/>
            </w:pPr>
            <w:r w:rsidRPr="00967B7C">
              <w:t>0.496</w:t>
            </w:r>
          </w:p>
        </w:tc>
        <w:tc>
          <w:tcPr>
            <w:tcW w:w="673" w:type="dxa"/>
            <w:gridSpan w:val="2"/>
            <w:tcBorders>
              <w:top w:val="nil"/>
              <w:left w:val="single" w:sz="4" w:space="0" w:color="auto"/>
              <w:bottom w:val="single" w:sz="8" w:space="0" w:color="D3D3D3"/>
              <w:right w:val="nil"/>
            </w:tcBorders>
            <w:shd w:val="clear" w:color="000000" w:fill="FFFFFF"/>
            <w:vAlign w:val="bottom"/>
            <w:hideMark/>
          </w:tcPr>
          <w:p w14:paraId="1367E069" w14:textId="4A4C99C1" w:rsidR="0085497A" w:rsidRPr="00967B7C" w:rsidRDefault="0085497A" w:rsidP="00785918">
            <w:pPr>
              <w:pStyle w:val="TableTextRight"/>
            </w:pPr>
            <w:r w:rsidRPr="00967B7C">
              <w:t>7</w:t>
            </w:r>
            <w:r w:rsidR="003A7639">
              <w:t>,</w:t>
            </w:r>
            <w:r w:rsidRPr="00967B7C">
              <w:t>500</w:t>
            </w:r>
          </w:p>
        </w:tc>
        <w:tc>
          <w:tcPr>
            <w:tcW w:w="734" w:type="dxa"/>
            <w:tcBorders>
              <w:top w:val="nil"/>
              <w:left w:val="nil"/>
              <w:bottom w:val="single" w:sz="8" w:space="0" w:color="D3D3D3"/>
              <w:right w:val="nil"/>
            </w:tcBorders>
            <w:shd w:val="clear" w:color="000000" w:fill="FFFFFF"/>
            <w:vAlign w:val="bottom"/>
            <w:hideMark/>
          </w:tcPr>
          <w:p w14:paraId="1318CA87" w14:textId="77777777" w:rsidR="0085497A" w:rsidRPr="00967B7C" w:rsidRDefault="0085497A" w:rsidP="00785918">
            <w:pPr>
              <w:pStyle w:val="TableTextRight"/>
            </w:pPr>
            <w:r w:rsidRPr="00967B7C">
              <w:t>0.618</w:t>
            </w:r>
          </w:p>
        </w:tc>
        <w:tc>
          <w:tcPr>
            <w:tcW w:w="753" w:type="dxa"/>
            <w:tcBorders>
              <w:top w:val="nil"/>
              <w:left w:val="nil"/>
              <w:bottom w:val="single" w:sz="8" w:space="0" w:color="D3D3D3"/>
              <w:right w:val="single" w:sz="4" w:space="0" w:color="auto"/>
            </w:tcBorders>
            <w:shd w:val="clear" w:color="000000" w:fill="FFFFFF"/>
            <w:vAlign w:val="bottom"/>
            <w:hideMark/>
          </w:tcPr>
          <w:p w14:paraId="391E613A" w14:textId="77777777" w:rsidR="0085497A" w:rsidRPr="00967B7C" w:rsidRDefault="0085497A" w:rsidP="00785918">
            <w:pPr>
              <w:pStyle w:val="TableTextRight"/>
            </w:pPr>
            <w:r w:rsidRPr="00967B7C">
              <w:t>0.486</w:t>
            </w:r>
          </w:p>
        </w:tc>
      </w:tr>
      <w:tr w:rsidR="00842659" w:rsidRPr="00967B7C" w14:paraId="51D8989E" w14:textId="77777777" w:rsidTr="00C608AB">
        <w:trPr>
          <w:trHeight w:val="300"/>
          <w:jc w:val="center"/>
        </w:trPr>
        <w:tc>
          <w:tcPr>
            <w:tcW w:w="2263" w:type="dxa"/>
            <w:tcBorders>
              <w:top w:val="nil"/>
              <w:left w:val="single" w:sz="4" w:space="0" w:color="auto"/>
              <w:bottom w:val="single" w:sz="8" w:space="0" w:color="D3D3D3"/>
              <w:right w:val="nil"/>
            </w:tcBorders>
            <w:shd w:val="clear" w:color="000000" w:fill="FFFFFF"/>
            <w:vAlign w:val="bottom"/>
            <w:hideMark/>
          </w:tcPr>
          <w:p w14:paraId="4BA533EB" w14:textId="59AA0C61" w:rsidR="0085497A" w:rsidRPr="00967B7C" w:rsidRDefault="0085497A" w:rsidP="00D9071A">
            <w:pPr>
              <w:pStyle w:val="TableTextLeft"/>
            </w:pPr>
            <w:r w:rsidRPr="00967B7C">
              <w:t>Volunteer</w:t>
            </w:r>
            <w:r w:rsidR="00C26062">
              <w:noBreakHyphen/>
            </w:r>
            <w:r w:rsidRPr="00967B7C">
              <w:t>based (2023)</w:t>
            </w:r>
          </w:p>
        </w:tc>
        <w:tc>
          <w:tcPr>
            <w:tcW w:w="745" w:type="dxa"/>
            <w:tcBorders>
              <w:top w:val="nil"/>
              <w:left w:val="nil"/>
              <w:bottom w:val="single" w:sz="8" w:space="0" w:color="D3D3D3"/>
              <w:right w:val="nil"/>
            </w:tcBorders>
            <w:shd w:val="clear" w:color="000000" w:fill="FFFFFF"/>
            <w:vAlign w:val="bottom"/>
            <w:hideMark/>
          </w:tcPr>
          <w:p w14:paraId="1BC5936B" w14:textId="50D9D4D0" w:rsidR="0085497A" w:rsidRPr="00967B7C" w:rsidRDefault="0085497A" w:rsidP="00785918">
            <w:pPr>
              <w:pStyle w:val="TableTextRight"/>
            </w:pPr>
            <w:r w:rsidRPr="00967B7C">
              <w:t>13</w:t>
            </w:r>
            <w:r w:rsidR="003A7639">
              <w:t>,</w:t>
            </w:r>
            <w:r w:rsidRPr="00967B7C">
              <w:t>806</w:t>
            </w:r>
          </w:p>
        </w:tc>
        <w:tc>
          <w:tcPr>
            <w:tcW w:w="794" w:type="dxa"/>
            <w:tcBorders>
              <w:top w:val="nil"/>
              <w:left w:val="nil"/>
              <w:bottom w:val="single" w:sz="8" w:space="0" w:color="D3D3D3"/>
              <w:right w:val="nil"/>
            </w:tcBorders>
            <w:shd w:val="clear" w:color="000000" w:fill="FFFFFF"/>
            <w:vAlign w:val="bottom"/>
            <w:hideMark/>
          </w:tcPr>
          <w:p w14:paraId="05B52992" w14:textId="77777777" w:rsidR="0085497A" w:rsidRPr="00967B7C" w:rsidRDefault="0085497A" w:rsidP="00785918">
            <w:pPr>
              <w:pStyle w:val="TableTextRight"/>
            </w:pPr>
            <w:r w:rsidRPr="00967B7C">
              <w:t>0.475</w:t>
            </w:r>
          </w:p>
        </w:tc>
        <w:tc>
          <w:tcPr>
            <w:tcW w:w="794" w:type="dxa"/>
            <w:gridSpan w:val="2"/>
            <w:tcBorders>
              <w:top w:val="nil"/>
              <w:left w:val="nil"/>
              <w:bottom w:val="single" w:sz="8" w:space="0" w:color="D3D3D3"/>
              <w:right w:val="single" w:sz="4" w:space="0" w:color="auto"/>
            </w:tcBorders>
            <w:shd w:val="clear" w:color="000000" w:fill="FFFFFF"/>
            <w:vAlign w:val="bottom"/>
            <w:hideMark/>
          </w:tcPr>
          <w:p w14:paraId="12087446" w14:textId="77777777" w:rsidR="0085497A" w:rsidRPr="00967B7C" w:rsidRDefault="0085497A" w:rsidP="00785918">
            <w:pPr>
              <w:pStyle w:val="TableTextRight"/>
            </w:pPr>
            <w:r w:rsidRPr="00967B7C">
              <w:t>0.499</w:t>
            </w:r>
          </w:p>
        </w:tc>
        <w:tc>
          <w:tcPr>
            <w:tcW w:w="728" w:type="dxa"/>
            <w:tcBorders>
              <w:top w:val="nil"/>
              <w:left w:val="single" w:sz="4" w:space="0" w:color="auto"/>
              <w:bottom w:val="single" w:sz="8" w:space="0" w:color="D3D3D3"/>
              <w:right w:val="nil"/>
            </w:tcBorders>
            <w:shd w:val="clear" w:color="000000" w:fill="FFFFFF"/>
            <w:vAlign w:val="bottom"/>
            <w:hideMark/>
          </w:tcPr>
          <w:p w14:paraId="696157AD" w14:textId="0A926DD2" w:rsidR="0085497A" w:rsidRPr="00967B7C" w:rsidRDefault="0085497A" w:rsidP="00785918">
            <w:pPr>
              <w:pStyle w:val="TableTextRight"/>
            </w:pPr>
            <w:r w:rsidRPr="00967B7C">
              <w:t>6</w:t>
            </w:r>
            <w:r w:rsidR="003A7639">
              <w:t>,</w:t>
            </w:r>
            <w:r w:rsidRPr="00967B7C">
              <w:t>933</w:t>
            </w:r>
          </w:p>
        </w:tc>
        <w:tc>
          <w:tcPr>
            <w:tcW w:w="794" w:type="dxa"/>
            <w:tcBorders>
              <w:top w:val="nil"/>
              <w:left w:val="nil"/>
              <w:bottom w:val="single" w:sz="8" w:space="0" w:color="D3D3D3"/>
              <w:right w:val="nil"/>
            </w:tcBorders>
            <w:shd w:val="clear" w:color="000000" w:fill="FFFFFF"/>
            <w:vAlign w:val="bottom"/>
            <w:hideMark/>
          </w:tcPr>
          <w:p w14:paraId="566D752B" w14:textId="77777777" w:rsidR="0085497A" w:rsidRPr="00967B7C" w:rsidRDefault="0085497A" w:rsidP="00785918">
            <w:pPr>
              <w:pStyle w:val="TableTextRight"/>
            </w:pPr>
            <w:r w:rsidRPr="00967B7C">
              <w:t>0.474</w:t>
            </w:r>
          </w:p>
        </w:tc>
        <w:tc>
          <w:tcPr>
            <w:tcW w:w="784" w:type="dxa"/>
            <w:tcBorders>
              <w:top w:val="nil"/>
              <w:left w:val="nil"/>
              <w:bottom w:val="single" w:sz="8" w:space="0" w:color="D3D3D3"/>
              <w:right w:val="single" w:sz="4" w:space="0" w:color="auto"/>
            </w:tcBorders>
            <w:shd w:val="clear" w:color="000000" w:fill="FFFFFF"/>
            <w:vAlign w:val="bottom"/>
            <w:hideMark/>
          </w:tcPr>
          <w:p w14:paraId="4034CCFC" w14:textId="77777777" w:rsidR="0085497A" w:rsidRPr="00967B7C" w:rsidRDefault="0085497A" w:rsidP="00785918">
            <w:pPr>
              <w:pStyle w:val="TableTextRight"/>
            </w:pPr>
            <w:r w:rsidRPr="00967B7C">
              <w:t>0.499</w:t>
            </w:r>
          </w:p>
        </w:tc>
        <w:tc>
          <w:tcPr>
            <w:tcW w:w="673" w:type="dxa"/>
            <w:gridSpan w:val="2"/>
            <w:tcBorders>
              <w:top w:val="nil"/>
              <w:left w:val="single" w:sz="4" w:space="0" w:color="auto"/>
              <w:bottom w:val="single" w:sz="8" w:space="0" w:color="D3D3D3"/>
              <w:right w:val="nil"/>
            </w:tcBorders>
            <w:shd w:val="clear" w:color="000000" w:fill="FFFFFF"/>
            <w:vAlign w:val="bottom"/>
            <w:hideMark/>
          </w:tcPr>
          <w:p w14:paraId="44A8BBA2" w14:textId="1B2DBF6A" w:rsidR="0085497A" w:rsidRPr="00967B7C" w:rsidRDefault="0085497A" w:rsidP="00785918">
            <w:pPr>
              <w:pStyle w:val="TableTextRight"/>
            </w:pPr>
            <w:r w:rsidRPr="00967B7C">
              <w:t>6</w:t>
            </w:r>
            <w:r w:rsidR="003A7639">
              <w:t>,</w:t>
            </w:r>
            <w:r w:rsidRPr="00967B7C">
              <w:t>873</w:t>
            </w:r>
          </w:p>
        </w:tc>
        <w:tc>
          <w:tcPr>
            <w:tcW w:w="734" w:type="dxa"/>
            <w:tcBorders>
              <w:top w:val="nil"/>
              <w:left w:val="nil"/>
              <w:bottom w:val="single" w:sz="8" w:space="0" w:color="D3D3D3"/>
              <w:right w:val="nil"/>
            </w:tcBorders>
            <w:shd w:val="clear" w:color="000000" w:fill="FFFFFF"/>
            <w:vAlign w:val="bottom"/>
            <w:hideMark/>
          </w:tcPr>
          <w:p w14:paraId="183318C2" w14:textId="77777777" w:rsidR="0085497A" w:rsidRPr="00967B7C" w:rsidRDefault="0085497A" w:rsidP="00785918">
            <w:pPr>
              <w:pStyle w:val="TableTextRight"/>
            </w:pPr>
            <w:r w:rsidRPr="00967B7C">
              <w:t>0.477</w:t>
            </w:r>
          </w:p>
        </w:tc>
        <w:tc>
          <w:tcPr>
            <w:tcW w:w="753" w:type="dxa"/>
            <w:tcBorders>
              <w:top w:val="nil"/>
              <w:left w:val="nil"/>
              <w:bottom w:val="single" w:sz="8" w:space="0" w:color="D3D3D3"/>
              <w:right w:val="single" w:sz="4" w:space="0" w:color="auto"/>
            </w:tcBorders>
            <w:shd w:val="clear" w:color="000000" w:fill="FFFFFF"/>
            <w:vAlign w:val="bottom"/>
            <w:hideMark/>
          </w:tcPr>
          <w:p w14:paraId="7B499B52" w14:textId="77777777" w:rsidR="0085497A" w:rsidRPr="00967B7C" w:rsidRDefault="0085497A" w:rsidP="00785918">
            <w:pPr>
              <w:pStyle w:val="TableTextRight"/>
            </w:pPr>
            <w:r w:rsidRPr="00967B7C">
              <w:t>0.499</w:t>
            </w:r>
          </w:p>
        </w:tc>
      </w:tr>
      <w:tr w:rsidR="00842659" w:rsidRPr="00967B7C" w14:paraId="2F874112" w14:textId="77777777" w:rsidTr="00C608AB">
        <w:trPr>
          <w:trHeight w:val="300"/>
          <w:jc w:val="center"/>
        </w:trPr>
        <w:tc>
          <w:tcPr>
            <w:tcW w:w="2263" w:type="dxa"/>
            <w:tcBorders>
              <w:top w:val="nil"/>
              <w:left w:val="single" w:sz="4" w:space="0" w:color="auto"/>
              <w:bottom w:val="single" w:sz="8" w:space="0" w:color="D3D3D3"/>
              <w:right w:val="nil"/>
            </w:tcBorders>
            <w:shd w:val="clear" w:color="000000" w:fill="FFFFFF"/>
            <w:vAlign w:val="bottom"/>
            <w:hideMark/>
          </w:tcPr>
          <w:p w14:paraId="7D63BABD" w14:textId="77777777" w:rsidR="0085497A" w:rsidRPr="00967B7C" w:rsidRDefault="0085497A" w:rsidP="00D9071A">
            <w:pPr>
              <w:pStyle w:val="TableTextLeft"/>
            </w:pPr>
            <w:r w:rsidRPr="00967B7C">
              <w:t>Basic religious charity (2023)</w:t>
            </w:r>
          </w:p>
        </w:tc>
        <w:tc>
          <w:tcPr>
            <w:tcW w:w="745" w:type="dxa"/>
            <w:tcBorders>
              <w:top w:val="nil"/>
              <w:left w:val="nil"/>
              <w:bottom w:val="single" w:sz="8" w:space="0" w:color="D3D3D3"/>
              <w:right w:val="nil"/>
            </w:tcBorders>
            <w:shd w:val="clear" w:color="000000" w:fill="FFFFFF"/>
            <w:vAlign w:val="bottom"/>
            <w:hideMark/>
          </w:tcPr>
          <w:p w14:paraId="75FFE097" w14:textId="49C27517" w:rsidR="0085497A" w:rsidRPr="00967B7C" w:rsidRDefault="0085497A" w:rsidP="00785918">
            <w:pPr>
              <w:pStyle w:val="TableTextRight"/>
            </w:pPr>
            <w:r w:rsidRPr="00967B7C">
              <w:t>13</w:t>
            </w:r>
            <w:r w:rsidR="003A7639">
              <w:t>,</w:t>
            </w:r>
            <w:r w:rsidRPr="00967B7C">
              <w:t>806</w:t>
            </w:r>
          </w:p>
        </w:tc>
        <w:tc>
          <w:tcPr>
            <w:tcW w:w="794" w:type="dxa"/>
            <w:tcBorders>
              <w:top w:val="nil"/>
              <w:left w:val="nil"/>
              <w:bottom w:val="single" w:sz="8" w:space="0" w:color="D3D3D3"/>
              <w:right w:val="nil"/>
            </w:tcBorders>
            <w:shd w:val="clear" w:color="000000" w:fill="FFFFFF"/>
            <w:vAlign w:val="bottom"/>
            <w:hideMark/>
          </w:tcPr>
          <w:p w14:paraId="7457EB7A" w14:textId="77777777" w:rsidR="0085497A" w:rsidRPr="00967B7C" w:rsidRDefault="0085497A" w:rsidP="00785918">
            <w:pPr>
              <w:pStyle w:val="TableTextRight"/>
            </w:pPr>
            <w:r w:rsidRPr="00967B7C">
              <w:t>0.065</w:t>
            </w:r>
          </w:p>
        </w:tc>
        <w:tc>
          <w:tcPr>
            <w:tcW w:w="794" w:type="dxa"/>
            <w:gridSpan w:val="2"/>
            <w:tcBorders>
              <w:top w:val="nil"/>
              <w:left w:val="nil"/>
              <w:bottom w:val="single" w:sz="8" w:space="0" w:color="D3D3D3"/>
              <w:right w:val="single" w:sz="4" w:space="0" w:color="auto"/>
            </w:tcBorders>
            <w:shd w:val="clear" w:color="000000" w:fill="FFFFFF"/>
            <w:vAlign w:val="bottom"/>
            <w:hideMark/>
          </w:tcPr>
          <w:p w14:paraId="6BF19371" w14:textId="77777777" w:rsidR="0085497A" w:rsidRPr="00967B7C" w:rsidRDefault="0085497A" w:rsidP="00785918">
            <w:pPr>
              <w:pStyle w:val="TableTextRight"/>
            </w:pPr>
            <w:r w:rsidRPr="00967B7C">
              <w:t>0.246</w:t>
            </w:r>
          </w:p>
        </w:tc>
        <w:tc>
          <w:tcPr>
            <w:tcW w:w="728" w:type="dxa"/>
            <w:tcBorders>
              <w:top w:val="nil"/>
              <w:left w:val="single" w:sz="4" w:space="0" w:color="auto"/>
              <w:bottom w:val="single" w:sz="8" w:space="0" w:color="D3D3D3"/>
              <w:right w:val="nil"/>
            </w:tcBorders>
            <w:shd w:val="clear" w:color="000000" w:fill="FFFFFF"/>
            <w:vAlign w:val="bottom"/>
            <w:hideMark/>
          </w:tcPr>
          <w:p w14:paraId="2DB23416" w14:textId="1B74F7E1" w:rsidR="0085497A" w:rsidRPr="00967B7C" w:rsidRDefault="0085497A" w:rsidP="00785918">
            <w:pPr>
              <w:pStyle w:val="TableTextRight"/>
            </w:pPr>
            <w:r w:rsidRPr="00967B7C">
              <w:t>6</w:t>
            </w:r>
            <w:r w:rsidR="003A7639">
              <w:t>,</w:t>
            </w:r>
            <w:r w:rsidRPr="00967B7C">
              <w:t>933</w:t>
            </w:r>
          </w:p>
        </w:tc>
        <w:tc>
          <w:tcPr>
            <w:tcW w:w="794" w:type="dxa"/>
            <w:tcBorders>
              <w:top w:val="nil"/>
              <w:left w:val="nil"/>
              <w:bottom w:val="single" w:sz="8" w:space="0" w:color="D3D3D3"/>
              <w:right w:val="nil"/>
            </w:tcBorders>
            <w:shd w:val="clear" w:color="000000" w:fill="FFFFFF"/>
            <w:vAlign w:val="bottom"/>
            <w:hideMark/>
          </w:tcPr>
          <w:p w14:paraId="28850856" w14:textId="77777777" w:rsidR="0085497A" w:rsidRPr="00967B7C" w:rsidRDefault="0085497A" w:rsidP="00785918">
            <w:pPr>
              <w:pStyle w:val="TableTextRight"/>
            </w:pPr>
            <w:r w:rsidRPr="00967B7C">
              <w:t>0.063</w:t>
            </w:r>
          </w:p>
        </w:tc>
        <w:tc>
          <w:tcPr>
            <w:tcW w:w="784" w:type="dxa"/>
            <w:tcBorders>
              <w:top w:val="nil"/>
              <w:left w:val="nil"/>
              <w:bottom w:val="single" w:sz="8" w:space="0" w:color="D3D3D3"/>
              <w:right w:val="single" w:sz="4" w:space="0" w:color="auto"/>
            </w:tcBorders>
            <w:shd w:val="clear" w:color="000000" w:fill="FFFFFF"/>
            <w:vAlign w:val="bottom"/>
            <w:hideMark/>
          </w:tcPr>
          <w:p w14:paraId="129D84A4" w14:textId="77777777" w:rsidR="0085497A" w:rsidRPr="00967B7C" w:rsidRDefault="0085497A" w:rsidP="00785918">
            <w:pPr>
              <w:pStyle w:val="TableTextRight"/>
            </w:pPr>
            <w:r w:rsidRPr="00967B7C">
              <w:t>0.243</w:t>
            </w:r>
          </w:p>
        </w:tc>
        <w:tc>
          <w:tcPr>
            <w:tcW w:w="673" w:type="dxa"/>
            <w:gridSpan w:val="2"/>
            <w:tcBorders>
              <w:top w:val="nil"/>
              <w:left w:val="single" w:sz="4" w:space="0" w:color="auto"/>
              <w:bottom w:val="single" w:sz="8" w:space="0" w:color="D3D3D3"/>
              <w:right w:val="nil"/>
            </w:tcBorders>
            <w:shd w:val="clear" w:color="000000" w:fill="FFFFFF"/>
            <w:vAlign w:val="bottom"/>
            <w:hideMark/>
          </w:tcPr>
          <w:p w14:paraId="3FF6404D" w14:textId="687BF2E0" w:rsidR="0085497A" w:rsidRPr="00967B7C" w:rsidRDefault="0085497A" w:rsidP="00785918">
            <w:pPr>
              <w:pStyle w:val="TableTextRight"/>
            </w:pPr>
            <w:r w:rsidRPr="00967B7C">
              <w:t>6</w:t>
            </w:r>
            <w:r w:rsidR="003A7639">
              <w:t>,</w:t>
            </w:r>
            <w:r w:rsidRPr="00967B7C">
              <w:t>873</w:t>
            </w:r>
          </w:p>
        </w:tc>
        <w:tc>
          <w:tcPr>
            <w:tcW w:w="734" w:type="dxa"/>
            <w:tcBorders>
              <w:top w:val="nil"/>
              <w:left w:val="nil"/>
              <w:bottom w:val="single" w:sz="8" w:space="0" w:color="D3D3D3"/>
              <w:right w:val="nil"/>
            </w:tcBorders>
            <w:shd w:val="clear" w:color="000000" w:fill="FFFFFF"/>
            <w:vAlign w:val="bottom"/>
            <w:hideMark/>
          </w:tcPr>
          <w:p w14:paraId="650D90B4" w14:textId="77777777" w:rsidR="0085497A" w:rsidRPr="00967B7C" w:rsidRDefault="0085497A" w:rsidP="00785918">
            <w:pPr>
              <w:pStyle w:val="TableTextRight"/>
            </w:pPr>
            <w:r w:rsidRPr="00967B7C">
              <w:t>0.067</w:t>
            </w:r>
          </w:p>
        </w:tc>
        <w:tc>
          <w:tcPr>
            <w:tcW w:w="753" w:type="dxa"/>
            <w:tcBorders>
              <w:top w:val="nil"/>
              <w:left w:val="nil"/>
              <w:bottom w:val="single" w:sz="8" w:space="0" w:color="D3D3D3"/>
              <w:right w:val="single" w:sz="4" w:space="0" w:color="auto"/>
            </w:tcBorders>
            <w:shd w:val="clear" w:color="000000" w:fill="FFFFFF"/>
            <w:vAlign w:val="bottom"/>
            <w:hideMark/>
          </w:tcPr>
          <w:p w14:paraId="54753536" w14:textId="3E104D87" w:rsidR="0085497A" w:rsidRPr="00967B7C" w:rsidRDefault="0085497A" w:rsidP="00785918">
            <w:pPr>
              <w:pStyle w:val="TableTextRight"/>
            </w:pPr>
            <w:r w:rsidRPr="00967B7C">
              <w:t>0.25</w:t>
            </w:r>
            <w:r w:rsidR="00190B8B">
              <w:t>0</w:t>
            </w:r>
          </w:p>
        </w:tc>
      </w:tr>
      <w:tr w:rsidR="00842659" w:rsidRPr="00967B7C" w14:paraId="59E5AE70" w14:textId="77777777" w:rsidTr="00C608AB">
        <w:trPr>
          <w:trHeight w:val="300"/>
          <w:jc w:val="center"/>
        </w:trPr>
        <w:tc>
          <w:tcPr>
            <w:tcW w:w="2263" w:type="dxa"/>
            <w:tcBorders>
              <w:top w:val="nil"/>
              <w:left w:val="single" w:sz="4" w:space="0" w:color="auto"/>
              <w:bottom w:val="single" w:sz="8" w:space="0" w:color="D3D3D3"/>
              <w:right w:val="nil"/>
            </w:tcBorders>
            <w:shd w:val="clear" w:color="000000" w:fill="FFFFFF"/>
            <w:vAlign w:val="bottom"/>
            <w:hideMark/>
          </w:tcPr>
          <w:p w14:paraId="72D80AF4" w14:textId="21C70704" w:rsidR="0085497A" w:rsidRPr="00967B7C" w:rsidRDefault="0085497A" w:rsidP="00D9071A">
            <w:pPr>
              <w:pStyle w:val="TableTextLeft"/>
            </w:pPr>
            <w:r w:rsidRPr="00967B7C">
              <w:t>Incorporated association</w:t>
            </w:r>
            <w:r w:rsidR="000435A4">
              <w:t xml:space="preserve"> (from</w:t>
            </w:r>
            <w:r w:rsidRPr="00967B7C">
              <w:t xml:space="preserve"> 2023</w:t>
            </w:r>
            <w:r w:rsidR="000435A4">
              <w:t xml:space="preserve"> </w:t>
            </w:r>
            <w:r w:rsidRPr="00967B7C">
              <w:t>AIS</w:t>
            </w:r>
            <w:r w:rsidR="000435A4">
              <w:t>)</w:t>
            </w:r>
          </w:p>
        </w:tc>
        <w:tc>
          <w:tcPr>
            <w:tcW w:w="745" w:type="dxa"/>
            <w:tcBorders>
              <w:top w:val="nil"/>
              <w:left w:val="nil"/>
              <w:bottom w:val="single" w:sz="8" w:space="0" w:color="D3D3D3"/>
              <w:right w:val="nil"/>
            </w:tcBorders>
            <w:shd w:val="clear" w:color="000000" w:fill="FFFFFF"/>
            <w:vAlign w:val="bottom"/>
            <w:hideMark/>
          </w:tcPr>
          <w:p w14:paraId="6529346A" w14:textId="524848B0" w:rsidR="0085497A" w:rsidRPr="00967B7C" w:rsidRDefault="0085497A" w:rsidP="00785918">
            <w:pPr>
              <w:pStyle w:val="TableTextRight"/>
            </w:pPr>
            <w:r w:rsidRPr="00967B7C">
              <w:t>13</w:t>
            </w:r>
            <w:r w:rsidR="003A7639">
              <w:t>,</w:t>
            </w:r>
            <w:r w:rsidRPr="00967B7C">
              <w:t>806</w:t>
            </w:r>
          </w:p>
        </w:tc>
        <w:tc>
          <w:tcPr>
            <w:tcW w:w="794" w:type="dxa"/>
            <w:tcBorders>
              <w:top w:val="nil"/>
              <w:left w:val="nil"/>
              <w:bottom w:val="single" w:sz="8" w:space="0" w:color="D3D3D3"/>
              <w:right w:val="nil"/>
            </w:tcBorders>
            <w:shd w:val="clear" w:color="000000" w:fill="FFFFFF"/>
            <w:vAlign w:val="bottom"/>
            <w:hideMark/>
          </w:tcPr>
          <w:p w14:paraId="78CCB76C" w14:textId="77777777" w:rsidR="0085497A" w:rsidRPr="00967B7C" w:rsidRDefault="0085497A" w:rsidP="00785918">
            <w:pPr>
              <w:pStyle w:val="TableTextRight"/>
            </w:pPr>
            <w:r w:rsidRPr="00967B7C">
              <w:t>0.469</w:t>
            </w:r>
          </w:p>
        </w:tc>
        <w:tc>
          <w:tcPr>
            <w:tcW w:w="794" w:type="dxa"/>
            <w:gridSpan w:val="2"/>
            <w:tcBorders>
              <w:top w:val="nil"/>
              <w:left w:val="nil"/>
              <w:bottom w:val="single" w:sz="8" w:space="0" w:color="D3D3D3"/>
              <w:right w:val="single" w:sz="4" w:space="0" w:color="auto"/>
            </w:tcBorders>
            <w:shd w:val="clear" w:color="000000" w:fill="FFFFFF"/>
            <w:vAlign w:val="bottom"/>
            <w:hideMark/>
          </w:tcPr>
          <w:p w14:paraId="60A5A02B" w14:textId="77777777" w:rsidR="0085497A" w:rsidRPr="00967B7C" w:rsidRDefault="0085497A" w:rsidP="00785918">
            <w:pPr>
              <w:pStyle w:val="TableTextRight"/>
            </w:pPr>
            <w:r w:rsidRPr="00967B7C">
              <w:t>0.499</w:t>
            </w:r>
          </w:p>
        </w:tc>
        <w:tc>
          <w:tcPr>
            <w:tcW w:w="728" w:type="dxa"/>
            <w:tcBorders>
              <w:top w:val="nil"/>
              <w:left w:val="single" w:sz="4" w:space="0" w:color="auto"/>
              <w:bottom w:val="single" w:sz="8" w:space="0" w:color="D3D3D3"/>
              <w:right w:val="nil"/>
            </w:tcBorders>
            <w:shd w:val="clear" w:color="000000" w:fill="FFFFFF"/>
            <w:vAlign w:val="bottom"/>
            <w:hideMark/>
          </w:tcPr>
          <w:p w14:paraId="4CFE8E3A" w14:textId="5875BAF8" w:rsidR="0085497A" w:rsidRPr="00967B7C" w:rsidRDefault="0085497A" w:rsidP="00785918">
            <w:pPr>
              <w:pStyle w:val="TableTextRight"/>
            </w:pPr>
            <w:r w:rsidRPr="00967B7C">
              <w:t>6</w:t>
            </w:r>
            <w:r w:rsidR="003A7639">
              <w:t>,</w:t>
            </w:r>
            <w:r w:rsidRPr="00967B7C">
              <w:t>933</w:t>
            </w:r>
          </w:p>
        </w:tc>
        <w:tc>
          <w:tcPr>
            <w:tcW w:w="794" w:type="dxa"/>
            <w:tcBorders>
              <w:top w:val="nil"/>
              <w:left w:val="nil"/>
              <w:bottom w:val="single" w:sz="8" w:space="0" w:color="D3D3D3"/>
              <w:right w:val="nil"/>
            </w:tcBorders>
            <w:shd w:val="clear" w:color="000000" w:fill="FFFFFF"/>
            <w:vAlign w:val="bottom"/>
            <w:hideMark/>
          </w:tcPr>
          <w:p w14:paraId="5CA32388" w14:textId="77777777" w:rsidR="0085497A" w:rsidRPr="00967B7C" w:rsidRDefault="0085497A" w:rsidP="00785918">
            <w:pPr>
              <w:pStyle w:val="TableTextRight"/>
            </w:pPr>
            <w:r w:rsidRPr="00967B7C">
              <w:t>0.474</w:t>
            </w:r>
          </w:p>
        </w:tc>
        <w:tc>
          <w:tcPr>
            <w:tcW w:w="784" w:type="dxa"/>
            <w:tcBorders>
              <w:top w:val="nil"/>
              <w:left w:val="nil"/>
              <w:bottom w:val="single" w:sz="8" w:space="0" w:color="D3D3D3"/>
              <w:right w:val="single" w:sz="4" w:space="0" w:color="auto"/>
            </w:tcBorders>
            <w:shd w:val="clear" w:color="000000" w:fill="FFFFFF"/>
            <w:vAlign w:val="bottom"/>
            <w:hideMark/>
          </w:tcPr>
          <w:p w14:paraId="7996F7C9" w14:textId="77777777" w:rsidR="0085497A" w:rsidRPr="00967B7C" w:rsidRDefault="0085497A" w:rsidP="00785918">
            <w:pPr>
              <w:pStyle w:val="TableTextRight"/>
            </w:pPr>
            <w:r w:rsidRPr="00967B7C">
              <w:t>0.499</w:t>
            </w:r>
          </w:p>
        </w:tc>
        <w:tc>
          <w:tcPr>
            <w:tcW w:w="673" w:type="dxa"/>
            <w:gridSpan w:val="2"/>
            <w:tcBorders>
              <w:top w:val="nil"/>
              <w:left w:val="single" w:sz="4" w:space="0" w:color="auto"/>
              <w:bottom w:val="single" w:sz="8" w:space="0" w:color="D3D3D3"/>
              <w:right w:val="nil"/>
            </w:tcBorders>
            <w:shd w:val="clear" w:color="000000" w:fill="FFFFFF"/>
            <w:vAlign w:val="bottom"/>
            <w:hideMark/>
          </w:tcPr>
          <w:p w14:paraId="2FACE2FD" w14:textId="7678D2BC" w:rsidR="0085497A" w:rsidRPr="00967B7C" w:rsidRDefault="0085497A" w:rsidP="00785918">
            <w:pPr>
              <w:pStyle w:val="TableTextRight"/>
            </w:pPr>
            <w:r w:rsidRPr="00967B7C">
              <w:t>6</w:t>
            </w:r>
            <w:r w:rsidR="003A7639">
              <w:t>,</w:t>
            </w:r>
            <w:r w:rsidRPr="00967B7C">
              <w:t>873</w:t>
            </w:r>
          </w:p>
        </w:tc>
        <w:tc>
          <w:tcPr>
            <w:tcW w:w="734" w:type="dxa"/>
            <w:tcBorders>
              <w:top w:val="nil"/>
              <w:left w:val="nil"/>
              <w:bottom w:val="single" w:sz="8" w:space="0" w:color="D3D3D3"/>
              <w:right w:val="nil"/>
            </w:tcBorders>
            <w:shd w:val="clear" w:color="000000" w:fill="FFFFFF"/>
            <w:vAlign w:val="bottom"/>
            <w:hideMark/>
          </w:tcPr>
          <w:p w14:paraId="168CDF40" w14:textId="77777777" w:rsidR="0085497A" w:rsidRPr="00967B7C" w:rsidRDefault="0085497A" w:rsidP="00785918">
            <w:pPr>
              <w:pStyle w:val="TableTextRight"/>
            </w:pPr>
            <w:r w:rsidRPr="00967B7C">
              <w:t>0.465</w:t>
            </w:r>
          </w:p>
        </w:tc>
        <w:tc>
          <w:tcPr>
            <w:tcW w:w="753" w:type="dxa"/>
            <w:tcBorders>
              <w:top w:val="nil"/>
              <w:left w:val="nil"/>
              <w:bottom w:val="single" w:sz="8" w:space="0" w:color="D3D3D3"/>
              <w:right w:val="single" w:sz="4" w:space="0" w:color="auto"/>
            </w:tcBorders>
            <w:shd w:val="clear" w:color="000000" w:fill="FFFFFF"/>
            <w:vAlign w:val="bottom"/>
            <w:hideMark/>
          </w:tcPr>
          <w:p w14:paraId="355D5DD6" w14:textId="77777777" w:rsidR="0085497A" w:rsidRPr="00967B7C" w:rsidRDefault="0085497A" w:rsidP="00785918">
            <w:pPr>
              <w:pStyle w:val="TableTextRight"/>
            </w:pPr>
            <w:r w:rsidRPr="00967B7C">
              <w:t>0.499</w:t>
            </w:r>
          </w:p>
        </w:tc>
      </w:tr>
      <w:tr w:rsidR="00842659" w:rsidRPr="00967B7C" w14:paraId="5D6D1FDE" w14:textId="77777777" w:rsidTr="00C608AB">
        <w:trPr>
          <w:trHeight w:val="300"/>
          <w:jc w:val="center"/>
        </w:trPr>
        <w:tc>
          <w:tcPr>
            <w:tcW w:w="2263" w:type="dxa"/>
            <w:tcBorders>
              <w:top w:val="nil"/>
              <w:left w:val="single" w:sz="4" w:space="0" w:color="auto"/>
              <w:bottom w:val="single" w:sz="8" w:space="0" w:color="D3D3D3"/>
              <w:right w:val="nil"/>
            </w:tcBorders>
            <w:shd w:val="clear" w:color="000000" w:fill="FFFFFF"/>
            <w:vAlign w:val="bottom"/>
            <w:hideMark/>
          </w:tcPr>
          <w:p w14:paraId="5B61D467" w14:textId="6AA3ED78" w:rsidR="0085497A" w:rsidRPr="00967B7C" w:rsidRDefault="0085497A" w:rsidP="00D9071A">
            <w:pPr>
              <w:pStyle w:val="TableTextLeft"/>
            </w:pPr>
            <w:r w:rsidRPr="00967B7C">
              <w:t>On</w:t>
            </w:r>
            <w:r w:rsidR="00C26062">
              <w:noBreakHyphen/>
            </w:r>
            <w:r w:rsidRPr="00967B7C">
              <w:t xml:space="preserve">time </w:t>
            </w:r>
            <w:r w:rsidR="00D8524D">
              <w:t>s</w:t>
            </w:r>
            <w:r w:rsidRPr="00967B7C">
              <w:t>ubmission 2023</w:t>
            </w:r>
          </w:p>
        </w:tc>
        <w:tc>
          <w:tcPr>
            <w:tcW w:w="745" w:type="dxa"/>
            <w:tcBorders>
              <w:top w:val="nil"/>
              <w:left w:val="nil"/>
              <w:bottom w:val="single" w:sz="8" w:space="0" w:color="D3D3D3"/>
              <w:right w:val="nil"/>
            </w:tcBorders>
            <w:shd w:val="clear" w:color="000000" w:fill="FFFFFF"/>
            <w:vAlign w:val="bottom"/>
            <w:hideMark/>
          </w:tcPr>
          <w:p w14:paraId="531E6BD4" w14:textId="49E83BE5" w:rsidR="0085497A" w:rsidRPr="00967B7C" w:rsidRDefault="0085497A" w:rsidP="00785918">
            <w:pPr>
              <w:pStyle w:val="TableTextRight"/>
            </w:pPr>
            <w:r w:rsidRPr="00967B7C">
              <w:t>13</w:t>
            </w:r>
            <w:r w:rsidR="003A7639">
              <w:t>,</w:t>
            </w:r>
            <w:r w:rsidRPr="00967B7C">
              <w:t>808</w:t>
            </w:r>
          </w:p>
        </w:tc>
        <w:tc>
          <w:tcPr>
            <w:tcW w:w="794" w:type="dxa"/>
            <w:tcBorders>
              <w:top w:val="nil"/>
              <w:left w:val="nil"/>
              <w:bottom w:val="single" w:sz="8" w:space="0" w:color="D3D3D3"/>
              <w:right w:val="nil"/>
            </w:tcBorders>
            <w:shd w:val="clear" w:color="000000" w:fill="FFFFFF"/>
            <w:vAlign w:val="bottom"/>
            <w:hideMark/>
          </w:tcPr>
          <w:p w14:paraId="511B79E2" w14:textId="77777777" w:rsidR="0085497A" w:rsidRPr="00967B7C" w:rsidRDefault="0085497A" w:rsidP="00785918">
            <w:pPr>
              <w:pStyle w:val="TableTextRight"/>
            </w:pPr>
            <w:r w:rsidRPr="00967B7C">
              <w:t>0.699</w:t>
            </w:r>
          </w:p>
        </w:tc>
        <w:tc>
          <w:tcPr>
            <w:tcW w:w="794" w:type="dxa"/>
            <w:gridSpan w:val="2"/>
            <w:tcBorders>
              <w:top w:val="nil"/>
              <w:left w:val="nil"/>
              <w:bottom w:val="single" w:sz="8" w:space="0" w:color="D3D3D3"/>
              <w:right w:val="single" w:sz="4" w:space="0" w:color="auto"/>
            </w:tcBorders>
            <w:shd w:val="clear" w:color="000000" w:fill="FFFFFF"/>
            <w:vAlign w:val="bottom"/>
            <w:hideMark/>
          </w:tcPr>
          <w:p w14:paraId="261FB316" w14:textId="77777777" w:rsidR="0085497A" w:rsidRPr="00967B7C" w:rsidRDefault="0085497A" w:rsidP="00785918">
            <w:pPr>
              <w:pStyle w:val="TableTextRight"/>
            </w:pPr>
            <w:r w:rsidRPr="00967B7C">
              <w:t>0.459</w:t>
            </w:r>
          </w:p>
        </w:tc>
        <w:tc>
          <w:tcPr>
            <w:tcW w:w="728" w:type="dxa"/>
            <w:tcBorders>
              <w:top w:val="nil"/>
              <w:left w:val="single" w:sz="4" w:space="0" w:color="auto"/>
              <w:bottom w:val="single" w:sz="8" w:space="0" w:color="D3D3D3"/>
              <w:right w:val="nil"/>
            </w:tcBorders>
            <w:shd w:val="clear" w:color="000000" w:fill="FFFFFF"/>
            <w:vAlign w:val="bottom"/>
            <w:hideMark/>
          </w:tcPr>
          <w:p w14:paraId="2926209F" w14:textId="61E9FD28" w:rsidR="0085497A" w:rsidRPr="00967B7C" w:rsidRDefault="0085497A" w:rsidP="00785918">
            <w:pPr>
              <w:pStyle w:val="TableTextRight"/>
            </w:pPr>
            <w:r w:rsidRPr="00967B7C">
              <w:t>6</w:t>
            </w:r>
            <w:r w:rsidR="003A7639">
              <w:t>,</w:t>
            </w:r>
            <w:r w:rsidRPr="00967B7C">
              <w:t>934</w:t>
            </w:r>
          </w:p>
        </w:tc>
        <w:tc>
          <w:tcPr>
            <w:tcW w:w="794" w:type="dxa"/>
            <w:tcBorders>
              <w:top w:val="nil"/>
              <w:left w:val="nil"/>
              <w:bottom w:val="single" w:sz="8" w:space="0" w:color="D3D3D3"/>
              <w:right w:val="nil"/>
            </w:tcBorders>
            <w:shd w:val="clear" w:color="000000" w:fill="FFFFFF"/>
            <w:vAlign w:val="bottom"/>
            <w:hideMark/>
          </w:tcPr>
          <w:p w14:paraId="36BE2E22" w14:textId="285BFD93" w:rsidR="0085497A" w:rsidRPr="00967B7C" w:rsidRDefault="0085497A" w:rsidP="00785918">
            <w:pPr>
              <w:pStyle w:val="TableTextRight"/>
            </w:pPr>
            <w:r w:rsidRPr="00967B7C">
              <w:t>0.7</w:t>
            </w:r>
            <w:r w:rsidR="00190B8B">
              <w:t>00</w:t>
            </w:r>
          </w:p>
        </w:tc>
        <w:tc>
          <w:tcPr>
            <w:tcW w:w="784" w:type="dxa"/>
            <w:tcBorders>
              <w:top w:val="nil"/>
              <w:left w:val="nil"/>
              <w:bottom w:val="single" w:sz="8" w:space="0" w:color="D3D3D3"/>
              <w:right w:val="single" w:sz="4" w:space="0" w:color="auto"/>
            </w:tcBorders>
            <w:shd w:val="clear" w:color="000000" w:fill="FFFFFF"/>
            <w:vAlign w:val="bottom"/>
            <w:hideMark/>
          </w:tcPr>
          <w:p w14:paraId="38FC94EF" w14:textId="77777777" w:rsidR="0085497A" w:rsidRPr="00967B7C" w:rsidRDefault="0085497A" w:rsidP="00785918">
            <w:pPr>
              <w:pStyle w:val="TableTextRight"/>
            </w:pPr>
            <w:r w:rsidRPr="00967B7C">
              <w:t>0.458</w:t>
            </w:r>
          </w:p>
        </w:tc>
        <w:tc>
          <w:tcPr>
            <w:tcW w:w="673" w:type="dxa"/>
            <w:gridSpan w:val="2"/>
            <w:tcBorders>
              <w:top w:val="nil"/>
              <w:left w:val="single" w:sz="4" w:space="0" w:color="auto"/>
              <w:bottom w:val="single" w:sz="8" w:space="0" w:color="D3D3D3"/>
              <w:right w:val="nil"/>
            </w:tcBorders>
            <w:shd w:val="clear" w:color="000000" w:fill="FFFFFF"/>
            <w:vAlign w:val="bottom"/>
            <w:hideMark/>
          </w:tcPr>
          <w:p w14:paraId="4CEA72B5" w14:textId="5E53ACDB" w:rsidR="0085497A" w:rsidRPr="00967B7C" w:rsidRDefault="0085497A" w:rsidP="00785918">
            <w:pPr>
              <w:pStyle w:val="TableTextRight"/>
            </w:pPr>
            <w:r w:rsidRPr="00967B7C">
              <w:t>6</w:t>
            </w:r>
            <w:r w:rsidR="003A7639">
              <w:t>,</w:t>
            </w:r>
            <w:r w:rsidRPr="00967B7C">
              <w:t>874</w:t>
            </w:r>
          </w:p>
        </w:tc>
        <w:tc>
          <w:tcPr>
            <w:tcW w:w="734" w:type="dxa"/>
            <w:tcBorders>
              <w:top w:val="nil"/>
              <w:left w:val="nil"/>
              <w:bottom w:val="single" w:sz="8" w:space="0" w:color="D3D3D3"/>
              <w:right w:val="nil"/>
            </w:tcBorders>
            <w:shd w:val="clear" w:color="000000" w:fill="FFFFFF"/>
            <w:vAlign w:val="bottom"/>
            <w:hideMark/>
          </w:tcPr>
          <w:p w14:paraId="593F7A72" w14:textId="77777777" w:rsidR="0085497A" w:rsidRPr="00967B7C" w:rsidRDefault="0085497A" w:rsidP="00785918">
            <w:pPr>
              <w:pStyle w:val="TableTextRight"/>
            </w:pPr>
            <w:r w:rsidRPr="00967B7C">
              <w:t>0.697</w:t>
            </w:r>
          </w:p>
        </w:tc>
        <w:tc>
          <w:tcPr>
            <w:tcW w:w="753" w:type="dxa"/>
            <w:tcBorders>
              <w:top w:val="nil"/>
              <w:left w:val="nil"/>
              <w:bottom w:val="single" w:sz="8" w:space="0" w:color="D3D3D3"/>
              <w:right w:val="single" w:sz="4" w:space="0" w:color="auto"/>
            </w:tcBorders>
            <w:shd w:val="clear" w:color="000000" w:fill="FFFFFF"/>
            <w:vAlign w:val="bottom"/>
            <w:hideMark/>
          </w:tcPr>
          <w:p w14:paraId="73494872" w14:textId="06FF0CA5" w:rsidR="0085497A" w:rsidRPr="00967B7C" w:rsidRDefault="0085497A" w:rsidP="00785918">
            <w:pPr>
              <w:pStyle w:val="TableTextRight"/>
            </w:pPr>
            <w:r w:rsidRPr="00967B7C">
              <w:t>0.46</w:t>
            </w:r>
            <w:r w:rsidR="00190B8B">
              <w:t>0</w:t>
            </w:r>
          </w:p>
        </w:tc>
      </w:tr>
      <w:tr w:rsidR="00842659" w:rsidRPr="00967B7C" w14:paraId="6A6E30E6" w14:textId="77777777" w:rsidTr="00C608AB">
        <w:trPr>
          <w:trHeight w:val="300"/>
          <w:jc w:val="center"/>
        </w:trPr>
        <w:tc>
          <w:tcPr>
            <w:tcW w:w="2263" w:type="dxa"/>
            <w:tcBorders>
              <w:top w:val="nil"/>
              <w:left w:val="single" w:sz="4" w:space="0" w:color="auto"/>
              <w:bottom w:val="single" w:sz="4" w:space="0" w:color="auto"/>
              <w:right w:val="nil"/>
            </w:tcBorders>
            <w:shd w:val="clear" w:color="000000" w:fill="FFFFFF"/>
            <w:vAlign w:val="bottom"/>
          </w:tcPr>
          <w:p w14:paraId="68A1D839" w14:textId="1B48D45A" w:rsidR="00734CFA" w:rsidRPr="00967B7C" w:rsidRDefault="00734CFA" w:rsidP="00D9071A">
            <w:pPr>
              <w:pStyle w:val="TableTextLeft"/>
            </w:pPr>
            <w:r w:rsidRPr="00967B7C">
              <w:t xml:space="preserve">First AIS </w:t>
            </w:r>
            <w:r w:rsidR="00D8524D">
              <w:t>s</w:t>
            </w:r>
            <w:r w:rsidRPr="00967B7C">
              <w:t>ubmission</w:t>
            </w:r>
          </w:p>
        </w:tc>
        <w:tc>
          <w:tcPr>
            <w:tcW w:w="745" w:type="dxa"/>
            <w:tcBorders>
              <w:top w:val="nil"/>
              <w:left w:val="nil"/>
              <w:bottom w:val="single" w:sz="4" w:space="0" w:color="auto"/>
              <w:right w:val="nil"/>
            </w:tcBorders>
            <w:shd w:val="clear" w:color="000000" w:fill="FFFFFF"/>
            <w:vAlign w:val="bottom"/>
          </w:tcPr>
          <w:p w14:paraId="23F0EB9C" w14:textId="5FF52693" w:rsidR="00734CFA" w:rsidRPr="00967B7C" w:rsidRDefault="00734CFA" w:rsidP="00785918">
            <w:pPr>
              <w:pStyle w:val="TableTextRight"/>
            </w:pPr>
            <w:r w:rsidRPr="00967B7C">
              <w:t>15</w:t>
            </w:r>
            <w:r w:rsidR="003A7639">
              <w:t>,</w:t>
            </w:r>
            <w:r w:rsidRPr="00967B7C">
              <w:t>000</w:t>
            </w:r>
          </w:p>
        </w:tc>
        <w:tc>
          <w:tcPr>
            <w:tcW w:w="794" w:type="dxa"/>
            <w:tcBorders>
              <w:top w:val="nil"/>
              <w:left w:val="nil"/>
              <w:bottom w:val="single" w:sz="4" w:space="0" w:color="auto"/>
              <w:right w:val="nil"/>
            </w:tcBorders>
            <w:shd w:val="clear" w:color="000000" w:fill="FFFFFF"/>
            <w:vAlign w:val="bottom"/>
          </w:tcPr>
          <w:p w14:paraId="6C8B7E89" w14:textId="1B5D106E" w:rsidR="00734CFA" w:rsidRPr="00967B7C" w:rsidRDefault="00734CFA" w:rsidP="00785918">
            <w:pPr>
              <w:pStyle w:val="TableTextRight"/>
            </w:pPr>
            <w:r w:rsidRPr="00967B7C">
              <w:t>0.079</w:t>
            </w:r>
          </w:p>
        </w:tc>
        <w:tc>
          <w:tcPr>
            <w:tcW w:w="794" w:type="dxa"/>
            <w:gridSpan w:val="2"/>
            <w:tcBorders>
              <w:top w:val="nil"/>
              <w:left w:val="nil"/>
              <w:bottom w:val="single" w:sz="4" w:space="0" w:color="auto"/>
              <w:right w:val="single" w:sz="4" w:space="0" w:color="auto"/>
            </w:tcBorders>
            <w:shd w:val="clear" w:color="000000" w:fill="FFFFFF"/>
            <w:vAlign w:val="bottom"/>
          </w:tcPr>
          <w:p w14:paraId="3E8236D2" w14:textId="216794B3" w:rsidR="00734CFA" w:rsidRPr="00967B7C" w:rsidRDefault="00734CFA" w:rsidP="00785918">
            <w:pPr>
              <w:pStyle w:val="TableTextRight"/>
            </w:pPr>
            <w:r w:rsidRPr="00967B7C">
              <w:t>0.27</w:t>
            </w:r>
            <w:r w:rsidR="00190B8B">
              <w:t>0</w:t>
            </w:r>
          </w:p>
        </w:tc>
        <w:tc>
          <w:tcPr>
            <w:tcW w:w="728" w:type="dxa"/>
            <w:tcBorders>
              <w:top w:val="nil"/>
              <w:left w:val="single" w:sz="4" w:space="0" w:color="auto"/>
              <w:bottom w:val="single" w:sz="4" w:space="0" w:color="auto"/>
              <w:right w:val="nil"/>
            </w:tcBorders>
            <w:shd w:val="clear" w:color="000000" w:fill="FFFFFF"/>
            <w:vAlign w:val="bottom"/>
          </w:tcPr>
          <w:p w14:paraId="247DE33E" w14:textId="7B52A5B2" w:rsidR="00734CFA" w:rsidRPr="00967B7C" w:rsidRDefault="00734CFA" w:rsidP="00785918">
            <w:pPr>
              <w:pStyle w:val="TableTextRight"/>
            </w:pPr>
            <w:r w:rsidRPr="00967B7C">
              <w:t>7</w:t>
            </w:r>
            <w:r w:rsidR="003A7639">
              <w:t>,</w:t>
            </w:r>
            <w:r w:rsidRPr="00967B7C">
              <w:t>500</w:t>
            </w:r>
          </w:p>
        </w:tc>
        <w:tc>
          <w:tcPr>
            <w:tcW w:w="794" w:type="dxa"/>
            <w:tcBorders>
              <w:top w:val="nil"/>
              <w:left w:val="nil"/>
              <w:bottom w:val="single" w:sz="4" w:space="0" w:color="auto"/>
              <w:right w:val="nil"/>
            </w:tcBorders>
            <w:shd w:val="clear" w:color="000000" w:fill="FFFFFF"/>
            <w:vAlign w:val="bottom"/>
          </w:tcPr>
          <w:p w14:paraId="0C8389E8" w14:textId="645C1AE1" w:rsidR="00734CFA" w:rsidRPr="00967B7C" w:rsidRDefault="00734CFA" w:rsidP="00785918">
            <w:pPr>
              <w:pStyle w:val="TableTextRight"/>
            </w:pPr>
            <w:r w:rsidRPr="00967B7C">
              <w:t>0.075</w:t>
            </w:r>
          </w:p>
        </w:tc>
        <w:tc>
          <w:tcPr>
            <w:tcW w:w="784" w:type="dxa"/>
            <w:tcBorders>
              <w:top w:val="nil"/>
              <w:left w:val="nil"/>
              <w:bottom w:val="single" w:sz="4" w:space="0" w:color="auto"/>
              <w:right w:val="single" w:sz="4" w:space="0" w:color="auto"/>
            </w:tcBorders>
            <w:shd w:val="clear" w:color="000000" w:fill="FFFFFF"/>
            <w:vAlign w:val="bottom"/>
          </w:tcPr>
          <w:p w14:paraId="2D4E4E97" w14:textId="3C802718" w:rsidR="00734CFA" w:rsidRPr="00967B7C" w:rsidRDefault="00734CFA" w:rsidP="00785918">
            <w:pPr>
              <w:pStyle w:val="TableTextRight"/>
            </w:pPr>
            <w:r w:rsidRPr="00967B7C">
              <w:t>0.264</w:t>
            </w:r>
          </w:p>
        </w:tc>
        <w:tc>
          <w:tcPr>
            <w:tcW w:w="673" w:type="dxa"/>
            <w:gridSpan w:val="2"/>
            <w:tcBorders>
              <w:top w:val="nil"/>
              <w:left w:val="single" w:sz="4" w:space="0" w:color="auto"/>
              <w:bottom w:val="single" w:sz="4" w:space="0" w:color="auto"/>
              <w:right w:val="nil"/>
            </w:tcBorders>
            <w:shd w:val="clear" w:color="000000" w:fill="FFFFFF"/>
            <w:vAlign w:val="bottom"/>
          </w:tcPr>
          <w:p w14:paraId="3029D15F" w14:textId="4994D3BB" w:rsidR="00734CFA" w:rsidRPr="00967B7C" w:rsidRDefault="00734CFA" w:rsidP="00785918">
            <w:pPr>
              <w:pStyle w:val="TableTextRight"/>
            </w:pPr>
            <w:r w:rsidRPr="00967B7C">
              <w:t>7</w:t>
            </w:r>
            <w:r w:rsidR="003A7639">
              <w:t>,</w:t>
            </w:r>
            <w:r w:rsidRPr="00967B7C">
              <w:t>500</w:t>
            </w:r>
          </w:p>
        </w:tc>
        <w:tc>
          <w:tcPr>
            <w:tcW w:w="734" w:type="dxa"/>
            <w:tcBorders>
              <w:top w:val="nil"/>
              <w:left w:val="nil"/>
              <w:bottom w:val="single" w:sz="4" w:space="0" w:color="auto"/>
              <w:right w:val="nil"/>
            </w:tcBorders>
            <w:shd w:val="clear" w:color="000000" w:fill="FFFFFF"/>
            <w:vAlign w:val="bottom"/>
          </w:tcPr>
          <w:p w14:paraId="4F51ED2C" w14:textId="16C7B041" w:rsidR="00734CFA" w:rsidRPr="00967B7C" w:rsidRDefault="00734CFA" w:rsidP="00785918">
            <w:pPr>
              <w:pStyle w:val="TableTextRight"/>
            </w:pPr>
            <w:r w:rsidRPr="00967B7C">
              <w:t>0.084</w:t>
            </w:r>
          </w:p>
        </w:tc>
        <w:tc>
          <w:tcPr>
            <w:tcW w:w="753" w:type="dxa"/>
            <w:tcBorders>
              <w:top w:val="nil"/>
              <w:left w:val="nil"/>
              <w:bottom w:val="single" w:sz="4" w:space="0" w:color="auto"/>
              <w:right w:val="single" w:sz="4" w:space="0" w:color="auto"/>
            </w:tcBorders>
            <w:shd w:val="clear" w:color="000000" w:fill="FFFFFF"/>
            <w:vAlign w:val="bottom"/>
          </w:tcPr>
          <w:p w14:paraId="15048BA7" w14:textId="05C16D9B" w:rsidR="00734CFA" w:rsidRPr="00967B7C" w:rsidRDefault="00734CFA" w:rsidP="00785918">
            <w:pPr>
              <w:pStyle w:val="TableTextRight"/>
            </w:pPr>
            <w:r w:rsidRPr="00967B7C">
              <w:t>0.277</w:t>
            </w:r>
          </w:p>
        </w:tc>
      </w:tr>
    </w:tbl>
    <w:p w14:paraId="13DF09E9" w14:textId="04E85C47" w:rsidR="00153DCB" w:rsidRDefault="00221BFF" w:rsidP="00077B8B">
      <w:pPr>
        <w:pStyle w:val="Heading2"/>
        <w:rPr>
          <w:iCs w:val="0"/>
        </w:rPr>
      </w:pPr>
      <w:bookmarkStart w:id="50" w:name="_Toc197603352"/>
      <w:bookmarkStart w:id="51" w:name="_Toc207712040"/>
      <w:r>
        <w:t>P</w:t>
      </w:r>
      <w:r>
        <w:rPr>
          <w:iCs w:val="0"/>
        </w:rPr>
        <w:t>rimary analysis</w:t>
      </w:r>
      <w:bookmarkEnd w:id="50"/>
      <w:bookmarkEnd w:id="51"/>
      <w:r>
        <w:rPr>
          <w:iCs w:val="0"/>
        </w:rPr>
        <w:t xml:space="preserve"> </w:t>
      </w:r>
    </w:p>
    <w:p w14:paraId="2BA2E846" w14:textId="0C83A37D" w:rsidR="00221BFF" w:rsidRDefault="00221BFF" w:rsidP="00221BFF">
      <w:pPr>
        <w:pStyle w:val="Heading3"/>
      </w:pPr>
      <w:r>
        <w:t>Model specification</w:t>
      </w:r>
    </w:p>
    <w:p w14:paraId="65B736CF" w14:textId="2F44A4CB" w:rsidR="00985A0E" w:rsidRPr="00B72B84" w:rsidRDefault="00E23F08" w:rsidP="00B72B84">
      <w:r w:rsidRPr="00B72B84">
        <w:t xml:space="preserve">The ACE </w:t>
      </w:r>
      <w:r w:rsidR="00985A0E" w:rsidRPr="00B72B84">
        <w:t xml:space="preserve">estimated a model where the outcome variable indicated whether a charity submitted its AIS on time (1 = Yes, 0 = No). The main variable of interest was a treatment indicator, coded as 1 if the charity received the </w:t>
      </w:r>
      <w:r w:rsidRPr="00B72B84">
        <w:t xml:space="preserve">additional </w:t>
      </w:r>
      <w:r w:rsidR="00985A0E" w:rsidRPr="00B72B84">
        <w:t xml:space="preserve">email reminder </w:t>
      </w:r>
      <w:r w:rsidRPr="00B72B84">
        <w:t>to a</w:t>
      </w:r>
      <w:r w:rsidR="001E2C6D" w:rsidRPr="00B72B84">
        <w:t xml:space="preserve"> Responsible Person,</w:t>
      </w:r>
      <w:r w:rsidRPr="00B72B84">
        <w:t xml:space="preserve"> </w:t>
      </w:r>
      <w:r w:rsidR="00985A0E" w:rsidRPr="00B72B84">
        <w:t xml:space="preserve">and 0 otherwise. The coefficient on this variable captured the average treatment effect. </w:t>
      </w:r>
      <w:r w:rsidR="008132B3" w:rsidRPr="00B72B84">
        <w:t>The f</w:t>
      </w:r>
      <w:r w:rsidR="00985A0E" w:rsidRPr="00B72B84">
        <w:t xml:space="preserve">ull specification for the models </w:t>
      </w:r>
      <w:r w:rsidRPr="00B72B84">
        <w:t>was</w:t>
      </w:r>
      <w:r w:rsidR="00985A0E" w:rsidRPr="00B72B84">
        <w:t>:</w:t>
      </w:r>
    </w:p>
    <w:p w14:paraId="5312C68C" w14:textId="7687EC84" w:rsidR="00DD475B" w:rsidRPr="00524CD4" w:rsidRDefault="00D214E8" w:rsidP="00E5318A">
      <w:pPr>
        <w:pStyle w:val="Bullet"/>
        <w:numPr>
          <w:ilvl w:val="0"/>
          <w:numId w:val="0"/>
        </w:numPr>
        <w:rPr>
          <w:rFonts w:eastAsiaTheme="minorEastAsia"/>
        </w:rPr>
      </w:pPr>
      <m:oMathPara>
        <m:oMath>
          <m:sSub>
            <m:sSubPr>
              <m:ctrlPr>
                <w:rPr>
                  <w:rFonts w:ascii="Cambria Math" w:hAnsi="Cambria Math"/>
                </w:rPr>
              </m:ctrlPr>
            </m:sSubPr>
            <m:e>
              <m:r>
                <m:rPr>
                  <m:sty m:val="p"/>
                </m:rPr>
                <w:rPr>
                  <w:rFonts w:ascii="Cambria Math" w:hAnsi="Cambria Math"/>
                </w:rPr>
                <m:t>Y</m:t>
              </m:r>
            </m:e>
            <m:sub>
              <m:r>
                <m:rPr>
                  <m:sty m:val="p"/>
                </m:rP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0</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β</m:t>
              </m:r>
            </m:e>
            <m:sub>
              <m:r>
                <w:rPr>
                  <w:rFonts w:ascii="Cambria Math" w:hAnsi="Cambria Math"/>
                </w:rPr>
                <m:t>1</m:t>
              </m:r>
            </m:sub>
          </m:sSub>
          <m:sSub>
            <m:sSubPr>
              <m:ctrlPr>
                <w:rPr>
                  <w:rFonts w:ascii="Cambria Math" w:hAnsi="Cambria Math"/>
                </w:rPr>
              </m:ctrlPr>
            </m:sSubPr>
            <m:e>
              <m:r>
                <m:rPr>
                  <m:sty m:val="p"/>
                </m:rPr>
                <w:rPr>
                  <w:rFonts w:ascii="Cambria Math" w:hAnsi="Cambria Math"/>
                </w:rPr>
                <m:t>Treatment</m:t>
              </m:r>
            </m:e>
            <m:sub>
              <m:r>
                <m:rPr>
                  <m:sty m:val="p"/>
                </m:rPr>
                <w:rPr>
                  <w:rFonts w:ascii="Cambria Math" w:hAnsi="Cambria Math"/>
                </w:rPr>
                <m:t>i</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β</m:t>
              </m:r>
            </m:e>
            <m:sub>
              <m:r>
                <w:rPr>
                  <w:rFonts w:ascii="Cambria Math" w:hAnsi="Cambria Math"/>
                </w:rPr>
                <m:t>2</m:t>
              </m:r>
            </m:sub>
          </m:sSub>
          <m:r>
            <m:rPr>
              <m:sty m:val="p"/>
            </m:rPr>
            <w:rPr>
              <w:rFonts w:ascii="Cambria Math" w:hAnsi="Cambria Math"/>
            </w:rPr>
            <m:t xml:space="preserve">Covariates+ </m:t>
          </m:r>
          <m:sSub>
            <m:sSubPr>
              <m:ctrlPr>
                <w:rPr>
                  <w:rFonts w:ascii="Cambria Math" w:hAnsi="Cambria Math"/>
                </w:rPr>
              </m:ctrlPr>
            </m:sSubPr>
            <m:e>
              <m:r>
                <w:rPr>
                  <w:rFonts w:ascii="Cambria Math" w:hAnsi="Cambria Math"/>
                </w:rPr>
                <m:t>β</m:t>
              </m:r>
            </m:e>
            <m:sub>
              <m:r>
                <w:rPr>
                  <w:rFonts w:ascii="Cambria Math" w:hAnsi="Cambria Math"/>
                </w:rPr>
                <m:t>3</m:t>
              </m:r>
            </m:sub>
          </m:sSub>
          <m:r>
            <m:rPr>
              <m:sty m:val="p"/>
            </m:rPr>
            <w:rPr>
              <w:rFonts w:ascii="Cambria Math" w:hAnsi="Cambria Math"/>
            </w:rPr>
            <m:t>Treatment x Covariates+</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4</m:t>
              </m:r>
            </m:sub>
          </m:sSub>
          <m:r>
            <m:rPr>
              <m:sty m:val="p"/>
            </m:rPr>
            <w:rPr>
              <w:rFonts w:ascii="Cambria Math" w:hAnsi="Cambria Math"/>
            </w:rPr>
            <m:t>Missingness+</m:t>
          </m:r>
          <m:sSub>
            <m:sSubPr>
              <m:ctrlPr>
                <w:rPr>
                  <w:rFonts w:ascii="Cambria Math" w:hAnsi="Cambria Math"/>
                </w:rPr>
              </m:ctrlPr>
            </m:sSubPr>
            <m:e>
              <m:r>
                <m:rPr>
                  <m:sty m:val="p"/>
                </m:rPr>
                <w:rPr>
                  <w:rFonts w:ascii="Cambria Math" w:hAnsi="Cambria Math"/>
                </w:rPr>
                <m:t>∈</m:t>
              </m:r>
            </m:e>
            <m:sub>
              <m:r>
                <w:rPr>
                  <w:rFonts w:ascii="Cambria Math" w:hAnsi="Cambria Math"/>
                </w:rPr>
                <m:t>i</m:t>
              </m:r>
            </m:sub>
          </m:sSub>
        </m:oMath>
      </m:oMathPara>
    </w:p>
    <w:p w14:paraId="6E0E2CA1" w14:textId="77E3CC33" w:rsidR="00985A0E" w:rsidRPr="00B72B84" w:rsidRDefault="00985A0E" w:rsidP="00B72B84">
      <w:r w:rsidRPr="00B72B84">
        <w:t xml:space="preserve">The model included </w:t>
      </w:r>
      <w:r w:rsidR="00E6099D" w:rsidRPr="00B72B84">
        <w:t>3 </w:t>
      </w:r>
      <w:r w:rsidRPr="00B72B84">
        <w:t>sets of covariates: Charity size (based on 2023 AIS data)</w:t>
      </w:r>
      <w:r w:rsidR="004E4F1C" w:rsidRPr="00B72B84">
        <w:t xml:space="preserve"> (Small, Medium and Large)</w:t>
      </w:r>
      <w:r w:rsidRPr="00B72B84">
        <w:t xml:space="preserve">, </w:t>
      </w:r>
      <w:r w:rsidR="00D143E3" w:rsidRPr="00B72B84">
        <w:t>b</w:t>
      </w:r>
      <w:r w:rsidRPr="00B72B84">
        <w:t>atch number and</w:t>
      </w:r>
      <w:r w:rsidR="00C77F32" w:rsidRPr="00B72B84">
        <w:t xml:space="preserve"> </w:t>
      </w:r>
      <w:r w:rsidR="004E4F1C" w:rsidRPr="00B72B84">
        <w:t>w</w:t>
      </w:r>
      <w:r w:rsidRPr="00B72B84">
        <w:t>hether the charity submitted on time in 2023</w:t>
      </w:r>
      <w:r w:rsidR="00C77F32" w:rsidRPr="00B72B84">
        <w:t xml:space="preserve"> (Yes/No)</w:t>
      </w:r>
      <w:r w:rsidRPr="00B72B84">
        <w:t>. These covariates were mean</w:t>
      </w:r>
      <w:r w:rsidR="00C26062">
        <w:noBreakHyphen/>
      </w:r>
      <w:r w:rsidRPr="00B72B84">
        <w:t>centred. When data on a covariate was missing, the missing value was set to 0, and a separate missingness indicator was added to capture the effect of missing data on the outcome.</w:t>
      </w:r>
      <w:r w:rsidR="00E23F08" w:rsidRPr="00B72B84">
        <w:t xml:space="preserve"> The ACE a</w:t>
      </w:r>
      <w:r w:rsidRPr="00B72B84">
        <w:t>lso included interaction terms between the treatment and the covariates</w:t>
      </w:r>
      <w:r w:rsidR="006E76B7" w:rsidRPr="00B72B84">
        <w:t xml:space="preserve"> (but not the missingness indicator)</w:t>
      </w:r>
      <w:r w:rsidRPr="00B72B84">
        <w:t xml:space="preserve"> to explore whether the treatment effect varied across charity characteristics. </w:t>
      </w:r>
      <w:r w:rsidRPr="00B72B84">
        <w:lastRenderedPageBreak/>
        <w:t>Standard errors were calculated using a HC2 heteroskedasticity</w:t>
      </w:r>
      <w:r w:rsidR="00C26062">
        <w:noBreakHyphen/>
      </w:r>
      <w:r w:rsidRPr="00B72B84">
        <w:t>consistent estimator. F</w:t>
      </w:r>
      <w:r w:rsidR="00EC5CA9" w:rsidRPr="00B72B84">
        <w:t xml:space="preserve">urther information on the model is provided </w:t>
      </w:r>
      <w:r w:rsidR="00ED5CBB" w:rsidRPr="00B72B84">
        <w:t>in the</w:t>
      </w:r>
      <w:r w:rsidR="00EC5CA9" w:rsidRPr="00B72B84">
        <w:t xml:space="preserve"> PAP </w:t>
      </w:r>
      <w:r w:rsidR="00ED5CBB" w:rsidRPr="00B72B84">
        <w:t xml:space="preserve">on </w:t>
      </w:r>
      <w:r w:rsidR="00EC5CA9" w:rsidRPr="00B72B84">
        <w:t>pages 8</w:t>
      </w:r>
      <w:r w:rsidR="00C26062">
        <w:noBreakHyphen/>
      </w:r>
      <w:r w:rsidR="00EC5CA9" w:rsidRPr="00B72B84">
        <w:t xml:space="preserve">9. </w:t>
      </w:r>
    </w:p>
    <w:p w14:paraId="30D30996" w14:textId="078D49DE" w:rsidR="00985A0E" w:rsidRPr="00B72B84" w:rsidRDefault="006E76B7" w:rsidP="00B72B84">
      <w:r w:rsidRPr="00B72B84">
        <w:t xml:space="preserve">As outlined in the </w:t>
      </w:r>
      <w:r w:rsidR="00C26062">
        <w:t>‘</w:t>
      </w:r>
      <w:r w:rsidRPr="00B72B84">
        <w:t>Summary of sample</w:t>
      </w:r>
      <w:r w:rsidR="00C26062">
        <w:t>’</w:t>
      </w:r>
      <w:r w:rsidRPr="00B72B84">
        <w:t xml:space="preserve"> section above, the ACE </w:t>
      </w:r>
      <w:r w:rsidR="00985A0E" w:rsidRPr="00B72B84">
        <w:t>excluded charity size data submitted in the 2024 AIS from the model, as this information became available only after treatment assignment and was therefore potentially influenced by the intervention. For newly registered charities that were not required to submit an AIS in 2023, 2023</w:t>
      </w:r>
      <w:r w:rsidR="00C26062">
        <w:noBreakHyphen/>
      </w:r>
      <w:r w:rsidR="00985A0E" w:rsidRPr="00B72B84">
        <w:t>related covariates were naturally missing and handled accordingly within the model.</w:t>
      </w:r>
    </w:p>
    <w:tbl>
      <w:tblPr>
        <w:tblStyle w:val="ListTable3-Accent1"/>
        <w:tblW w:w="5000" w:type="pct"/>
        <w:tblLook w:val="04A0" w:firstRow="1" w:lastRow="0" w:firstColumn="1" w:lastColumn="0" w:noHBand="0" w:noVBand="1"/>
      </w:tblPr>
      <w:tblGrid>
        <w:gridCol w:w="9062"/>
      </w:tblGrid>
      <w:tr w:rsidR="002D3B7B" w14:paraId="08B13AA7" w14:textId="77777777" w:rsidTr="00C608A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7" w:type="dxa"/>
            <w:tcBorders>
              <w:bottom w:val="single" w:sz="4" w:space="0" w:color="auto"/>
              <w:right w:val="single" w:sz="4" w:space="0" w:color="auto"/>
            </w:tcBorders>
            <w:vAlign w:val="center"/>
          </w:tcPr>
          <w:p w14:paraId="78023B7E" w14:textId="7BB3F9BF" w:rsidR="002D3B7B" w:rsidRPr="00A64C91" w:rsidRDefault="00024AB7" w:rsidP="00C608AB">
            <w:pPr>
              <w:pStyle w:val="TableMainHeading"/>
              <w:rPr>
                <w:b w:val="0"/>
              </w:rPr>
            </w:pPr>
            <w:r w:rsidRPr="003A7510">
              <w:rPr>
                <w:color w:val="FFFFFF" w:themeColor="background1"/>
              </w:rPr>
              <w:t>Deviation from PAP</w:t>
            </w:r>
          </w:p>
        </w:tc>
      </w:tr>
      <w:tr w:rsidR="002D3B7B" w14:paraId="1CDF53A7" w14:textId="77777777" w:rsidTr="00024A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Borders>
              <w:top w:val="single" w:sz="4" w:space="0" w:color="auto"/>
              <w:right w:val="single" w:sz="4" w:space="0" w:color="auto"/>
            </w:tcBorders>
          </w:tcPr>
          <w:p w14:paraId="217EE9E2" w14:textId="4EC6F810" w:rsidR="002D3B7B" w:rsidRPr="009152DE" w:rsidRDefault="006E76B7" w:rsidP="003413C0">
            <w:pPr>
              <w:rPr>
                <w:rStyle w:val="SubtleReference"/>
                <w:b w:val="0"/>
                <w:bCs w:val="0"/>
                <w:smallCaps w:val="0"/>
                <w:color w:val="auto"/>
              </w:rPr>
            </w:pPr>
            <w:r w:rsidRPr="009152DE">
              <w:rPr>
                <w:rStyle w:val="SubtleReference"/>
                <w:b w:val="0"/>
                <w:bCs w:val="0"/>
                <w:smallCaps w:val="0"/>
                <w:color w:val="auto"/>
              </w:rPr>
              <w:t xml:space="preserve">The ACE </w:t>
            </w:r>
            <w:r w:rsidR="00126EDD" w:rsidRPr="009152DE">
              <w:rPr>
                <w:rStyle w:val="SubtleReference"/>
                <w:b w:val="0"/>
                <w:bCs w:val="0"/>
                <w:smallCaps w:val="0"/>
                <w:color w:val="auto"/>
              </w:rPr>
              <w:t xml:space="preserve">did not </w:t>
            </w:r>
            <w:r w:rsidR="00613502" w:rsidRPr="009152DE">
              <w:rPr>
                <w:rStyle w:val="SubtleReference"/>
                <w:b w:val="0"/>
                <w:bCs w:val="0"/>
                <w:smallCaps w:val="0"/>
                <w:color w:val="auto"/>
              </w:rPr>
              <w:t>pre</w:t>
            </w:r>
            <w:r w:rsidR="00C26062">
              <w:rPr>
                <w:rStyle w:val="SubtleReference"/>
                <w:b w:val="0"/>
                <w:bCs w:val="0"/>
                <w:smallCaps w:val="0"/>
                <w:color w:val="auto"/>
              </w:rPr>
              <w:noBreakHyphen/>
            </w:r>
            <w:r w:rsidR="00126EDD" w:rsidRPr="009152DE">
              <w:rPr>
                <w:rStyle w:val="SubtleReference"/>
                <w:b w:val="0"/>
                <w:bCs w:val="0"/>
                <w:smallCaps w:val="0"/>
                <w:color w:val="auto"/>
              </w:rPr>
              <w:t xml:space="preserve">specify </w:t>
            </w:r>
            <w:r w:rsidR="005D01A6" w:rsidRPr="009152DE">
              <w:rPr>
                <w:rStyle w:val="SubtleReference"/>
                <w:b w:val="0"/>
                <w:bCs w:val="0"/>
                <w:smallCaps w:val="0"/>
                <w:color w:val="auto"/>
              </w:rPr>
              <w:t xml:space="preserve">that it would </w:t>
            </w:r>
            <w:r w:rsidR="00126EDD" w:rsidRPr="009152DE">
              <w:rPr>
                <w:rStyle w:val="SubtleReference"/>
                <w:b w:val="0"/>
                <w:bCs w:val="0"/>
                <w:smallCaps w:val="0"/>
                <w:color w:val="auto"/>
              </w:rPr>
              <w:t>mean</w:t>
            </w:r>
            <w:r w:rsidR="00C26062">
              <w:rPr>
                <w:rStyle w:val="SubtleReference"/>
                <w:b w:val="0"/>
                <w:bCs w:val="0"/>
                <w:smallCaps w:val="0"/>
                <w:color w:val="auto"/>
              </w:rPr>
              <w:noBreakHyphen/>
            </w:r>
            <w:r w:rsidR="009E5485" w:rsidRPr="009152DE">
              <w:rPr>
                <w:rStyle w:val="SubtleReference"/>
                <w:b w:val="0"/>
                <w:bCs w:val="0"/>
                <w:smallCaps w:val="0"/>
                <w:color w:val="auto"/>
              </w:rPr>
              <w:t>centr</w:t>
            </w:r>
            <w:r w:rsidR="005D01A6" w:rsidRPr="009152DE">
              <w:rPr>
                <w:rStyle w:val="SubtleReference"/>
                <w:b w:val="0"/>
                <w:bCs w:val="0"/>
                <w:smallCaps w:val="0"/>
                <w:color w:val="auto"/>
              </w:rPr>
              <w:t>e</w:t>
            </w:r>
            <w:r w:rsidR="00126EDD" w:rsidRPr="009152DE">
              <w:rPr>
                <w:rStyle w:val="SubtleReference"/>
                <w:b w:val="0"/>
                <w:bCs w:val="0"/>
                <w:smallCaps w:val="0"/>
                <w:color w:val="auto"/>
              </w:rPr>
              <w:t xml:space="preserve"> covariates in </w:t>
            </w:r>
            <w:r w:rsidR="005D01A6" w:rsidRPr="009152DE">
              <w:rPr>
                <w:rStyle w:val="SubtleReference"/>
                <w:b w:val="0"/>
                <w:bCs w:val="0"/>
                <w:smallCaps w:val="0"/>
                <w:color w:val="auto"/>
              </w:rPr>
              <w:t xml:space="preserve">the </w:t>
            </w:r>
            <w:r w:rsidR="00126EDD" w:rsidRPr="009152DE">
              <w:rPr>
                <w:rStyle w:val="SubtleReference"/>
                <w:b w:val="0"/>
                <w:bCs w:val="0"/>
                <w:smallCaps w:val="0"/>
                <w:color w:val="auto"/>
              </w:rPr>
              <w:t>PAP.</w:t>
            </w:r>
            <w:r w:rsidR="009E5485" w:rsidRPr="009152DE">
              <w:rPr>
                <w:rStyle w:val="SubtleReference"/>
                <w:b w:val="0"/>
                <w:bCs w:val="0"/>
                <w:smallCaps w:val="0"/>
                <w:color w:val="auto"/>
              </w:rPr>
              <w:t xml:space="preserve"> The</w:t>
            </w:r>
            <w:r w:rsidR="00B472DE" w:rsidRPr="009152DE">
              <w:rPr>
                <w:rStyle w:val="SubtleReference"/>
                <w:b w:val="0"/>
                <w:bCs w:val="0"/>
                <w:smallCaps w:val="0"/>
                <w:color w:val="auto"/>
              </w:rPr>
              <w:t xml:space="preserve"> </w:t>
            </w:r>
            <w:r w:rsidR="009E5485" w:rsidRPr="009152DE">
              <w:rPr>
                <w:rStyle w:val="SubtleReference"/>
                <w:b w:val="0"/>
                <w:bCs w:val="0"/>
                <w:smallCaps w:val="0"/>
                <w:color w:val="auto"/>
              </w:rPr>
              <w:t>ACE mean</w:t>
            </w:r>
            <w:r w:rsidR="00C26062">
              <w:rPr>
                <w:rStyle w:val="SubtleReference"/>
                <w:b w:val="0"/>
                <w:bCs w:val="0"/>
                <w:smallCaps w:val="0"/>
                <w:color w:val="auto"/>
              </w:rPr>
              <w:noBreakHyphen/>
            </w:r>
            <w:r w:rsidR="009E5485" w:rsidRPr="009152DE">
              <w:rPr>
                <w:rStyle w:val="SubtleReference"/>
                <w:b w:val="0"/>
                <w:bCs w:val="0"/>
                <w:smallCaps w:val="0"/>
                <w:color w:val="auto"/>
              </w:rPr>
              <w:t>centred the covariates to improve interpretability and reduce multicollinearity</w:t>
            </w:r>
            <w:r w:rsidR="005D01A6" w:rsidRPr="009152DE">
              <w:rPr>
                <w:rStyle w:val="SubtleReference"/>
                <w:b w:val="0"/>
                <w:bCs w:val="0"/>
                <w:smallCaps w:val="0"/>
                <w:color w:val="auto"/>
              </w:rPr>
              <w:t>. This deviation</w:t>
            </w:r>
            <w:r w:rsidR="009E5485" w:rsidRPr="009152DE">
              <w:rPr>
                <w:rStyle w:val="SubtleReference"/>
                <w:b w:val="0"/>
                <w:bCs w:val="0"/>
                <w:smallCaps w:val="0"/>
                <w:color w:val="auto"/>
              </w:rPr>
              <w:t xml:space="preserve"> did not change the results.</w:t>
            </w:r>
          </w:p>
        </w:tc>
      </w:tr>
    </w:tbl>
    <w:p w14:paraId="59089473" w14:textId="1AEAA0B8" w:rsidR="009D4D15" w:rsidRDefault="005D01A6" w:rsidP="00CE2D7C">
      <w:pPr>
        <w:pStyle w:val="Heading3"/>
      </w:pPr>
      <w:r>
        <w:t>Hypothesis and r</w:t>
      </w:r>
      <w:r w:rsidR="009D4D15">
        <w:t xml:space="preserve">egression </w:t>
      </w:r>
      <w:r w:rsidR="00B44F2A">
        <w:t>outputs</w:t>
      </w:r>
    </w:p>
    <w:p w14:paraId="11014793" w14:textId="7AADCF96" w:rsidR="007E0205" w:rsidRDefault="00D02594" w:rsidP="007E0205">
      <w:r>
        <w:t>The main hypothesis was that the on</w:t>
      </w:r>
      <w:r w:rsidR="00C26062">
        <w:noBreakHyphen/>
      </w:r>
      <w:r>
        <w:t>time submission rate w</w:t>
      </w:r>
      <w:r w:rsidR="0018167B">
        <w:t>ould be higher in the treatment group (</w:t>
      </w:r>
      <w:r w:rsidR="006E76B7">
        <w:t xml:space="preserve">who </w:t>
      </w:r>
      <w:r w:rsidR="0018167B">
        <w:t>receiv</w:t>
      </w:r>
      <w:r w:rsidR="006E76B7">
        <w:t>ed an</w:t>
      </w:r>
      <w:r w:rsidR="0018167B">
        <w:t xml:space="preserve"> additional email reminder</w:t>
      </w:r>
      <w:r w:rsidR="006E76B7">
        <w:t xml:space="preserve"> to the </w:t>
      </w:r>
      <w:r w:rsidR="003D0C3B">
        <w:t>Responsible Person</w:t>
      </w:r>
      <w:r w:rsidR="0018167B">
        <w:t>) compared to the control group</w:t>
      </w:r>
      <w:r w:rsidR="00F81D18">
        <w:t xml:space="preserve">. </w:t>
      </w:r>
      <w:r w:rsidR="00FF442A">
        <w:t xml:space="preserve">Figure 5 </w:t>
      </w:r>
      <w:r w:rsidR="006E76B7">
        <w:t xml:space="preserve">shows </w:t>
      </w:r>
      <w:r w:rsidR="007E0205">
        <w:t>t</w:t>
      </w:r>
      <w:r w:rsidR="007E0205" w:rsidRPr="007E0205">
        <w:t xml:space="preserve">he estimated effect of </w:t>
      </w:r>
      <w:r w:rsidR="007E0205">
        <w:t xml:space="preserve">treatment and </w:t>
      </w:r>
      <w:r w:rsidR="007E0205" w:rsidRPr="007E0205">
        <w:t xml:space="preserve">each </w:t>
      </w:r>
      <w:r w:rsidR="007E0205">
        <w:t>of the cov</w:t>
      </w:r>
      <w:r w:rsidR="007E0205" w:rsidRPr="007E0205">
        <w:t>aria</w:t>
      </w:r>
      <w:r w:rsidR="007E0205">
        <w:t>tes</w:t>
      </w:r>
      <w:r w:rsidR="007E0205" w:rsidRPr="007E0205">
        <w:t xml:space="preserve"> on the likelihood that a charity submitted its </w:t>
      </w:r>
      <w:r w:rsidR="006E76B7">
        <w:t>AIS</w:t>
      </w:r>
      <w:r w:rsidR="007E0205" w:rsidRPr="007E0205">
        <w:t xml:space="preserve"> on time. </w:t>
      </w:r>
    </w:p>
    <w:p w14:paraId="6B720B7B" w14:textId="7E90E59F" w:rsidR="006E76B7" w:rsidRPr="007E0205" w:rsidRDefault="006E76B7" w:rsidP="007E0205">
      <w:r>
        <w:t xml:space="preserve">The coefficients from the primary regression model </w:t>
      </w:r>
      <w:r w:rsidR="00F517C0">
        <w:t>(as seen in Figure</w:t>
      </w:r>
      <w:r w:rsidR="00F708A0">
        <w:t> 7</w:t>
      </w:r>
      <w:r w:rsidR="00F517C0">
        <w:t>) show</w:t>
      </w:r>
      <w:r>
        <w:t>:</w:t>
      </w:r>
    </w:p>
    <w:p w14:paraId="79237EE8" w14:textId="4FB67FE4" w:rsidR="007E0205" w:rsidRPr="00BD010E" w:rsidRDefault="007E0205" w:rsidP="00BD010E">
      <w:pPr>
        <w:pStyle w:val="Bullet"/>
      </w:pPr>
      <w:r w:rsidRPr="00BD010E">
        <w:rPr>
          <w:b/>
          <w:bCs/>
        </w:rPr>
        <w:t xml:space="preserve">Past behaviour </w:t>
      </w:r>
      <w:r w:rsidR="005959A2" w:rsidRPr="00BD010E">
        <w:rPr>
          <w:b/>
          <w:bCs/>
        </w:rPr>
        <w:t>wa</w:t>
      </w:r>
      <w:r w:rsidRPr="00BD010E">
        <w:rPr>
          <w:b/>
          <w:bCs/>
        </w:rPr>
        <w:t>s the strongest predictor</w:t>
      </w:r>
      <w:r w:rsidR="005959A2" w:rsidRPr="00BD010E">
        <w:rPr>
          <w:b/>
          <w:bCs/>
        </w:rPr>
        <w:t xml:space="preserve"> of on</w:t>
      </w:r>
      <w:r w:rsidR="00C26062">
        <w:rPr>
          <w:b/>
          <w:bCs/>
        </w:rPr>
        <w:noBreakHyphen/>
      </w:r>
      <w:r w:rsidR="005959A2" w:rsidRPr="00BD010E">
        <w:rPr>
          <w:b/>
          <w:bCs/>
        </w:rPr>
        <w:t>time AIS submissions</w:t>
      </w:r>
      <w:r w:rsidRPr="00BD010E">
        <w:t>: Charities that submitted on time in 2023 were significantly more likely to submit on time in 2024. This variable has the largest positive effect in the model.</w:t>
      </w:r>
    </w:p>
    <w:p w14:paraId="61C88670" w14:textId="0ACE068D" w:rsidR="007E0205" w:rsidRPr="00BD010E" w:rsidRDefault="007E0205" w:rsidP="00BD010E">
      <w:pPr>
        <w:pStyle w:val="Bullet"/>
      </w:pPr>
      <w:r w:rsidRPr="00BD010E">
        <w:rPr>
          <w:b/>
          <w:bCs/>
        </w:rPr>
        <w:t>Treatment had a positive impact</w:t>
      </w:r>
      <w:r w:rsidRPr="00BD010E">
        <w:t>: Receiving the additional email reminder was associated with a higher rate of on</w:t>
      </w:r>
      <w:r w:rsidR="00C26062">
        <w:noBreakHyphen/>
      </w:r>
      <w:r w:rsidRPr="00BD010E">
        <w:t>time submission, even after accounting for other factors.</w:t>
      </w:r>
    </w:p>
    <w:p w14:paraId="64DA4FC6" w14:textId="77777777" w:rsidR="007E0205" w:rsidRPr="00BD010E" w:rsidRDefault="007E0205" w:rsidP="00BD010E">
      <w:pPr>
        <w:pStyle w:val="Bullet"/>
      </w:pPr>
      <w:r w:rsidRPr="00BD010E">
        <w:rPr>
          <w:b/>
          <w:bCs/>
        </w:rPr>
        <w:t>Charity size matters</w:t>
      </w:r>
      <w:r w:rsidRPr="00BD010E">
        <w:t>: Small and medium charities were slightly less likely to submit on time than large charities (the reference group), as shown by the negative coefficients. However, their interaction with treatment was not statistically significant, suggesting the treatment effect was similar across different charity sizes.</w:t>
      </w:r>
    </w:p>
    <w:p w14:paraId="26335E03" w14:textId="6A56C4F6" w:rsidR="007E0205" w:rsidRPr="00BD010E" w:rsidRDefault="007E0205" w:rsidP="00BD010E">
      <w:pPr>
        <w:pStyle w:val="Bullet"/>
      </w:pPr>
      <w:r w:rsidRPr="00BD010E">
        <w:rPr>
          <w:b/>
          <w:bCs/>
        </w:rPr>
        <w:t xml:space="preserve">Batch effects </w:t>
      </w:r>
      <w:r w:rsidR="00F517C0" w:rsidRPr="00BD010E">
        <w:rPr>
          <w:b/>
          <w:bCs/>
        </w:rPr>
        <w:t>we</w:t>
      </w:r>
      <w:r w:rsidRPr="00BD010E">
        <w:rPr>
          <w:b/>
          <w:bCs/>
        </w:rPr>
        <w:t>re minimal</w:t>
      </w:r>
      <w:r w:rsidRPr="00BD010E">
        <w:t>: The batch number (which reflects when charities received the email) had a small influence on outcomes, and the interaction between treatment and batch was also small, suggesting the timing of when charities received the reminder within the rollout period did not strongly affect the results.</w:t>
      </w:r>
    </w:p>
    <w:p w14:paraId="1BAA4EF7" w14:textId="77777777" w:rsidR="007E0205" w:rsidRPr="00BD010E" w:rsidRDefault="007E0205" w:rsidP="00BD010E">
      <w:pPr>
        <w:pStyle w:val="Bullet"/>
      </w:pPr>
      <w:r w:rsidRPr="00BD010E">
        <w:rPr>
          <w:b/>
          <w:bCs/>
        </w:rPr>
        <w:t>No strong moderation effects</w:t>
      </w:r>
      <w:r w:rsidRPr="00BD010E">
        <w:t>: Interaction terms between treatment and other variables (charity size, past submission status, batch) show no large or statistically significant shifts, suggesting the treatment effect was relatively stable across different subgroups.</w:t>
      </w:r>
    </w:p>
    <w:p w14:paraId="48297B7C" w14:textId="437C9CEF" w:rsidR="008D3EFB" w:rsidRPr="00BA04CB" w:rsidRDefault="00DE67A4" w:rsidP="00BA04CB">
      <w:pPr>
        <w:pStyle w:val="ChartMainHeading"/>
      </w:pPr>
      <w:r w:rsidRPr="00BA04CB">
        <w:lastRenderedPageBreak/>
        <w:t xml:space="preserve">Figure </w:t>
      </w:r>
      <w:r w:rsidR="00D17D3C" w:rsidRPr="00BA04CB">
        <w:t>7</w:t>
      </w:r>
      <w:r w:rsidRPr="00BA04CB">
        <w:t>.</w:t>
      </w:r>
      <w:r w:rsidR="00377328" w:rsidRPr="00BA04CB">
        <w:t xml:space="preserve"> Coefficient </w:t>
      </w:r>
      <w:r w:rsidR="007355F2" w:rsidRPr="00BA04CB">
        <w:t>p</w:t>
      </w:r>
      <w:r w:rsidR="00377328" w:rsidRPr="00BA04CB">
        <w:t xml:space="preserve">lots for </w:t>
      </w:r>
      <w:r w:rsidR="007355F2" w:rsidRPr="00BA04CB">
        <w:t>p</w:t>
      </w:r>
      <w:r w:rsidR="00377328" w:rsidRPr="00BA04CB">
        <w:t xml:space="preserve">rimary </w:t>
      </w:r>
      <w:r w:rsidR="007355F2" w:rsidRPr="00BA04CB">
        <w:t>a</w:t>
      </w:r>
      <w:r w:rsidR="00377328" w:rsidRPr="00BA04CB">
        <w:t>nalysis</w:t>
      </w:r>
    </w:p>
    <w:p w14:paraId="6FCA27DF" w14:textId="13F1772A" w:rsidR="00DE67A4" w:rsidRDefault="00377328" w:rsidP="00BA04CB">
      <w:pPr>
        <w:pStyle w:val="ChartGraphic"/>
      </w:pPr>
      <w:r>
        <w:rPr>
          <w:noProof/>
        </w:rPr>
        <w:drawing>
          <wp:inline distT="0" distB="0" distL="0" distR="0" wp14:anchorId="081F9A91" wp14:editId="19CA14E2">
            <wp:extent cx="5756400" cy="2516400"/>
            <wp:effectExtent l="0" t="0" r="0" b="0"/>
            <wp:docPr id="1377906191" name="Picture 31" descr="This dot-and-whisker plot shows coefficient estimates and confidence intervals from a regression model predicting on-time AIS submission. The strongest positive predictor is prior on-time submission in 2023, with a coefficient estimate of approximately 0.4. The treatment effect is also positive, with a coefficient just under 0.1. Other variables with small positive estimates include the missing data indicator, treatment interactions with small and medium charity sizes, batch number, and treatment by batch number. The interaction between treatment and 2023 on-time submission is close to zero. Being a small charity has a negative coefficient of approximately -0.2, while being medium-sized is slightly negative. Error bars indicate 95% confidence intervals around each estim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906191" name="Picture 31" descr="This dot-and-whisker plot shows coefficient estimates and confidence intervals from a regression model predicting on-time AIS submission. The strongest positive predictor is prior on-time submission in 2023, with a coefficient estimate of approximately 0.4. The treatment effect is also positive, with a coefficient just under 0.1. Other variables with small positive estimates include the missing data indicator, treatment interactions with small and medium charity sizes, batch number, and treatment by batch number. The interaction between treatment and 2023 on-time submission is close to zero. Being a small charity has a negative coefficient of approximately -0.2, while being medium-sized is slightly negative. Error bars indicate 95% confidence intervals around each estimate."/>
                    <pic:cNvPicPr/>
                  </pic:nvPicPr>
                  <pic:blipFill>
                    <a:blip r:embed="rId47" cstate="print">
                      <a:extLst>
                        <a:ext uri="{28A0092B-C50C-407E-A947-70E740481C1C}">
                          <a14:useLocalDpi xmlns:a14="http://schemas.microsoft.com/office/drawing/2010/main" val="0"/>
                        </a:ext>
                      </a:extLst>
                    </a:blip>
                    <a:stretch>
                      <a:fillRect/>
                    </a:stretch>
                  </pic:blipFill>
                  <pic:spPr>
                    <a:xfrm>
                      <a:off x="0" y="0"/>
                      <a:ext cx="5756400" cy="2516400"/>
                    </a:xfrm>
                    <a:prstGeom prst="rect">
                      <a:avLst/>
                    </a:prstGeom>
                  </pic:spPr>
                </pic:pic>
              </a:graphicData>
            </a:graphic>
          </wp:inline>
        </w:drawing>
      </w:r>
    </w:p>
    <w:p w14:paraId="417E917F" w14:textId="0F0B7CD2" w:rsidR="00A66A65" w:rsidRPr="00BA04CB" w:rsidRDefault="00A66A65" w:rsidP="00BA04CB">
      <w:pPr>
        <w:pStyle w:val="ChartorTableNote"/>
      </w:pPr>
      <w:r w:rsidRPr="00BA04CB">
        <w:t>Source: Primary regression of on</w:t>
      </w:r>
      <w:r w:rsidR="00C26062">
        <w:noBreakHyphen/>
      </w:r>
      <w:r w:rsidR="00433536" w:rsidRPr="00BA04CB">
        <w:t>t</w:t>
      </w:r>
      <w:r w:rsidRPr="00BA04CB">
        <w:t>ime submission on treatment status of charities submitting 2024 AIS. N=15,000</w:t>
      </w:r>
    </w:p>
    <w:p w14:paraId="7EC09482" w14:textId="22D4C4FB" w:rsidR="00CE2D7C" w:rsidRDefault="009D4D15" w:rsidP="00CE2D7C">
      <w:pPr>
        <w:pStyle w:val="Heading3"/>
      </w:pPr>
      <w:r>
        <w:t>R</w:t>
      </w:r>
      <w:r w:rsidR="00CE2D7C">
        <w:t>obustness check</w:t>
      </w:r>
      <w:r w:rsidR="00F517C0">
        <w:t>s</w:t>
      </w:r>
      <w:r w:rsidR="00CE2D7C">
        <w:t xml:space="preserve"> </w:t>
      </w:r>
    </w:p>
    <w:p w14:paraId="4BF2F66D" w14:textId="77F068D1" w:rsidR="00ED0395" w:rsidRDefault="00DB545E" w:rsidP="00CE2D7C">
      <w:r>
        <w:t xml:space="preserve">To ensure the robustness of the findings, </w:t>
      </w:r>
      <w:r w:rsidR="00F517C0">
        <w:t>the ACE</w:t>
      </w:r>
      <w:r>
        <w:t xml:space="preserve"> tested several alternative modelling choices. </w:t>
      </w:r>
    </w:p>
    <w:p w14:paraId="41204C4D" w14:textId="551DEEBE" w:rsidR="00CE2D7C" w:rsidRDefault="00F517C0" w:rsidP="00E5318A">
      <w:pPr>
        <w:pStyle w:val="Bullet"/>
      </w:pPr>
      <w:r>
        <w:t xml:space="preserve">Estimation of the main specification using a logistic regression model, instead of a linear probability model (see PAP page 13 for further details). </w:t>
      </w:r>
      <w:r w:rsidR="00747416">
        <w:t xml:space="preserve">The </w:t>
      </w:r>
      <w:r w:rsidR="00327C20">
        <w:t xml:space="preserve">evaluation findings were unaffected, with </w:t>
      </w:r>
      <w:r w:rsidR="00613502">
        <w:t>statistically significant</w:t>
      </w:r>
      <w:r w:rsidR="00747416">
        <w:t xml:space="preserve"> results </w:t>
      </w:r>
      <w:r w:rsidR="00613502">
        <w:t>in</w:t>
      </w:r>
      <w:r w:rsidR="00113E2A">
        <w:t xml:space="preserve"> the same</w:t>
      </w:r>
      <w:r w:rsidR="00613502">
        <w:t xml:space="preserve"> </w:t>
      </w:r>
      <w:r w:rsidR="00113E2A">
        <w:t>direction</w:t>
      </w:r>
      <w:r w:rsidR="00613502">
        <w:t xml:space="preserve"> and with very similar effect sizes</w:t>
      </w:r>
      <w:r w:rsidR="00113E2A">
        <w:t xml:space="preserve">, indicating that </w:t>
      </w:r>
      <w:r>
        <w:t xml:space="preserve">the findings reported here </w:t>
      </w:r>
      <w:r w:rsidR="00113E2A">
        <w:t>are not sensitive to the choice of regression framework.</w:t>
      </w:r>
    </w:p>
    <w:p w14:paraId="4ED0389E" w14:textId="23A6B97F" w:rsidR="00FF163A" w:rsidRPr="00CE2D7C" w:rsidRDefault="00653609" w:rsidP="00E5318A">
      <w:pPr>
        <w:pStyle w:val="Bullet"/>
      </w:pPr>
      <w:r>
        <w:t xml:space="preserve">Reclassification of charities with extended AIS deadlines as </w:t>
      </w:r>
      <w:r w:rsidR="00C26062">
        <w:t>‘</w:t>
      </w:r>
      <w:r>
        <w:t>on</w:t>
      </w:r>
      <w:r w:rsidR="00C26062">
        <w:noBreakHyphen/>
      </w:r>
      <w:r>
        <w:t>time</w:t>
      </w:r>
      <w:r w:rsidR="00C26062">
        <w:t>’</w:t>
      </w:r>
      <w:r>
        <w:t xml:space="preserve"> rather than </w:t>
      </w:r>
      <w:r w:rsidR="00C26062">
        <w:t>‘</w:t>
      </w:r>
      <w:r>
        <w:t>late</w:t>
      </w:r>
      <w:r w:rsidR="00C26062">
        <w:t>’</w:t>
      </w:r>
      <w:r>
        <w:t xml:space="preserve">. This reflected the potential adjusted reporting behaviour in response to the additional email reminder (that is, it is plausible that some charities requested a deadline </w:t>
      </w:r>
      <w:r w:rsidR="00C4018F">
        <w:t xml:space="preserve">shift in response to the additional reminder, rather than </w:t>
      </w:r>
      <w:r w:rsidR="004A4738">
        <w:t xml:space="preserve">submitting the AIS). </w:t>
      </w:r>
      <w:r w:rsidR="00331C04">
        <w:t xml:space="preserve">This change also did not materially affect the estimated impact of the </w:t>
      </w:r>
      <w:r w:rsidR="004A4738">
        <w:t xml:space="preserve">additional email </w:t>
      </w:r>
      <w:r w:rsidR="00331C04">
        <w:t>reminder</w:t>
      </w:r>
      <w:r w:rsidR="004A4738">
        <w:t xml:space="preserve"> to a</w:t>
      </w:r>
      <w:r w:rsidR="00613502">
        <w:t xml:space="preserve"> </w:t>
      </w:r>
      <w:r w:rsidR="004A4738">
        <w:t>R</w:t>
      </w:r>
      <w:r w:rsidR="00613502">
        <w:t>esponsible Person</w:t>
      </w:r>
      <w:r w:rsidR="005D5A7E">
        <w:t>.</w:t>
      </w:r>
    </w:p>
    <w:p w14:paraId="57F26833" w14:textId="5B320AF8" w:rsidR="00221BFF" w:rsidRDefault="00221BFF" w:rsidP="00077B8B">
      <w:pPr>
        <w:pStyle w:val="Heading2"/>
        <w:rPr>
          <w:iCs w:val="0"/>
        </w:rPr>
      </w:pPr>
      <w:bookmarkStart w:id="52" w:name="_Toc197603353"/>
      <w:bookmarkStart w:id="53" w:name="_Toc207712041"/>
      <w:r>
        <w:t>S</w:t>
      </w:r>
      <w:r>
        <w:rPr>
          <w:iCs w:val="0"/>
        </w:rPr>
        <w:t>econdary analysis</w:t>
      </w:r>
      <w:bookmarkEnd w:id="52"/>
      <w:bookmarkEnd w:id="53"/>
    </w:p>
    <w:p w14:paraId="3D854BB4" w14:textId="77777777" w:rsidR="00B32F2B" w:rsidRPr="005310D2" w:rsidRDefault="00B32F2B" w:rsidP="00B32F2B">
      <w:pPr>
        <w:pStyle w:val="Heading3"/>
      </w:pPr>
      <w:r>
        <w:t>Model specification</w:t>
      </w:r>
    </w:p>
    <w:p w14:paraId="3A675666" w14:textId="02326236" w:rsidR="004306F8" w:rsidRPr="004306F8" w:rsidRDefault="004306F8" w:rsidP="004306F8">
      <w:r w:rsidRPr="004306F8">
        <w:t xml:space="preserve">To analyse the timing of AIS submissions, </w:t>
      </w:r>
      <w:r w:rsidR="00E61972">
        <w:t>the ACE</w:t>
      </w:r>
      <w:r w:rsidR="00E61972" w:rsidRPr="004306F8">
        <w:t xml:space="preserve"> </w:t>
      </w:r>
      <w:r w:rsidRPr="004306F8">
        <w:t>used Kaplan</w:t>
      </w:r>
      <w:r w:rsidR="00C26062">
        <w:noBreakHyphen/>
      </w:r>
      <w:r w:rsidRPr="004306F8">
        <w:t>Meier survival analysis. This method estimate</w:t>
      </w:r>
      <w:r w:rsidR="00E61972">
        <w:t>s</w:t>
      </w:r>
      <w:r w:rsidRPr="004306F8">
        <w:t xml:space="preserve"> the probability that a charity ha</w:t>
      </w:r>
      <w:r w:rsidR="00B45480" w:rsidRPr="00B45480">
        <w:t>d</w:t>
      </w:r>
      <w:r w:rsidRPr="004306F8">
        <w:t xml:space="preserve"> not yet submitted its AIS by each day following the reminder email. It account</w:t>
      </w:r>
      <w:r w:rsidR="00E61972">
        <w:t>ed</w:t>
      </w:r>
      <w:r w:rsidRPr="004306F8">
        <w:t xml:space="preserve"> for differences in when charities received the email, as well as the fact that some charities may not have submitted at all by the end of the observation period.</w:t>
      </w:r>
    </w:p>
    <w:p w14:paraId="296A4865" w14:textId="11869CF3" w:rsidR="004306F8" w:rsidRPr="004306F8" w:rsidRDefault="004306F8" w:rsidP="004306F8">
      <w:r w:rsidRPr="004306F8">
        <w:t xml:space="preserve">The analysis compares the cumulative submission patterns of the treatment and control groups over time, allowing </w:t>
      </w:r>
      <w:r w:rsidR="00E61972">
        <w:t xml:space="preserve">an examination of </w:t>
      </w:r>
      <w:r w:rsidRPr="004306F8">
        <w:t xml:space="preserve">not just whether charities submitted, but when they submitted. Median time to submission was also calculated for each group. All survival curves were estimated using the </w:t>
      </w:r>
      <w:proofErr w:type="spellStart"/>
      <w:r w:rsidRPr="00EE12BB">
        <w:rPr>
          <w:i/>
        </w:rPr>
        <w:t>survfit</w:t>
      </w:r>
      <w:proofErr w:type="spellEnd"/>
      <w:r w:rsidRPr="004306F8">
        <w:t>() function in R, and differences between groups were tested using log</w:t>
      </w:r>
      <w:r w:rsidR="00C26062">
        <w:noBreakHyphen/>
      </w:r>
      <w:r w:rsidRPr="004306F8">
        <w:t>rank tests.</w:t>
      </w:r>
    </w:p>
    <w:p w14:paraId="2F94E59D" w14:textId="6278FD38" w:rsidR="00077B8B" w:rsidRPr="0077527A" w:rsidRDefault="009D5F0B" w:rsidP="00DC07B7">
      <w:r>
        <w:t xml:space="preserve">For more information on the model, </w:t>
      </w:r>
      <w:r w:rsidRPr="00246987">
        <w:t xml:space="preserve">refer to </w:t>
      </w:r>
      <w:r w:rsidR="003D0C3B">
        <w:t xml:space="preserve">the </w:t>
      </w:r>
      <w:r w:rsidRPr="00246987">
        <w:t>PAP</w:t>
      </w:r>
      <w:r w:rsidR="003D0C3B">
        <w:t>,</w:t>
      </w:r>
      <w:r w:rsidRPr="00246987">
        <w:t xml:space="preserve"> page </w:t>
      </w:r>
      <w:r>
        <w:t>9.</w:t>
      </w:r>
    </w:p>
    <w:p w14:paraId="70284D4D" w14:textId="25A34577" w:rsidR="00B45480" w:rsidRDefault="00B45480" w:rsidP="00B45480">
      <w:pPr>
        <w:pStyle w:val="Heading3"/>
      </w:pPr>
      <w:r>
        <w:lastRenderedPageBreak/>
        <w:t xml:space="preserve">Regression </w:t>
      </w:r>
      <w:r w:rsidR="00B44F2A">
        <w:t>outputs</w:t>
      </w:r>
    </w:p>
    <w:p w14:paraId="0C1DC2AF" w14:textId="6DA131D7" w:rsidR="006F487B" w:rsidRPr="0061706F" w:rsidRDefault="006F487B" w:rsidP="0061706F">
      <w:pPr>
        <w:pStyle w:val="ChartMainHeading"/>
      </w:pPr>
      <w:r w:rsidRPr="0061706F">
        <w:t xml:space="preserve">Figure </w:t>
      </w:r>
      <w:r w:rsidR="00D17D3C" w:rsidRPr="0061706F">
        <w:t>8</w:t>
      </w:r>
      <w:r w:rsidR="00D27764" w:rsidRPr="0061706F">
        <w:t>.</w:t>
      </w:r>
      <w:r w:rsidR="00FF7465" w:rsidRPr="0061706F">
        <w:t xml:space="preserve"> </w:t>
      </w:r>
      <w:r w:rsidR="00CC57AC" w:rsidRPr="0061706F">
        <w:t>Kaplan</w:t>
      </w:r>
      <w:r w:rsidR="00BA091A">
        <w:t>-</w:t>
      </w:r>
      <w:r w:rsidR="00CC57AC" w:rsidRPr="0061706F">
        <w:t>Meier curve showing time to 2024 AIS submission by treatment</w:t>
      </w:r>
      <w:r w:rsidR="0061706F">
        <w:t> </w:t>
      </w:r>
      <w:r w:rsidR="00CC57AC" w:rsidRPr="0061706F">
        <w:t>groups</w:t>
      </w:r>
    </w:p>
    <w:p w14:paraId="32E117D9" w14:textId="4B79BA7F" w:rsidR="00EC2497" w:rsidRPr="00EC2497" w:rsidRDefault="007C036C" w:rsidP="0061706F">
      <w:pPr>
        <w:pStyle w:val="ChartGraphic"/>
      </w:pPr>
      <w:r>
        <w:rPr>
          <w:noProof/>
        </w:rPr>
        <w:drawing>
          <wp:inline distT="0" distB="0" distL="0" distR="0" wp14:anchorId="17F4775A" wp14:editId="7767A5E2">
            <wp:extent cx="5757684" cy="2517653"/>
            <wp:effectExtent l="0" t="0" r="0" b="0"/>
            <wp:docPr id="2131642612" name="Picture 1" descr="This Kaplan-Meier survival plot shows the proportion of charities that had not submitted their AIS over time between 3 January and 31 January 2025. The treatment group shows a steeper decline, indicating earlier submiss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642612" name="Picture 1" descr="This Kaplan-Meier survival plot shows the proportion of charities that had not submitted their AIS over time between 3 January and 31 January 2025. The treatment group shows a steeper decline, indicating earlier submissions. "/>
                    <pic:cNvPicPr/>
                  </pic:nvPicPr>
                  <pic:blipFill>
                    <a:blip r:embed="rId48" cstate="print">
                      <a:extLst>
                        <a:ext uri="{28A0092B-C50C-407E-A947-70E740481C1C}">
                          <a14:useLocalDpi xmlns:a14="http://schemas.microsoft.com/office/drawing/2010/main" val="0"/>
                        </a:ext>
                      </a:extLst>
                    </a:blip>
                    <a:stretch>
                      <a:fillRect/>
                    </a:stretch>
                  </pic:blipFill>
                  <pic:spPr>
                    <a:xfrm>
                      <a:off x="0" y="0"/>
                      <a:ext cx="5757684" cy="2517653"/>
                    </a:xfrm>
                    <a:prstGeom prst="rect">
                      <a:avLst/>
                    </a:prstGeom>
                  </pic:spPr>
                </pic:pic>
              </a:graphicData>
            </a:graphic>
          </wp:inline>
        </w:drawing>
      </w:r>
    </w:p>
    <w:p w14:paraId="0B5DDE51" w14:textId="338C612F" w:rsidR="006A23C9" w:rsidRPr="00A40F4A" w:rsidRDefault="006A23C9" w:rsidP="008F2597">
      <w:pPr>
        <w:pStyle w:val="ChartorTableNote"/>
      </w:pPr>
      <w:r w:rsidRPr="00A40F4A">
        <w:t xml:space="preserve">Source: </w:t>
      </w:r>
      <w:r>
        <w:t>Kaplan Meier survival analysis</w:t>
      </w:r>
      <w:r w:rsidRPr="00A40F4A">
        <w:t xml:space="preserve">. </w:t>
      </w:r>
    </w:p>
    <w:p w14:paraId="0162A679" w14:textId="4611F9CF" w:rsidR="0055624A" w:rsidRDefault="00077B8B" w:rsidP="00077B8B">
      <w:r w:rsidRPr="00324B89">
        <w:t xml:space="preserve">In survival analysis, a lower curve means the event (submission) is happening faster. </w:t>
      </w:r>
      <w:r>
        <w:t xml:space="preserve">In Figure </w:t>
      </w:r>
      <w:r w:rsidR="00894535">
        <w:t>8</w:t>
      </w:r>
      <w:r>
        <w:t xml:space="preserve">, </w:t>
      </w:r>
      <w:r w:rsidRPr="00324B89">
        <w:t>the treatment curve drop</w:t>
      </w:r>
      <w:r>
        <w:t xml:space="preserve">ped </w:t>
      </w:r>
      <w:r w:rsidRPr="00324B89">
        <w:t>more quickly and stays below the control curve</w:t>
      </w:r>
      <w:r w:rsidR="00884EE5">
        <w:t xml:space="preserve">. This demonstrates that </w:t>
      </w:r>
      <w:r w:rsidRPr="00324B89">
        <w:t>a higher proportion of treated charities ha</w:t>
      </w:r>
      <w:r>
        <w:t>d</w:t>
      </w:r>
      <w:r w:rsidRPr="00324B89">
        <w:t xml:space="preserve"> already submitted at each </w:t>
      </w:r>
      <w:r w:rsidR="0065420E">
        <w:t>day</w:t>
      </w:r>
      <w:r w:rsidR="00A81267">
        <w:t xml:space="preserve"> compared to control charities</w:t>
      </w:r>
      <w:r w:rsidRPr="00324B89">
        <w:t>.</w:t>
      </w:r>
    </w:p>
    <w:tbl>
      <w:tblPr>
        <w:tblStyle w:val="ListTable3-Accent1"/>
        <w:tblW w:w="5000" w:type="pct"/>
        <w:tblLook w:val="04A0" w:firstRow="1" w:lastRow="0" w:firstColumn="1" w:lastColumn="0" w:noHBand="0" w:noVBand="1"/>
      </w:tblPr>
      <w:tblGrid>
        <w:gridCol w:w="9062"/>
      </w:tblGrid>
      <w:tr w:rsidR="0055624A" w14:paraId="709E1BF6" w14:textId="77777777" w:rsidTr="006170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single" w:sz="4" w:space="0" w:color="auto"/>
              <w:right w:val="single" w:sz="4" w:space="0" w:color="auto"/>
            </w:tcBorders>
          </w:tcPr>
          <w:p w14:paraId="615AB9FD" w14:textId="77777777" w:rsidR="0055624A" w:rsidRPr="00193BBE" w:rsidRDefault="0055624A" w:rsidP="003C2908">
            <w:pPr>
              <w:pStyle w:val="TableMainHeading"/>
              <w:rPr>
                <w:b w:val="0"/>
              </w:rPr>
            </w:pPr>
            <w:r w:rsidRPr="003C2908">
              <w:rPr>
                <w:color w:val="FFFFFF" w:themeColor="background1"/>
              </w:rPr>
              <w:t xml:space="preserve">Deviation from PAP: </w:t>
            </w:r>
          </w:p>
        </w:tc>
      </w:tr>
      <w:tr w:rsidR="0055624A" w14:paraId="2F09043D" w14:textId="77777777" w:rsidTr="006170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9" w:type="dxa"/>
            <w:tcBorders>
              <w:top w:val="single" w:sz="4" w:space="0" w:color="auto"/>
              <w:right w:val="single" w:sz="4" w:space="0" w:color="auto"/>
            </w:tcBorders>
          </w:tcPr>
          <w:p w14:paraId="7CA3B2A3" w14:textId="77591777" w:rsidR="0055624A" w:rsidRPr="0061706F" w:rsidRDefault="0055624A" w:rsidP="0061706F">
            <w:pPr>
              <w:rPr>
                <w:b w:val="0"/>
                <w:bCs w:val="0"/>
              </w:rPr>
            </w:pPr>
            <w:r w:rsidRPr="0061706F">
              <w:rPr>
                <w:b w:val="0"/>
                <w:bCs w:val="0"/>
              </w:rPr>
              <w:t>The ACE did not deviate from the pre</w:t>
            </w:r>
            <w:r w:rsidR="00C26062">
              <w:rPr>
                <w:b w:val="0"/>
                <w:bCs w:val="0"/>
              </w:rPr>
              <w:noBreakHyphen/>
            </w:r>
            <w:r w:rsidRPr="0061706F">
              <w:rPr>
                <w:b w:val="0"/>
                <w:bCs w:val="0"/>
              </w:rPr>
              <w:t>analysis plan for the secondary analysis.</w:t>
            </w:r>
          </w:p>
        </w:tc>
      </w:tr>
    </w:tbl>
    <w:p w14:paraId="6AD448E9" w14:textId="164EDEEB" w:rsidR="00E12616" w:rsidRDefault="005D70C9" w:rsidP="00077B8B">
      <w:pPr>
        <w:pStyle w:val="Heading2"/>
        <w:rPr>
          <w:iCs w:val="0"/>
        </w:rPr>
      </w:pPr>
      <w:bookmarkStart w:id="54" w:name="_Toc197603354"/>
      <w:bookmarkStart w:id="55" w:name="_Toc207712042"/>
      <w:r>
        <w:t>Subgroup</w:t>
      </w:r>
      <w:r>
        <w:rPr>
          <w:iCs w:val="0"/>
        </w:rPr>
        <w:t xml:space="preserve"> analyses</w:t>
      </w:r>
      <w:bookmarkEnd w:id="54"/>
      <w:bookmarkEnd w:id="55"/>
    </w:p>
    <w:p w14:paraId="51B878EA" w14:textId="77777777" w:rsidR="00D41907" w:rsidRPr="005310D2" w:rsidRDefault="00D41907" w:rsidP="00D41907">
      <w:pPr>
        <w:pStyle w:val="Heading3"/>
      </w:pPr>
      <w:r>
        <w:t>Model specification</w:t>
      </w:r>
    </w:p>
    <w:p w14:paraId="44A6DABA" w14:textId="7EACCABB" w:rsidR="005B4A78" w:rsidRPr="005B4A78" w:rsidRDefault="005B4A78" w:rsidP="005B4A78">
      <w:r w:rsidRPr="005B4A78">
        <w:t xml:space="preserve">The subgroup analysis was conducted in </w:t>
      </w:r>
      <w:r w:rsidR="00FD24FB">
        <w:t>2</w:t>
      </w:r>
      <w:r w:rsidR="00FD24FB" w:rsidRPr="005B4A78">
        <w:t xml:space="preserve"> </w:t>
      </w:r>
      <w:r w:rsidRPr="005B4A78">
        <w:t xml:space="preserve">steps. First, </w:t>
      </w:r>
      <w:r w:rsidR="00830385">
        <w:t>the ACE</w:t>
      </w:r>
      <w:r w:rsidR="00830385" w:rsidRPr="005B4A78">
        <w:t xml:space="preserve"> </w:t>
      </w:r>
      <w:r w:rsidRPr="005B4A78">
        <w:t>added an interaction term between the treatment and the subgroup of interest to the main regression model</w:t>
      </w:r>
      <w:r w:rsidR="00830385">
        <w:t>, outlined in the Primary analysis section</w:t>
      </w:r>
      <w:r w:rsidRPr="005B4A78">
        <w:t xml:space="preserve">. This allowed </w:t>
      </w:r>
      <w:r w:rsidR="00830385">
        <w:t>the ACE</w:t>
      </w:r>
      <w:r w:rsidRPr="005B4A78">
        <w:t xml:space="preserve"> to formally test whether the treatment effect varied across subgroups. The interaction coefficient showed whether—and by how much—the treatment effect differed between levels of the subgroup.</w:t>
      </w:r>
    </w:p>
    <w:p w14:paraId="6AE4C93B" w14:textId="7FE69389" w:rsidR="002A421C" w:rsidRDefault="005B4A78" w:rsidP="002A421C">
      <w:r w:rsidRPr="005B4A78">
        <w:t xml:space="preserve">Second, </w:t>
      </w:r>
      <w:r w:rsidR="00830385">
        <w:t>the ACE</w:t>
      </w:r>
      <w:r w:rsidR="00830385" w:rsidRPr="005B4A78">
        <w:t xml:space="preserve"> </w:t>
      </w:r>
      <w:r w:rsidRPr="005B4A78">
        <w:t xml:space="preserve">ran separate regressions within each level of the </w:t>
      </w:r>
      <w:r w:rsidR="00830385">
        <w:t xml:space="preserve">subgroup of interest </w:t>
      </w:r>
      <w:r w:rsidRPr="005B4A78">
        <w:t xml:space="preserve">to directly estimate the treatment effect for that specific </w:t>
      </w:r>
      <w:r w:rsidR="00830385">
        <w:t>sub</w:t>
      </w:r>
      <w:r w:rsidRPr="005B4A78">
        <w:t>group. These models followed the same structure as the primary analysis</w:t>
      </w:r>
      <w:r w:rsidR="00D737CE">
        <w:t>, with missing values for covariates set to zero, and a missing data indicator included for each covariate to retain all observations in the model. However, the ACE</w:t>
      </w:r>
      <w:r w:rsidRPr="005B4A78">
        <w:t xml:space="preserve"> excluded the subgroup </w:t>
      </w:r>
      <w:proofErr w:type="gramStart"/>
      <w:r w:rsidRPr="005B4A78">
        <w:t>variable</w:t>
      </w:r>
      <w:r w:rsidR="00830FFB">
        <w:t>s</w:t>
      </w:r>
      <w:proofErr w:type="gramEnd"/>
      <w:r w:rsidRPr="005B4A78">
        <w:t xml:space="preserve"> and any interaction terms related to it</w:t>
      </w:r>
      <w:r w:rsidR="00830385">
        <w:t xml:space="preserve"> as covariates (where relevant)</w:t>
      </w:r>
      <w:r w:rsidR="002A421C">
        <w:t xml:space="preserve">, meaning that </w:t>
      </w:r>
      <w:r w:rsidR="00FD24FB">
        <w:t xml:space="preserve">2 </w:t>
      </w:r>
      <w:r w:rsidR="002A421C">
        <w:t xml:space="preserve">subgroup models differed from the primary analysis model: </w:t>
      </w:r>
    </w:p>
    <w:p w14:paraId="0F012A6F" w14:textId="36B7125B" w:rsidR="0041000D" w:rsidRDefault="0041000D" w:rsidP="00E5318A">
      <w:pPr>
        <w:pStyle w:val="Bullet"/>
      </w:pPr>
      <w:r w:rsidRPr="009E2CD9">
        <w:t xml:space="preserve">In the charity size subgroup, </w:t>
      </w:r>
      <w:r>
        <w:t>the ACE</w:t>
      </w:r>
      <w:r w:rsidRPr="009E2CD9">
        <w:t xml:space="preserve"> excluded charity size as a covariate</w:t>
      </w:r>
      <w:r>
        <w:t xml:space="preserve"> and treatment </w:t>
      </w:r>
      <w:r w:rsidR="00E82E29">
        <w:t>and</w:t>
      </w:r>
      <w:r w:rsidR="00B721A1">
        <w:t xml:space="preserve"> </w:t>
      </w:r>
      <w:r>
        <w:t>covariate interaction</w:t>
      </w:r>
      <w:r w:rsidRPr="009E2CD9">
        <w:t>, as the analysis was conducted separately within each size category</w:t>
      </w:r>
    </w:p>
    <w:p w14:paraId="279939AD" w14:textId="49687264" w:rsidR="0041000D" w:rsidRPr="005B4A78" w:rsidRDefault="0041000D" w:rsidP="00E5318A">
      <w:pPr>
        <w:pStyle w:val="Bullet"/>
      </w:pPr>
      <w:r>
        <w:lastRenderedPageBreak/>
        <w:t xml:space="preserve">For </w:t>
      </w:r>
      <w:r w:rsidR="004539C5">
        <w:t>the</w:t>
      </w:r>
      <w:r w:rsidR="00E44755">
        <w:t xml:space="preserve"> subgroup effects for charities submitting their AIS for the first time (versus </w:t>
      </w:r>
      <w:r w:rsidR="00603C5E">
        <w:t xml:space="preserve">not the first time), all covariates were removed from the models. This is because covariates for the </w:t>
      </w:r>
      <w:r w:rsidR="00C26062">
        <w:t>‘</w:t>
      </w:r>
      <w:r w:rsidR="00603C5E">
        <w:t>first AIS</w:t>
      </w:r>
      <w:r w:rsidR="00C26062">
        <w:t>’</w:t>
      </w:r>
      <w:r w:rsidR="00603C5E">
        <w:t xml:space="preserve"> subgroup were generated after treatment assignment, and the </w:t>
      </w:r>
      <w:r w:rsidR="00C26062">
        <w:t>‘</w:t>
      </w:r>
      <w:r w:rsidR="00603C5E">
        <w:t>first AIS</w:t>
      </w:r>
      <w:r w:rsidR="00C26062">
        <w:t>’</w:t>
      </w:r>
      <w:r w:rsidR="00603C5E">
        <w:t xml:space="preserve"> versus </w:t>
      </w:r>
      <w:r w:rsidR="00C26062">
        <w:t>‘</w:t>
      </w:r>
      <w:r w:rsidR="00603C5E">
        <w:t>non</w:t>
      </w:r>
      <w:r w:rsidR="00C26062">
        <w:noBreakHyphen/>
      </w:r>
      <w:r w:rsidR="00603C5E">
        <w:t>first AIS</w:t>
      </w:r>
      <w:r w:rsidR="00C26062">
        <w:t>’</w:t>
      </w:r>
      <w:r w:rsidR="00603C5E">
        <w:t xml:space="preserve"> subgroups would not be directly comparable</w:t>
      </w:r>
      <w:r w:rsidR="00C26062">
        <w:t xml:space="preserve">. </w:t>
      </w:r>
    </w:p>
    <w:p w14:paraId="74EB7980" w14:textId="44B2A241" w:rsidR="009E2CD9" w:rsidRPr="009E2CD9" w:rsidRDefault="009E2CD9" w:rsidP="009E2CD9">
      <w:r w:rsidRPr="009E2CD9">
        <w:t xml:space="preserve">All models used a fully saturated specification that included the main effects of each covariate, treatment status, and their interaction terms. Specifically, </w:t>
      </w:r>
      <w:r w:rsidR="00830385">
        <w:t xml:space="preserve">the ACE </w:t>
      </w:r>
      <w:r w:rsidRPr="009E2CD9">
        <w:t>included mean</w:t>
      </w:r>
      <w:r w:rsidR="00C26062">
        <w:noBreakHyphen/>
      </w:r>
      <w:r w:rsidRPr="009E2CD9">
        <w:t>centred baseline covariates such as 2023 on</w:t>
      </w:r>
      <w:r w:rsidR="00C26062">
        <w:noBreakHyphen/>
      </w:r>
      <w:r w:rsidRPr="009E2CD9">
        <w:t>time submission status, charity size, and batch number, along with their interactions with treatment. This approach allows the treatment effect to vary flexibly across different levels of these variables.</w:t>
      </w:r>
    </w:p>
    <w:p w14:paraId="10C5C0AB" w14:textId="7EAC08E2" w:rsidR="0055624A" w:rsidRDefault="0055624A" w:rsidP="00DC07B7">
      <w:r>
        <w:t>Refer to PAP pages 10</w:t>
      </w:r>
      <w:r w:rsidR="00C26062">
        <w:noBreakHyphen/>
      </w:r>
      <w:r>
        <w:t xml:space="preserve">12 for further information on these models. </w:t>
      </w:r>
    </w:p>
    <w:tbl>
      <w:tblPr>
        <w:tblStyle w:val="ListTable3-Accent1"/>
        <w:tblW w:w="5000" w:type="pct"/>
        <w:tblLook w:val="04A0" w:firstRow="1" w:lastRow="0" w:firstColumn="1" w:lastColumn="0" w:noHBand="0" w:noVBand="1"/>
      </w:tblPr>
      <w:tblGrid>
        <w:gridCol w:w="9062"/>
      </w:tblGrid>
      <w:tr w:rsidR="0055624A" w14:paraId="7278534F" w14:textId="77777777" w:rsidTr="0009412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single" w:sz="4" w:space="0" w:color="auto"/>
              <w:right w:val="single" w:sz="4" w:space="0" w:color="auto"/>
            </w:tcBorders>
          </w:tcPr>
          <w:p w14:paraId="5595E4D3" w14:textId="77777777" w:rsidR="0055624A" w:rsidRPr="007C3CEB" w:rsidRDefault="0055624A" w:rsidP="003978B0">
            <w:pPr>
              <w:pStyle w:val="TableMainHeading"/>
              <w:rPr>
                <w:b w:val="0"/>
              </w:rPr>
            </w:pPr>
            <w:r w:rsidRPr="003978B0">
              <w:rPr>
                <w:color w:val="FFFFFF" w:themeColor="background1"/>
              </w:rPr>
              <w:t xml:space="preserve">Deviation from PAP: </w:t>
            </w:r>
          </w:p>
        </w:tc>
      </w:tr>
      <w:tr w:rsidR="0055624A" w14:paraId="41CB45EE" w14:textId="77777777" w:rsidTr="00094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9" w:type="dxa"/>
            <w:tcBorders>
              <w:top w:val="single" w:sz="4" w:space="0" w:color="auto"/>
              <w:right w:val="single" w:sz="4" w:space="0" w:color="auto"/>
            </w:tcBorders>
          </w:tcPr>
          <w:p w14:paraId="0D20E3AE" w14:textId="20648F70" w:rsidR="0055624A" w:rsidRPr="008631D3" w:rsidRDefault="0055624A" w:rsidP="008631D3">
            <w:pPr>
              <w:rPr>
                <w:b w:val="0"/>
                <w:bCs w:val="0"/>
              </w:rPr>
            </w:pPr>
            <w:r w:rsidRPr="008631D3">
              <w:rPr>
                <w:b w:val="0"/>
                <w:bCs w:val="0"/>
              </w:rPr>
              <w:t xml:space="preserve">The ACE did not specify a fully saturated model in the PAP. </w:t>
            </w:r>
            <w:r w:rsidR="00B44F2A" w:rsidRPr="008631D3">
              <w:rPr>
                <w:b w:val="0"/>
                <w:bCs w:val="0"/>
              </w:rPr>
              <w:t xml:space="preserve">The ACE </w:t>
            </w:r>
            <w:r w:rsidRPr="008631D3">
              <w:rPr>
                <w:b w:val="0"/>
                <w:bCs w:val="0"/>
              </w:rPr>
              <w:t xml:space="preserve">used a fully saturated model to make interpretation of subgroup effects and interactions clearer, while noting that this </w:t>
            </w:r>
            <w:r w:rsidR="009B0822" w:rsidRPr="008631D3">
              <w:rPr>
                <w:b w:val="0"/>
                <w:bCs w:val="0"/>
              </w:rPr>
              <w:t>deviation did</w:t>
            </w:r>
            <w:r w:rsidRPr="008631D3">
              <w:rPr>
                <w:b w:val="0"/>
                <w:bCs w:val="0"/>
              </w:rPr>
              <w:t xml:space="preserve"> not alter the underlying results or conclusions. </w:t>
            </w:r>
          </w:p>
        </w:tc>
      </w:tr>
    </w:tbl>
    <w:p w14:paraId="0D62D6B8" w14:textId="62711BD0" w:rsidR="00D41907" w:rsidRDefault="00D41907" w:rsidP="00D41907">
      <w:pPr>
        <w:pStyle w:val="Heading3"/>
      </w:pPr>
      <w:r>
        <w:t xml:space="preserve">Regression </w:t>
      </w:r>
      <w:r w:rsidR="00B44F2A">
        <w:t>outputs</w:t>
      </w:r>
    </w:p>
    <w:p w14:paraId="5A86715C" w14:textId="62654447" w:rsidR="00AD5A33" w:rsidRDefault="00A83E85" w:rsidP="009646BF">
      <w:r>
        <w:t xml:space="preserve">Table 2 shows that </w:t>
      </w:r>
      <w:r w:rsidR="00BE4E23">
        <w:t>t</w:t>
      </w:r>
      <w:r w:rsidR="00BE4E23" w:rsidRPr="00BE4E23">
        <w:t>he reminder email led to higher on</w:t>
      </w:r>
      <w:r w:rsidR="00C26062">
        <w:noBreakHyphen/>
      </w:r>
      <w:r w:rsidR="00BE4E23" w:rsidRPr="00BE4E23">
        <w:t xml:space="preserve">time AIS submission rates across all subgroups. The largest improvements were seen among basic religious charities (7.3 percentage points), incorporated associations (6.4 </w:t>
      </w:r>
      <w:r w:rsidR="00BE4438">
        <w:t xml:space="preserve">percentage </w:t>
      </w:r>
      <w:r w:rsidR="00BE4E23" w:rsidRPr="00BE4E23">
        <w:t>points), and first</w:t>
      </w:r>
      <w:r w:rsidR="00C26062">
        <w:noBreakHyphen/>
      </w:r>
      <w:r w:rsidR="00BE4E23" w:rsidRPr="00BE4E23">
        <w:t xml:space="preserve">time submitters (6.4 </w:t>
      </w:r>
      <w:r w:rsidR="00613502">
        <w:t xml:space="preserve">percentage </w:t>
      </w:r>
      <w:r w:rsidR="00BE4E23" w:rsidRPr="00BE4E23">
        <w:t>points)</w:t>
      </w:r>
      <w:r w:rsidR="008F2597">
        <w:t>.</w:t>
      </w:r>
      <w:r w:rsidR="002A607C" w:rsidRPr="008F2597">
        <w:rPr>
          <w:rStyle w:val="FootnoteReference"/>
          <w:vertAlign w:val="superscript"/>
        </w:rPr>
        <w:footnoteReference w:id="9"/>
      </w:r>
      <w:r w:rsidR="00BE4E23" w:rsidRPr="00BE4E23">
        <w:t xml:space="preserve"> Gains were also observed across charity size, with small charities improving by 5.8 </w:t>
      </w:r>
      <w:r w:rsidR="00E72C3C">
        <w:t>percentage</w:t>
      </w:r>
      <w:r w:rsidR="00BE4E23" w:rsidRPr="00BE4E23">
        <w:t xml:space="preserve"> points, and across volunteer</w:t>
      </w:r>
      <w:r w:rsidR="00C26062">
        <w:noBreakHyphen/>
      </w:r>
      <w:r w:rsidR="00BE4E23" w:rsidRPr="00BE4E23">
        <w:t>based and non</w:t>
      </w:r>
      <w:r w:rsidR="00C26062">
        <w:noBreakHyphen/>
      </w:r>
      <w:r w:rsidR="00BE4E23" w:rsidRPr="00BE4E23">
        <w:t>volunteer</w:t>
      </w:r>
      <w:r w:rsidR="00C26062">
        <w:noBreakHyphen/>
      </w:r>
      <w:r w:rsidR="00BE4E23" w:rsidRPr="00BE4E23">
        <w:t xml:space="preserve">based charities, both increasing by around 5.5 </w:t>
      </w:r>
      <w:r w:rsidR="00E72C3C">
        <w:t>percentage</w:t>
      </w:r>
      <w:r w:rsidR="00BE4E23" w:rsidRPr="00BE4E23">
        <w:t xml:space="preserve"> points. These results suggest the reminder was effective across a wide range of charity types.</w:t>
      </w:r>
    </w:p>
    <w:p w14:paraId="6CEC50DB" w14:textId="247ECD2E" w:rsidR="008F4454" w:rsidRPr="008F4454" w:rsidRDefault="00B0539F" w:rsidP="008F2597">
      <w:pPr>
        <w:pStyle w:val="TableMainHeading"/>
      </w:pPr>
      <w:r>
        <w:t>Table 2. Summary of the predicted AIS 2024 on</w:t>
      </w:r>
      <w:r w:rsidR="00147D57">
        <w:t>-</w:t>
      </w:r>
      <w:r>
        <w:t>time submission for each subgroup</w:t>
      </w:r>
    </w:p>
    <w:tbl>
      <w:tblPr>
        <w:tblStyle w:val="ListTable3-Accent1"/>
        <w:tblW w:w="5000" w:type="pct"/>
        <w:tblLook w:val="04A0" w:firstRow="1" w:lastRow="0" w:firstColumn="1" w:lastColumn="0" w:noHBand="0" w:noVBand="1"/>
      </w:tblPr>
      <w:tblGrid>
        <w:gridCol w:w="2207"/>
        <w:gridCol w:w="2879"/>
        <w:gridCol w:w="1529"/>
        <w:gridCol w:w="1379"/>
        <w:gridCol w:w="1068"/>
      </w:tblGrid>
      <w:tr w:rsidR="00383A2D" w14:paraId="5C4163A4" w14:textId="77777777" w:rsidTr="00383A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229" w:type="dxa"/>
          </w:tcPr>
          <w:p w14:paraId="1606DC1B" w14:textId="77777777" w:rsidR="00B4565F" w:rsidRPr="007C3CEB" w:rsidRDefault="00B4565F" w:rsidP="007C3CEB">
            <w:pPr>
              <w:pStyle w:val="TableColumnHeadingLeft"/>
              <w:rPr>
                <w:b/>
                <w:bCs w:val="0"/>
                <w:color w:val="FFFFFF" w:themeColor="background1"/>
              </w:rPr>
            </w:pPr>
            <w:r w:rsidRPr="007C3CEB">
              <w:rPr>
                <w:b/>
                <w:bCs w:val="0"/>
                <w:color w:val="FFFFFF" w:themeColor="background1"/>
              </w:rPr>
              <w:t>Subgroup</w:t>
            </w:r>
          </w:p>
        </w:tc>
        <w:tc>
          <w:tcPr>
            <w:tcW w:w="2918" w:type="dxa"/>
          </w:tcPr>
          <w:p w14:paraId="2036A884" w14:textId="77777777" w:rsidR="00B4565F" w:rsidRPr="007C3CEB" w:rsidRDefault="00B4565F" w:rsidP="007C3CEB">
            <w:pPr>
              <w:pStyle w:val="TableColumnHeadingLef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7C3CEB">
              <w:rPr>
                <w:b/>
                <w:bCs w:val="0"/>
                <w:color w:val="FFFFFF" w:themeColor="background1"/>
              </w:rPr>
              <w:t>Subgroup</w:t>
            </w:r>
          </w:p>
        </w:tc>
        <w:tc>
          <w:tcPr>
            <w:tcW w:w="1541" w:type="dxa"/>
          </w:tcPr>
          <w:p w14:paraId="6BEB85F9" w14:textId="54F54224" w:rsidR="00B4565F" w:rsidRPr="007C3CEB" w:rsidRDefault="00B4565F" w:rsidP="007C3CEB">
            <w:pPr>
              <w:pStyle w:val="TableColumnHeadingLef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7C3CEB">
              <w:rPr>
                <w:b/>
                <w:bCs w:val="0"/>
                <w:color w:val="FFFFFF" w:themeColor="background1"/>
              </w:rPr>
              <w:t xml:space="preserve">Treatment </w:t>
            </w:r>
            <w:proofErr w:type="gramStart"/>
            <w:r w:rsidRPr="007C3CEB">
              <w:rPr>
                <w:b/>
                <w:bCs w:val="0"/>
                <w:color w:val="FFFFFF" w:themeColor="background1"/>
              </w:rPr>
              <w:t>mean</w:t>
            </w:r>
            <w:proofErr w:type="gramEnd"/>
            <w:r w:rsidRPr="007C3CEB">
              <w:rPr>
                <w:b/>
                <w:bCs w:val="0"/>
                <w:color w:val="FFFFFF" w:themeColor="background1"/>
              </w:rPr>
              <w:t xml:space="preserve"> on</w:t>
            </w:r>
            <w:r w:rsidR="00C26062">
              <w:rPr>
                <w:b/>
                <w:bCs w:val="0"/>
                <w:color w:val="FFFFFF" w:themeColor="background1"/>
              </w:rPr>
              <w:noBreakHyphen/>
            </w:r>
            <w:r w:rsidRPr="007C3CEB">
              <w:rPr>
                <w:b/>
                <w:bCs w:val="0"/>
                <w:color w:val="FFFFFF" w:themeColor="background1"/>
              </w:rPr>
              <w:t>time AIS submission</w:t>
            </w:r>
          </w:p>
        </w:tc>
        <w:tc>
          <w:tcPr>
            <w:tcW w:w="1387" w:type="dxa"/>
          </w:tcPr>
          <w:p w14:paraId="457FA03C" w14:textId="2C6BC8BB" w:rsidR="00B4565F" w:rsidRPr="007C3CEB" w:rsidRDefault="00B4565F" w:rsidP="007C3CEB">
            <w:pPr>
              <w:pStyle w:val="TableColumnHeadingLef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7C3CEB">
              <w:rPr>
                <w:b/>
                <w:bCs w:val="0"/>
                <w:color w:val="FFFFFF" w:themeColor="background1"/>
              </w:rPr>
              <w:t xml:space="preserve">Control </w:t>
            </w:r>
            <w:proofErr w:type="gramStart"/>
            <w:r w:rsidRPr="007C3CEB">
              <w:rPr>
                <w:b/>
                <w:bCs w:val="0"/>
                <w:color w:val="FFFFFF" w:themeColor="background1"/>
              </w:rPr>
              <w:t>mean</w:t>
            </w:r>
            <w:proofErr w:type="gramEnd"/>
            <w:r w:rsidRPr="007C3CEB">
              <w:rPr>
                <w:b/>
                <w:bCs w:val="0"/>
                <w:color w:val="FFFFFF" w:themeColor="background1"/>
              </w:rPr>
              <w:t xml:space="preserve"> on</w:t>
            </w:r>
            <w:r w:rsidR="00C26062">
              <w:rPr>
                <w:b/>
                <w:bCs w:val="0"/>
                <w:color w:val="FFFFFF" w:themeColor="background1"/>
              </w:rPr>
              <w:noBreakHyphen/>
            </w:r>
            <w:r w:rsidRPr="007C3CEB">
              <w:rPr>
                <w:b/>
                <w:bCs w:val="0"/>
                <w:color w:val="FFFFFF" w:themeColor="background1"/>
              </w:rPr>
              <w:t>time AIS submission</w:t>
            </w:r>
          </w:p>
        </w:tc>
        <w:tc>
          <w:tcPr>
            <w:tcW w:w="987" w:type="dxa"/>
          </w:tcPr>
          <w:p w14:paraId="4C330486" w14:textId="77777777" w:rsidR="00B4565F" w:rsidRPr="007C3CEB" w:rsidRDefault="00B4565F" w:rsidP="007C3CEB">
            <w:pPr>
              <w:pStyle w:val="TableColumnHeadingLef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7C3CEB">
              <w:rPr>
                <w:b/>
                <w:bCs w:val="0"/>
                <w:color w:val="FFFFFF" w:themeColor="background1"/>
              </w:rPr>
              <w:t>Treatment effect</w:t>
            </w:r>
          </w:p>
        </w:tc>
      </w:tr>
      <w:tr w:rsidR="00B4565F" w14:paraId="2F91F98D" w14:textId="77777777" w:rsidTr="00CA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9" w:type="dxa"/>
          </w:tcPr>
          <w:p w14:paraId="5398780C" w14:textId="77777777" w:rsidR="00B4565F" w:rsidRDefault="00B4565F" w:rsidP="008A055D">
            <w:pPr>
              <w:pStyle w:val="TableTextLeft"/>
            </w:pPr>
            <w:r>
              <w:t>Charity size</w:t>
            </w:r>
          </w:p>
        </w:tc>
        <w:tc>
          <w:tcPr>
            <w:tcW w:w="2918" w:type="dxa"/>
          </w:tcPr>
          <w:p w14:paraId="1B424CAA" w14:textId="77777777" w:rsidR="00B4565F" w:rsidRDefault="00B4565F" w:rsidP="008A055D">
            <w:pPr>
              <w:pStyle w:val="TableTextLeft"/>
              <w:cnfStyle w:val="000000100000" w:firstRow="0" w:lastRow="0" w:firstColumn="0" w:lastColumn="0" w:oddVBand="0" w:evenVBand="0" w:oddHBand="1" w:evenHBand="0" w:firstRowFirstColumn="0" w:firstRowLastColumn="0" w:lastRowFirstColumn="0" w:lastRowLastColumn="0"/>
            </w:pPr>
            <w:r>
              <w:t>Small charities</w:t>
            </w:r>
          </w:p>
        </w:tc>
        <w:tc>
          <w:tcPr>
            <w:tcW w:w="1541" w:type="dxa"/>
            <w:tcMar>
              <w:right w:w="170" w:type="dxa"/>
            </w:tcMar>
          </w:tcPr>
          <w:p w14:paraId="5983C33D" w14:textId="364937AC" w:rsidR="00B4565F" w:rsidRDefault="00E64962" w:rsidP="00CA7839">
            <w:pPr>
              <w:pStyle w:val="TableTextRight"/>
              <w:cnfStyle w:val="000000100000" w:firstRow="0" w:lastRow="0" w:firstColumn="0" w:lastColumn="0" w:oddVBand="0" w:evenVBand="0" w:oddHBand="1" w:evenHBand="0" w:firstRowFirstColumn="0" w:firstRowLastColumn="0" w:lastRowFirstColumn="0" w:lastRowLastColumn="0"/>
            </w:pPr>
            <w:r>
              <w:t>59.3</w:t>
            </w:r>
            <w:r w:rsidR="00364DEB">
              <w:t>%</w:t>
            </w:r>
          </w:p>
        </w:tc>
        <w:tc>
          <w:tcPr>
            <w:tcW w:w="1387" w:type="dxa"/>
            <w:tcMar>
              <w:right w:w="170" w:type="dxa"/>
            </w:tcMar>
          </w:tcPr>
          <w:p w14:paraId="2EE5DED1" w14:textId="04CFD26C" w:rsidR="00B4565F" w:rsidRDefault="00E64962" w:rsidP="00CA7839">
            <w:pPr>
              <w:pStyle w:val="TableTextRight"/>
              <w:cnfStyle w:val="000000100000" w:firstRow="0" w:lastRow="0" w:firstColumn="0" w:lastColumn="0" w:oddVBand="0" w:evenVBand="0" w:oddHBand="1" w:evenHBand="0" w:firstRowFirstColumn="0" w:firstRowLastColumn="0" w:lastRowFirstColumn="0" w:lastRowLastColumn="0"/>
            </w:pPr>
            <w:r>
              <w:t>53.5</w:t>
            </w:r>
            <w:r w:rsidR="00364DEB">
              <w:t>%</w:t>
            </w:r>
          </w:p>
        </w:tc>
        <w:tc>
          <w:tcPr>
            <w:tcW w:w="987" w:type="dxa"/>
            <w:tcMar>
              <w:right w:w="170" w:type="dxa"/>
            </w:tcMar>
          </w:tcPr>
          <w:p w14:paraId="43A1C1BB" w14:textId="071C818C" w:rsidR="00B4565F" w:rsidRDefault="00364DEB" w:rsidP="00CA7839">
            <w:pPr>
              <w:pStyle w:val="TableTextRight"/>
              <w:cnfStyle w:val="000000100000" w:firstRow="0" w:lastRow="0" w:firstColumn="0" w:lastColumn="0" w:oddVBand="0" w:evenVBand="0" w:oddHBand="1" w:evenHBand="0" w:firstRowFirstColumn="0" w:firstRowLastColumn="0" w:lastRowFirstColumn="0" w:lastRowLastColumn="0"/>
            </w:pPr>
            <w:r>
              <w:t>5.8pp</w:t>
            </w:r>
            <w:r w:rsidR="00613502">
              <w:t>t</w:t>
            </w:r>
          </w:p>
        </w:tc>
      </w:tr>
      <w:tr w:rsidR="00B4565F" w14:paraId="5CD750F0" w14:textId="77777777" w:rsidTr="00CA7839">
        <w:tc>
          <w:tcPr>
            <w:cnfStyle w:val="001000000000" w:firstRow="0" w:lastRow="0" w:firstColumn="1" w:lastColumn="0" w:oddVBand="0" w:evenVBand="0" w:oddHBand="0" w:evenHBand="0" w:firstRowFirstColumn="0" w:firstRowLastColumn="0" w:lastRowFirstColumn="0" w:lastRowLastColumn="0"/>
            <w:tcW w:w="2229" w:type="dxa"/>
          </w:tcPr>
          <w:p w14:paraId="0E1F6F2A" w14:textId="77777777" w:rsidR="00B4565F" w:rsidRDefault="00B4565F" w:rsidP="008A055D">
            <w:pPr>
              <w:pStyle w:val="TableTextLeft"/>
            </w:pPr>
          </w:p>
        </w:tc>
        <w:tc>
          <w:tcPr>
            <w:tcW w:w="2918" w:type="dxa"/>
          </w:tcPr>
          <w:p w14:paraId="66F86909" w14:textId="77777777" w:rsidR="00B4565F" w:rsidRDefault="00B4565F" w:rsidP="008A055D">
            <w:pPr>
              <w:pStyle w:val="TableTextLeft"/>
              <w:cnfStyle w:val="000000000000" w:firstRow="0" w:lastRow="0" w:firstColumn="0" w:lastColumn="0" w:oddVBand="0" w:evenVBand="0" w:oddHBand="0" w:evenHBand="0" w:firstRowFirstColumn="0" w:firstRowLastColumn="0" w:lastRowFirstColumn="0" w:lastRowLastColumn="0"/>
            </w:pPr>
            <w:r>
              <w:t>Medium charities</w:t>
            </w:r>
          </w:p>
        </w:tc>
        <w:tc>
          <w:tcPr>
            <w:tcW w:w="1541" w:type="dxa"/>
            <w:tcMar>
              <w:right w:w="170" w:type="dxa"/>
            </w:tcMar>
          </w:tcPr>
          <w:p w14:paraId="62E262BF" w14:textId="55529F80" w:rsidR="00B4565F" w:rsidRDefault="00364DEB" w:rsidP="00CA7839">
            <w:pPr>
              <w:pStyle w:val="TableTextRight"/>
              <w:cnfStyle w:val="000000000000" w:firstRow="0" w:lastRow="0" w:firstColumn="0" w:lastColumn="0" w:oddVBand="0" w:evenVBand="0" w:oddHBand="0" w:evenHBand="0" w:firstRowFirstColumn="0" w:firstRowLastColumn="0" w:lastRowFirstColumn="0" w:lastRowLastColumn="0"/>
            </w:pPr>
            <w:r>
              <w:t>63.5%</w:t>
            </w:r>
          </w:p>
        </w:tc>
        <w:tc>
          <w:tcPr>
            <w:tcW w:w="1387" w:type="dxa"/>
            <w:tcMar>
              <w:right w:w="170" w:type="dxa"/>
            </w:tcMar>
          </w:tcPr>
          <w:p w14:paraId="21F3297B" w14:textId="782314CE" w:rsidR="00B4565F" w:rsidRDefault="00364DEB" w:rsidP="00CA7839">
            <w:pPr>
              <w:pStyle w:val="TableTextRight"/>
              <w:cnfStyle w:val="000000000000" w:firstRow="0" w:lastRow="0" w:firstColumn="0" w:lastColumn="0" w:oddVBand="0" w:evenVBand="0" w:oddHBand="0" w:evenHBand="0" w:firstRowFirstColumn="0" w:firstRowLastColumn="0" w:lastRowFirstColumn="0" w:lastRowLastColumn="0"/>
            </w:pPr>
            <w:r>
              <w:t>68.7%</w:t>
            </w:r>
          </w:p>
        </w:tc>
        <w:tc>
          <w:tcPr>
            <w:tcW w:w="987" w:type="dxa"/>
            <w:tcMar>
              <w:right w:w="170" w:type="dxa"/>
            </w:tcMar>
          </w:tcPr>
          <w:p w14:paraId="088B2356" w14:textId="755962E0" w:rsidR="00B4565F" w:rsidRDefault="00947C21" w:rsidP="00CA7839">
            <w:pPr>
              <w:pStyle w:val="TableTextRight"/>
              <w:cnfStyle w:val="000000000000" w:firstRow="0" w:lastRow="0" w:firstColumn="0" w:lastColumn="0" w:oddVBand="0" w:evenVBand="0" w:oddHBand="0" w:evenHBand="0" w:firstRowFirstColumn="0" w:firstRowLastColumn="0" w:lastRowFirstColumn="0" w:lastRowLastColumn="0"/>
            </w:pPr>
            <w:r>
              <w:t>5.2</w:t>
            </w:r>
            <w:r w:rsidR="00613502">
              <w:t>ppt</w:t>
            </w:r>
          </w:p>
        </w:tc>
      </w:tr>
      <w:tr w:rsidR="00B4565F" w14:paraId="591365EE" w14:textId="77777777" w:rsidTr="00CA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9" w:type="dxa"/>
          </w:tcPr>
          <w:p w14:paraId="4B48F7F4" w14:textId="77777777" w:rsidR="00B4565F" w:rsidRDefault="00B4565F" w:rsidP="008A055D">
            <w:pPr>
              <w:pStyle w:val="TableTextLeft"/>
            </w:pPr>
          </w:p>
        </w:tc>
        <w:tc>
          <w:tcPr>
            <w:tcW w:w="2918" w:type="dxa"/>
          </w:tcPr>
          <w:p w14:paraId="495D33A4" w14:textId="77777777" w:rsidR="00B4565F" w:rsidRDefault="00B4565F" w:rsidP="008A055D">
            <w:pPr>
              <w:pStyle w:val="TableTextLeft"/>
              <w:cnfStyle w:val="000000100000" w:firstRow="0" w:lastRow="0" w:firstColumn="0" w:lastColumn="0" w:oddVBand="0" w:evenVBand="0" w:oddHBand="1" w:evenHBand="0" w:firstRowFirstColumn="0" w:firstRowLastColumn="0" w:lastRowFirstColumn="0" w:lastRowLastColumn="0"/>
            </w:pPr>
            <w:r>
              <w:t>Large charities</w:t>
            </w:r>
          </w:p>
        </w:tc>
        <w:tc>
          <w:tcPr>
            <w:tcW w:w="1541" w:type="dxa"/>
            <w:tcMar>
              <w:right w:w="170" w:type="dxa"/>
            </w:tcMar>
          </w:tcPr>
          <w:p w14:paraId="1792F8EA" w14:textId="77777777" w:rsidR="00B4565F" w:rsidRDefault="00B4565F" w:rsidP="00CA7839">
            <w:pPr>
              <w:pStyle w:val="TableTextRight"/>
              <w:cnfStyle w:val="000000100000" w:firstRow="0" w:lastRow="0" w:firstColumn="0" w:lastColumn="0" w:oddVBand="0" w:evenVBand="0" w:oddHBand="1" w:evenHBand="0" w:firstRowFirstColumn="0" w:firstRowLastColumn="0" w:lastRowFirstColumn="0" w:lastRowLastColumn="0"/>
            </w:pPr>
            <w:r>
              <w:t>80.9%</w:t>
            </w:r>
          </w:p>
        </w:tc>
        <w:tc>
          <w:tcPr>
            <w:tcW w:w="1387" w:type="dxa"/>
            <w:tcMar>
              <w:right w:w="170" w:type="dxa"/>
            </w:tcMar>
          </w:tcPr>
          <w:p w14:paraId="7C63F6C8" w14:textId="153C543C" w:rsidR="00B4565F" w:rsidRDefault="00B4565F" w:rsidP="00CA7839">
            <w:pPr>
              <w:pStyle w:val="TableTextRight"/>
              <w:cnfStyle w:val="000000100000" w:firstRow="0" w:lastRow="0" w:firstColumn="0" w:lastColumn="0" w:oddVBand="0" w:evenVBand="0" w:oddHBand="1" w:evenHBand="0" w:firstRowFirstColumn="0" w:firstRowLastColumn="0" w:lastRowFirstColumn="0" w:lastRowLastColumn="0"/>
            </w:pPr>
            <w:r>
              <w:t>77.</w:t>
            </w:r>
            <w:r w:rsidR="00193F11">
              <w:t>3</w:t>
            </w:r>
            <w:r>
              <w:t>%</w:t>
            </w:r>
          </w:p>
        </w:tc>
        <w:tc>
          <w:tcPr>
            <w:tcW w:w="987" w:type="dxa"/>
            <w:tcMar>
              <w:right w:w="170" w:type="dxa"/>
            </w:tcMar>
          </w:tcPr>
          <w:p w14:paraId="21FF4554" w14:textId="5AAF9364" w:rsidR="00B4565F" w:rsidRDefault="00B4565F" w:rsidP="00CA7839">
            <w:pPr>
              <w:pStyle w:val="TableTextRight"/>
              <w:cnfStyle w:val="000000100000" w:firstRow="0" w:lastRow="0" w:firstColumn="0" w:lastColumn="0" w:oddVBand="0" w:evenVBand="0" w:oddHBand="1" w:evenHBand="0" w:firstRowFirstColumn="0" w:firstRowLastColumn="0" w:lastRowFirstColumn="0" w:lastRowLastColumn="0"/>
            </w:pPr>
            <w:r>
              <w:t>3.</w:t>
            </w:r>
            <w:r w:rsidR="00193F11">
              <w:t>6</w:t>
            </w:r>
            <w:r w:rsidR="00613502">
              <w:t>ppt</w:t>
            </w:r>
          </w:p>
        </w:tc>
      </w:tr>
      <w:tr w:rsidR="00B4565F" w14:paraId="7873C178" w14:textId="77777777" w:rsidTr="00CA7839">
        <w:tc>
          <w:tcPr>
            <w:cnfStyle w:val="001000000000" w:firstRow="0" w:lastRow="0" w:firstColumn="1" w:lastColumn="0" w:oddVBand="0" w:evenVBand="0" w:oddHBand="0" w:evenHBand="0" w:firstRowFirstColumn="0" w:firstRowLastColumn="0" w:lastRowFirstColumn="0" w:lastRowLastColumn="0"/>
            <w:tcW w:w="2229" w:type="dxa"/>
          </w:tcPr>
          <w:p w14:paraId="583A4110" w14:textId="77777777" w:rsidR="00B4565F" w:rsidRDefault="00B4565F" w:rsidP="008A055D">
            <w:pPr>
              <w:pStyle w:val="TableTextLeft"/>
            </w:pPr>
            <w:r>
              <w:t>Incorporated associations</w:t>
            </w:r>
          </w:p>
        </w:tc>
        <w:tc>
          <w:tcPr>
            <w:tcW w:w="2918" w:type="dxa"/>
          </w:tcPr>
          <w:p w14:paraId="4DDEE857" w14:textId="77777777" w:rsidR="00B4565F" w:rsidRDefault="00B4565F" w:rsidP="008A055D">
            <w:pPr>
              <w:pStyle w:val="TableTextLeft"/>
              <w:cnfStyle w:val="000000000000" w:firstRow="0" w:lastRow="0" w:firstColumn="0" w:lastColumn="0" w:oddVBand="0" w:evenVBand="0" w:oddHBand="0" w:evenHBand="0" w:firstRowFirstColumn="0" w:firstRowLastColumn="0" w:lastRowFirstColumn="0" w:lastRowLastColumn="0"/>
            </w:pPr>
            <w:r>
              <w:t>Incorporated associations</w:t>
            </w:r>
          </w:p>
        </w:tc>
        <w:tc>
          <w:tcPr>
            <w:tcW w:w="1541" w:type="dxa"/>
            <w:tcMar>
              <w:right w:w="170" w:type="dxa"/>
            </w:tcMar>
          </w:tcPr>
          <w:p w14:paraId="7B843029" w14:textId="69387107" w:rsidR="00B4565F" w:rsidRDefault="00642B4A" w:rsidP="00CA7839">
            <w:pPr>
              <w:pStyle w:val="TableTextRight"/>
              <w:cnfStyle w:val="000000000000" w:firstRow="0" w:lastRow="0" w:firstColumn="0" w:lastColumn="0" w:oddVBand="0" w:evenVBand="0" w:oddHBand="0" w:evenHBand="0" w:firstRowFirstColumn="0" w:firstRowLastColumn="0" w:lastRowFirstColumn="0" w:lastRowLastColumn="0"/>
            </w:pPr>
            <w:r>
              <w:t>62.3%</w:t>
            </w:r>
          </w:p>
        </w:tc>
        <w:tc>
          <w:tcPr>
            <w:tcW w:w="1387" w:type="dxa"/>
            <w:tcMar>
              <w:right w:w="170" w:type="dxa"/>
            </w:tcMar>
          </w:tcPr>
          <w:p w14:paraId="19389DF1" w14:textId="2D65949E" w:rsidR="00B4565F" w:rsidRDefault="006A24D2" w:rsidP="00CA7839">
            <w:pPr>
              <w:pStyle w:val="TableTextRight"/>
              <w:cnfStyle w:val="000000000000" w:firstRow="0" w:lastRow="0" w:firstColumn="0" w:lastColumn="0" w:oddVBand="0" w:evenVBand="0" w:oddHBand="0" w:evenHBand="0" w:firstRowFirstColumn="0" w:firstRowLastColumn="0" w:lastRowFirstColumn="0" w:lastRowLastColumn="0"/>
            </w:pPr>
            <w:r>
              <w:t>55.9%</w:t>
            </w:r>
          </w:p>
        </w:tc>
        <w:tc>
          <w:tcPr>
            <w:tcW w:w="987" w:type="dxa"/>
            <w:tcMar>
              <w:right w:w="170" w:type="dxa"/>
            </w:tcMar>
          </w:tcPr>
          <w:p w14:paraId="2C0FE292" w14:textId="366C27E4" w:rsidR="00B4565F" w:rsidRDefault="006A24D2" w:rsidP="00CA7839">
            <w:pPr>
              <w:pStyle w:val="TableTextRight"/>
              <w:cnfStyle w:val="000000000000" w:firstRow="0" w:lastRow="0" w:firstColumn="0" w:lastColumn="0" w:oddVBand="0" w:evenVBand="0" w:oddHBand="0" w:evenHBand="0" w:firstRowFirstColumn="0" w:firstRowLastColumn="0" w:lastRowFirstColumn="0" w:lastRowLastColumn="0"/>
            </w:pPr>
            <w:r>
              <w:t>6.4</w:t>
            </w:r>
            <w:r w:rsidR="00613502">
              <w:t>ppt</w:t>
            </w:r>
          </w:p>
        </w:tc>
      </w:tr>
      <w:tr w:rsidR="00B4565F" w14:paraId="71A11195" w14:textId="77777777" w:rsidTr="00CA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9" w:type="dxa"/>
          </w:tcPr>
          <w:p w14:paraId="0BD20EE9" w14:textId="77777777" w:rsidR="00B4565F" w:rsidRDefault="00B4565F" w:rsidP="008A055D">
            <w:pPr>
              <w:pStyle w:val="TableTextLeft"/>
            </w:pPr>
          </w:p>
        </w:tc>
        <w:tc>
          <w:tcPr>
            <w:tcW w:w="2918" w:type="dxa"/>
          </w:tcPr>
          <w:p w14:paraId="1492ACEE" w14:textId="3434D650" w:rsidR="00B4565F" w:rsidRDefault="00B4565F" w:rsidP="008A055D">
            <w:pPr>
              <w:pStyle w:val="TableTextLeft"/>
              <w:cnfStyle w:val="000000100000" w:firstRow="0" w:lastRow="0" w:firstColumn="0" w:lastColumn="0" w:oddVBand="0" w:evenVBand="0" w:oddHBand="1" w:evenHBand="0" w:firstRowFirstColumn="0" w:firstRowLastColumn="0" w:lastRowFirstColumn="0" w:lastRowLastColumn="0"/>
            </w:pPr>
            <w:r>
              <w:t>Non</w:t>
            </w:r>
            <w:r w:rsidR="00C26062">
              <w:noBreakHyphen/>
            </w:r>
            <w:r>
              <w:t>incorporated associations</w:t>
            </w:r>
          </w:p>
        </w:tc>
        <w:tc>
          <w:tcPr>
            <w:tcW w:w="1541" w:type="dxa"/>
            <w:tcMar>
              <w:right w:w="170" w:type="dxa"/>
            </w:tcMar>
          </w:tcPr>
          <w:p w14:paraId="5A00E759" w14:textId="49215B15" w:rsidR="00B4565F" w:rsidRDefault="006A24D2" w:rsidP="00CA7839">
            <w:pPr>
              <w:pStyle w:val="TableTextRight"/>
              <w:cnfStyle w:val="000000100000" w:firstRow="0" w:lastRow="0" w:firstColumn="0" w:lastColumn="0" w:oddVBand="0" w:evenVBand="0" w:oddHBand="1" w:evenHBand="0" w:firstRowFirstColumn="0" w:firstRowLastColumn="0" w:lastRowFirstColumn="0" w:lastRowLastColumn="0"/>
            </w:pPr>
            <w:r>
              <w:t>63.1%</w:t>
            </w:r>
          </w:p>
        </w:tc>
        <w:tc>
          <w:tcPr>
            <w:tcW w:w="1387" w:type="dxa"/>
            <w:tcMar>
              <w:right w:w="170" w:type="dxa"/>
            </w:tcMar>
          </w:tcPr>
          <w:p w14:paraId="6FB826B5" w14:textId="0ADC3B52" w:rsidR="00B4565F" w:rsidRDefault="00501EDA" w:rsidP="00CA7839">
            <w:pPr>
              <w:pStyle w:val="TableTextRight"/>
              <w:cnfStyle w:val="000000100000" w:firstRow="0" w:lastRow="0" w:firstColumn="0" w:lastColumn="0" w:oddVBand="0" w:evenVBand="0" w:oddHBand="1" w:evenHBand="0" w:firstRowFirstColumn="0" w:firstRowLastColumn="0" w:lastRowFirstColumn="0" w:lastRowLastColumn="0"/>
            </w:pPr>
            <w:r>
              <w:t>58.4%</w:t>
            </w:r>
          </w:p>
        </w:tc>
        <w:tc>
          <w:tcPr>
            <w:tcW w:w="987" w:type="dxa"/>
            <w:tcMar>
              <w:right w:w="170" w:type="dxa"/>
            </w:tcMar>
          </w:tcPr>
          <w:p w14:paraId="06B1E4BE" w14:textId="19C23269" w:rsidR="00B4565F" w:rsidRDefault="00501EDA" w:rsidP="00CA7839">
            <w:pPr>
              <w:pStyle w:val="TableTextRight"/>
              <w:cnfStyle w:val="000000100000" w:firstRow="0" w:lastRow="0" w:firstColumn="0" w:lastColumn="0" w:oddVBand="0" w:evenVBand="0" w:oddHBand="1" w:evenHBand="0" w:firstRowFirstColumn="0" w:firstRowLastColumn="0" w:lastRowFirstColumn="0" w:lastRowLastColumn="0"/>
            </w:pPr>
            <w:r>
              <w:t>4.7</w:t>
            </w:r>
            <w:r w:rsidR="00613502">
              <w:t>ppt</w:t>
            </w:r>
          </w:p>
        </w:tc>
      </w:tr>
      <w:tr w:rsidR="00B4565F" w14:paraId="04EA22D1" w14:textId="77777777" w:rsidTr="00CA7839">
        <w:tc>
          <w:tcPr>
            <w:cnfStyle w:val="001000000000" w:firstRow="0" w:lastRow="0" w:firstColumn="1" w:lastColumn="0" w:oddVBand="0" w:evenVBand="0" w:oddHBand="0" w:evenHBand="0" w:firstRowFirstColumn="0" w:firstRowLastColumn="0" w:lastRowFirstColumn="0" w:lastRowLastColumn="0"/>
            <w:tcW w:w="2229" w:type="dxa"/>
          </w:tcPr>
          <w:p w14:paraId="4B2C62AF" w14:textId="48DB5CF9" w:rsidR="00B4565F" w:rsidRDefault="00B4565F" w:rsidP="008A055D">
            <w:pPr>
              <w:pStyle w:val="TableTextLeft"/>
            </w:pPr>
            <w:r>
              <w:t>Volunteer</w:t>
            </w:r>
            <w:r w:rsidR="00C26062">
              <w:noBreakHyphen/>
            </w:r>
            <w:r>
              <w:t>based charities</w:t>
            </w:r>
          </w:p>
        </w:tc>
        <w:tc>
          <w:tcPr>
            <w:tcW w:w="2918" w:type="dxa"/>
          </w:tcPr>
          <w:p w14:paraId="00D2C099" w14:textId="3BCB5B3A" w:rsidR="00B4565F" w:rsidRDefault="00B4565F" w:rsidP="008A055D">
            <w:pPr>
              <w:pStyle w:val="TableTextLeft"/>
              <w:cnfStyle w:val="000000000000" w:firstRow="0" w:lastRow="0" w:firstColumn="0" w:lastColumn="0" w:oddVBand="0" w:evenVBand="0" w:oddHBand="0" w:evenHBand="0" w:firstRowFirstColumn="0" w:firstRowLastColumn="0" w:lastRowFirstColumn="0" w:lastRowLastColumn="0"/>
            </w:pPr>
            <w:r>
              <w:t>Volunteer</w:t>
            </w:r>
            <w:r w:rsidR="00C26062">
              <w:noBreakHyphen/>
            </w:r>
            <w:r>
              <w:t>based charities</w:t>
            </w:r>
          </w:p>
        </w:tc>
        <w:tc>
          <w:tcPr>
            <w:tcW w:w="1541" w:type="dxa"/>
            <w:tcMar>
              <w:right w:w="170" w:type="dxa"/>
            </w:tcMar>
          </w:tcPr>
          <w:p w14:paraId="30336C13" w14:textId="3AD47109" w:rsidR="00B4565F" w:rsidRDefault="00CC0C0D" w:rsidP="00CA7839">
            <w:pPr>
              <w:pStyle w:val="TableTextRight"/>
              <w:cnfStyle w:val="000000000000" w:firstRow="0" w:lastRow="0" w:firstColumn="0" w:lastColumn="0" w:oddVBand="0" w:evenVBand="0" w:oddHBand="0" w:evenHBand="0" w:firstRowFirstColumn="0" w:firstRowLastColumn="0" w:lastRowFirstColumn="0" w:lastRowLastColumn="0"/>
            </w:pPr>
            <w:r>
              <w:t>59.1%</w:t>
            </w:r>
          </w:p>
        </w:tc>
        <w:tc>
          <w:tcPr>
            <w:tcW w:w="1387" w:type="dxa"/>
            <w:tcMar>
              <w:right w:w="170" w:type="dxa"/>
            </w:tcMar>
          </w:tcPr>
          <w:p w14:paraId="3FC5DB1D" w14:textId="2EE5C297" w:rsidR="00B4565F" w:rsidRDefault="00CC0C0D" w:rsidP="00CA7839">
            <w:pPr>
              <w:pStyle w:val="TableTextRight"/>
              <w:cnfStyle w:val="000000000000" w:firstRow="0" w:lastRow="0" w:firstColumn="0" w:lastColumn="0" w:oddVBand="0" w:evenVBand="0" w:oddHBand="0" w:evenHBand="0" w:firstRowFirstColumn="0" w:firstRowLastColumn="0" w:lastRowFirstColumn="0" w:lastRowLastColumn="0"/>
            </w:pPr>
            <w:r>
              <w:t>53.6%</w:t>
            </w:r>
          </w:p>
        </w:tc>
        <w:tc>
          <w:tcPr>
            <w:tcW w:w="987" w:type="dxa"/>
            <w:tcMar>
              <w:right w:w="170" w:type="dxa"/>
            </w:tcMar>
          </w:tcPr>
          <w:p w14:paraId="2473AE15" w14:textId="5EAC1B2E" w:rsidR="00B4565F" w:rsidRDefault="00A112E9" w:rsidP="00CA7839">
            <w:pPr>
              <w:pStyle w:val="TableTextRight"/>
              <w:cnfStyle w:val="000000000000" w:firstRow="0" w:lastRow="0" w:firstColumn="0" w:lastColumn="0" w:oddVBand="0" w:evenVBand="0" w:oddHBand="0" w:evenHBand="0" w:firstRowFirstColumn="0" w:firstRowLastColumn="0" w:lastRowFirstColumn="0" w:lastRowLastColumn="0"/>
            </w:pPr>
            <w:r>
              <w:t>5.5</w:t>
            </w:r>
            <w:r w:rsidR="00613502">
              <w:t>ppt</w:t>
            </w:r>
          </w:p>
        </w:tc>
      </w:tr>
      <w:tr w:rsidR="00B4565F" w14:paraId="224CDA82" w14:textId="77777777" w:rsidTr="00CA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9" w:type="dxa"/>
          </w:tcPr>
          <w:p w14:paraId="25464E78" w14:textId="77777777" w:rsidR="00B4565F" w:rsidRDefault="00B4565F" w:rsidP="008A055D">
            <w:pPr>
              <w:pStyle w:val="TableTextLeft"/>
            </w:pPr>
          </w:p>
        </w:tc>
        <w:tc>
          <w:tcPr>
            <w:tcW w:w="2918" w:type="dxa"/>
          </w:tcPr>
          <w:p w14:paraId="153D2152" w14:textId="1E63D0CD" w:rsidR="00B4565F" w:rsidRDefault="00B4565F" w:rsidP="008A055D">
            <w:pPr>
              <w:pStyle w:val="TableTextLeft"/>
              <w:cnfStyle w:val="000000100000" w:firstRow="0" w:lastRow="0" w:firstColumn="0" w:lastColumn="0" w:oddVBand="0" w:evenVBand="0" w:oddHBand="1" w:evenHBand="0" w:firstRowFirstColumn="0" w:firstRowLastColumn="0" w:lastRowFirstColumn="0" w:lastRowLastColumn="0"/>
            </w:pPr>
            <w:r>
              <w:t>Non</w:t>
            </w:r>
            <w:r w:rsidR="00C26062">
              <w:noBreakHyphen/>
            </w:r>
            <w:proofErr w:type="gramStart"/>
            <w:r>
              <w:t>volunteer based</w:t>
            </w:r>
            <w:proofErr w:type="gramEnd"/>
            <w:r>
              <w:t xml:space="preserve"> charities</w:t>
            </w:r>
          </w:p>
        </w:tc>
        <w:tc>
          <w:tcPr>
            <w:tcW w:w="1541" w:type="dxa"/>
            <w:tcMar>
              <w:right w:w="170" w:type="dxa"/>
            </w:tcMar>
          </w:tcPr>
          <w:p w14:paraId="65340474" w14:textId="102BA20C" w:rsidR="00B4565F" w:rsidRDefault="002338B4" w:rsidP="00CA7839">
            <w:pPr>
              <w:pStyle w:val="TableTextRight"/>
              <w:cnfStyle w:val="000000100000" w:firstRow="0" w:lastRow="0" w:firstColumn="0" w:lastColumn="0" w:oddVBand="0" w:evenVBand="0" w:oddHBand="1" w:evenHBand="0" w:firstRowFirstColumn="0" w:firstRowLastColumn="0" w:lastRowFirstColumn="0" w:lastRowLastColumn="0"/>
            </w:pPr>
            <w:r>
              <w:t>66.1%</w:t>
            </w:r>
          </w:p>
        </w:tc>
        <w:tc>
          <w:tcPr>
            <w:tcW w:w="1387" w:type="dxa"/>
            <w:tcMar>
              <w:right w:w="170" w:type="dxa"/>
            </w:tcMar>
          </w:tcPr>
          <w:p w14:paraId="179BC2CA" w14:textId="5C918CFC" w:rsidR="00B4565F" w:rsidRDefault="002338B4" w:rsidP="00CA7839">
            <w:pPr>
              <w:pStyle w:val="TableTextRight"/>
              <w:cnfStyle w:val="000000100000" w:firstRow="0" w:lastRow="0" w:firstColumn="0" w:lastColumn="0" w:oddVBand="0" w:evenVBand="0" w:oddHBand="1" w:evenHBand="0" w:firstRowFirstColumn="0" w:firstRowLastColumn="0" w:lastRowFirstColumn="0" w:lastRowLastColumn="0"/>
            </w:pPr>
            <w:r>
              <w:t>60.5%</w:t>
            </w:r>
          </w:p>
        </w:tc>
        <w:tc>
          <w:tcPr>
            <w:tcW w:w="987" w:type="dxa"/>
            <w:tcMar>
              <w:right w:w="170" w:type="dxa"/>
            </w:tcMar>
          </w:tcPr>
          <w:p w14:paraId="4D8C8165" w14:textId="3D056A5F" w:rsidR="00B4565F" w:rsidRDefault="00400AB1" w:rsidP="00CA7839">
            <w:pPr>
              <w:pStyle w:val="TableTextRight"/>
              <w:cnfStyle w:val="000000100000" w:firstRow="0" w:lastRow="0" w:firstColumn="0" w:lastColumn="0" w:oddVBand="0" w:evenVBand="0" w:oddHBand="1" w:evenHBand="0" w:firstRowFirstColumn="0" w:firstRowLastColumn="0" w:lastRowFirstColumn="0" w:lastRowLastColumn="0"/>
            </w:pPr>
            <w:r>
              <w:t>5.6</w:t>
            </w:r>
            <w:r w:rsidR="00613502">
              <w:t>ppt</w:t>
            </w:r>
          </w:p>
        </w:tc>
      </w:tr>
      <w:tr w:rsidR="00B4565F" w14:paraId="206128F1" w14:textId="77777777" w:rsidTr="00CA7839">
        <w:tc>
          <w:tcPr>
            <w:cnfStyle w:val="001000000000" w:firstRow="0" w:lastRow="0" w:firstColumn="1" w:lastColumn="0" w:oddVBand="0" w:evenVBand="0" w:oddHBand="0" w:evenHBand="0" w:firstRowFirstColumn="0" w:firstRowLastColumn="0" w:lastRowFirstColumn="0" w:lastRowLastColumn="0"/>
            <w:tcW w:w="2229" w:type="dxa"/>
          </w:tcPr>
          <w:p w14:paraId="79676665" w14:textId="77777777" w:rsidR="00B4565F" w:rsidRDefault="00B4565F" w:rsidP="008A055D">
            <w:pPr>
              <w:pStyle w:val="TableTextLeft"/>
            </w:pPr>
            <w:r>
              <w:t>Basic religious charities</w:t>
            </w:r>
          </w:p>
        </w:tc>
        <w:tc>
          <w:tcPr>
            <w:tcW w:w="2918" w:type="dxa"/>
          </w:tcPr>
          <w:p w14:paraId="0ED0213D" w14:textId="394F5F4F" w:rsidR="00B4565F" w:rsidRPr="00357287" w:rsidRDefault="00B4565F" w:rsidP="00357287">
            <w:pPr>
              <w:pStyle w:val="TableMainHeading"/>
              <w:cnfStyle w:val="000000000000" w:firstRow="0" w:lastRow="0" w:firstColumn="0" w:lastColumn="0" w:oddVBand="0" w:evenVBand="0" w:oddHBand="0" w:evenHBand="0" w:firstRowFirstColumn="0" w:firstRowLastColumn="0" w:lastRowFirstColumn="0" w:lastRowLastColumn="0"/>
              <w:rPr>
                <w:rFonts w:ascii="Calibri Light" w:hAnsi="Calibri Light" w:cs="Times New Roman"/>
                <w:color w:val="000000"/>
                <w:kern w:val="0"/>
                <w:sz w:val="18"/>
                <w:szCs w:val="20"/>
              </w:rPr>
            </w:pPr>
            <w:r w:rsidRPr="00357287">
              <w:rPr>
                <w:rFonts w:ascii="Calibri Light" w:hAnsi="Calibri Light" w:cs="Times New Roman"/>
                <w:color w:val="000000"/>
                <w:kern w:val="0"/>
                <w:sz w:val="18"/>
                <w:szCs w:val="20"/>
              </w:rPr>
              <w:t xml:space="preserve">Basic </w:t>
            </w:r>
            <w:r w:rsidR="00680D05" w:rsidRPr="00357287">
              <w:rPr>
                <w:rFonts w:ascii="Calibri Light" w:hAnsi="Calibri Light" w:cs="Times New Roman"/>
                <w:color w:val="000000"/>
                <w:kern w:val="0"/>
                <w:sz w:val="18"/>
                <w:szCs w:val="20"/>
              </w:rPr>
              <w:t>Religious Charities</w:t>
            </w:r>
          </w:p>
        </w:tc>
        <w:tc>
          <w:tcPr>
            <w:tcW w:w="1541" w:type="dxa"/>
            <w:tcMar>
              <w:right w:w="170" w:type="dxa"/>
            </w:tcMar>
          </w:tcPr>
          <w:p w14:paraId="6197CE0A" w14:textId="7A8C82F1" w:rsidR="00B4565F" w:rsidRDefault="005422D6" w:rsidP="00CA7839">
            <w:pPr>
              <w:pStyle w:val="TableTextRight"/>
              <w:cnfStyle w:val="000000000000" w:firstRow="0" w:lastRow="0" w:firstColumn="0" w:lastColumn="0" w:oddVBand="0" w:evenVBand="0" w:oddHBand="0" w:evenHBand="0" w:firstRowFirstColumn="0" w:firstRowLastColumn="0" w:lastRowFirstColumn="0" w:lastRowLastColumn="0"/>
            </w:pPr>
            <w:r>
              <w:t>64.5%</w:t>
            </w:r>
          </w:p>
        </w:tc>
        <w:tc>
          <w:tcPr>
            <w:tcW w:w="1387" w:type="dxa"/>
            <w:tcMar>
              <w:right w:w="170" w:type="dxa"/>
            </w:tcMar>
          </w:tcPr>
          <w:p w14:paraId="17C84E45" w14:textId="12CD0C3C" w:rsidR="00B4565F" w:rsidRDefault="005422D6" w:rsidP="00CA7839">
            <w:pPr>
              <w:pStyle w:val="TableTextRight"/>
              <w:cnfStyle w:val="000000000000" w:firstRow="0" w:lastRow="0" w:firstColumn="0" w:lastColumn="0" w:oddVBand="0" w:evenVBand="0" w:oddHBand="0" w:evenHBand="0" w:firstRowFirstColumn="0" w:firstRowLastColumn="0" w:lastRowFirstColumn="0" w:lastRowLastColumn="0"/>
            </w:pPr>
            <w:r>
              <w:t>57.3%</w:t>
            </w:r>
          </w:p>
        </w:tc>
        <w:tc>
          <w:tcPr>
            <w:tcW w:w="987" w:type="dxa"/>
            <w:tcMar>
              <w:right w:w="170" w:type="dxa"/>
            </w:tcMar>
          </w:tcPr>
          <w:p w14:paraId="7A6F7179" w14:textId="373803F4" w:rsidR="00B4565F" w:rsidRDefault="00C82B4B" w:rsidP="00CA7839">
            <w:pPr>
              <w:pStyle w:val="TableTextRight"/>
              <w:cnfStyle w:val="000000000000" w:firstRow="0" w:lastRow="0" w:firstColumn="0" w:lastColumn="0" w:oddVBand="0" w:evenVBand="0" w:oddHBand="0" w:evenHBand="0" w:firstRowFirstColumn="0" w:firstRowLastColumn="0" w:lastRowFirstColumn="0" w:lastRowLastColumn="0"/>
            </w:pPr>
            <w:r>
              <w:t>7.3</w:t>
            </w:r>
            <w:r w:rsidR="00613502">
              <w:t>ppt</w:t>
            </w:r>
          </w:p>
        </w:tc>
      </w:tr>
      <w:tr w:rsidR="00B4565F" w14:paraId="1034A66F" w14:textId="77777777" w:rsidTr="00CA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9" w:type="dxa"/>
          </w:tcPr>
          <w:p w14:paraId="4A6C744D" w14:textId="77777777" w:rsidR="00B4565F" w:rsidRDefault="00B4565F" w:rsidP="008A055D">
            <w:pPr>
              <w:pStyle w:val="TableTextLeft"/>
            </w:pPr>
          </w:p>
        </w:tc>
        <w:tc>
          <w:tcPr>
            <w:tcW w:w="2918" w:type="dxa"/>
          </w:tcPr>
          <w:p w14:paraId="3DB68424" w14:textId="2BFD85F7" w:rsidR="00B4565F" w:rsidRDefault="00B4565F" w:rsidP="008A055D">
            <w:pPr>
              <w:pStyle w:val="TableTextLeft"/>
              <w:cnfStyle w:val="000000100000" w:firstRow="0" w:lastRow="0" w:firstColumn="0" w:lastColumn="0" w:oddVBand="0" w:evenVBand="0" w:oddHBand="1" w:evenHBand="0" w:firstRowFirstColumn="0" w:firstRowLastColumn="0" w:lastRowFirstColumn="0" w:lastRowLastColumn="0"/>
            </w:pPr>
            <w:r>
              <w:t>Non</w:t>
            </w:r>
            <w:r w:rsidR="00C26062">
              <w:noBreakHyphen/>
            </w:r>
            <w:r>
              <w:t xml:space="preserve">based </w:t>
            </w:r>
            <w:r w:rsidR="00680D05">
              <w:t>Basic Religious C</w:t>
            </w:r>
            <w:r>
              <w:t>harities</w:t>
            </w:r>
          </w:p>
        </w:tc>
        <w:tc>
          <w:tcPr>
            <w:tcW w:w="1541" w:type="dxa"/>
            <w:tcMar>
              <w:right w:w="170" w:type="dxa"/>
            </w:tcMar>
          </w:tcPr>
          <w:p w14:paraId="1DF82E93" w14:textId="51886E9F" w:rsidR="00B4565F" w:rsidRDefault="005422D6" w:rsidP="00CA7839">
            <w:pPr>
              <w:pStyle w:val="TableTextRight"/>
              <w:cnfStyle w:val="000000100000" w:firstRow="0" w:lastRow="0" w:firstColumn="0" w:lastColumn="0" w:oddVBand="0" w:evenVBand="0" w:oddHBand="1" w:evenHBand="0" w:firstRowFirstColumn="0" w:firstRowLastColumn="0" w:lastRowFirstColumn="0" w:lastRowLastColumn="0"/>
            </w:pPr>
            <w:r>
              <w:t>62.7%</w:t>
            </w:r>
          </w:p>
        </w:tc>
        <w:tc>
          <w:tcPr>
            <w:tcW w:w="1387" w:type="dxa"/>
            <w:tcMar>
              <w:right w:w="170" w:type="dxa"/>
            </w:tcMar>
          </w:tcPr>
          <w:p w14:paraId="551F7A8B" w14:textId="4E2BA40B" w:rsidR="00B4565F" w:rsidRDefault="005422D6" w:rsidP="00CA7839">
            <w:pPr>
              <w:pStyle w:val="TableTextRight"/>
              <w:cnfStyle w:val="000000100000" w:firstRow="0" w:lastRow="0" w:firstColumn="0" w:lastColumn="0" w:oddVBand="0" w:evenVBand="0" w:oddHBand="1" w:evenHBand="0" w:firstRowFirstColumn="0" w:firstRowLastColumn="0" w:lastRowFirstColumn="0" w:lastRowLastColumn="0"/>
            </w:pPr>
            <w:r>
              <w:t>57.2%</w:t>
            </w:r>
          </w:p>
        </w:tc>
        <w:tc>
          <w:tcPr>
            <w:tcW w:w="987" w:type="dxa"/>
            <w:tcMar>
              <w:right w:w="170" w:type="dxa"/>
            </w:tcMar>
          </w:tcPr>
          <w:p w14:paraId="33AD08BA" w14:textId="31A683FF" w:rsidR="00B4565F" w:rsidRDefault="00C82B4B" w:rsidP="00CA7839">
            <w:pPr>
              <w:pStyle w:val="TableTextRight"/>
              <w:cnfStyle w:val="000000100000" w:firstRow="0" w:lastRow="0" w:firstColumn="0" w:lastColumn="0" w:oddVBand="0" w:evenVBand="0" w:oddHBand="1" w:evenHBand="0" w:firstRowFirstColumn="0" w:firstRowLastColumn="0" w:lastRowFirstColumn="0" w:lastRowLastColumn="0"/>
            </w:pPr>
            <w:r>
              <w:t>5.6</w:t>
            </w:r>
            <w:r w:rsidR="00613502">
              <w:t>ppt</w:t>
            </w:r>
          </w:p>
        </w:tc>
      </w:tr>
      <w:tr w:rsidR="00B4565F" w14:paraId="421765EC" w14:textId="77777777" w:rsidTr="00CA7839">
        <w:tc>
          <w:tcPr>
            <w:cnfStyle w:val="001000000000" w:firstRow="0" w:lastRow="0" w:firstColumn="1" w:lastColumn="0" w:oddVBand="0" w:evenVBand="0" w:oddHBand="0" w:evenHBand="0" w:firstRowFirstColumn="0" w:firstRowLastColumn="0" w:lastRowFirstColumn="0" w:lastRowLastColumn="0"/>
            <w:tcW w:w="2229" w:type="dxa"/>
          </w:tcPr>
          <w:p w14:paraId="4EE1A227" w14:textId="77777777" w:rsidR="00B4565F" w:rsidRDefault="00B4565F" w:rsidP="008A055D">
            <w:pPr>
              <w:pStyle w:val="TableTextLeft"/>
            </w:pPr>
            <w:r>
              <w:t>First AIS</w:t>
            </w:r>
          </w:p>
        </w:tc>
        <w:tc>
          <w:tcPr>
            <w:tcW w:w="2918" w:type="dxa"/>
          </w:tcPr>
          <w:p w14:paraId="411683FD" w14:textId="77777777" w:rsidR="00B4565F" w:rsidRDefault="00B4565F" w:rsidP="008A055D">
            <w:pPr>
              <w:pStyle w:val="TableTextLeft"/>
              <w:cnfStyle w:val="000000000000" w:firstRow="0" w:lastRow="0" w:firstColumn="0" w:lastColumn="0" w:oddVBand="0" w:evenVBand="0" w:oddHBand="0" w:evenHBand="0" w:firstRowFirstColumn="0" w:firstRowLastColumn="0" w:lastRowFirstColumn="0" w:lastRowLastColumn="0"/>
            </w:pPr>
            <w:r>
              <w:t>Charities submitting AIS for first time</w:t>
            </w:r>
          </w:p>
        </w:tc>
        <w:tc>
          <w:tcPr>
            <w:tcW w:w="1541" w:type="dxa"/>
            <w:tcMar>
              <w:right w:w="170" w:type="dxa"/>
            </w:tcMar>
          </w:tcPr>
          <w:p w14:paraId="17D2683D" w14:textId="341A59D8" w:rsidR="00B4565F" w:rsidRDefault="009E5485" w:rsidP="00CA7839">
            <w:pPr>
              <w:pStyle w:val="TableTextRight"/>
              <w:cnfStyle w:val="000000000000" w:firstRow="0" w:lastRow="0" w:firstColumn="0" w:lastColumn="0" w:oddVBand="0" w:evenVBand="0" w:oddHBand="0" w:evenHBand="0" w:firstRowFirstColumn="0" w:firstRowLastColumn="0" w:lastRowFirstColumn="0" w:lastRowLastColumn="0"/>
            </w:pPr>
            <w:r>
              <w:t>52.7%</w:t>
            </w:r>
          </w:p>
        </w:tc>
        <w:tc>
          <w:tcPr>
            <w:tcW w:w="1387" w:type="dxa"/>
            <w:tcMar>
              <w:right w:w="170" w:type="dxa"/>
            </w:tcMar>
          </w:tcPr>
          <w:p w14:paraId="7DF5B224" w14:textId="7F8C050B" w:rsidR="00B4565F" w:rsidRDefault="00354061" w:rsidP="00CA7839">
            <w:pPr>
              <w:pStyle w:val="TableTextRight"/>
              <w:cnfStyle w:val="000000000000" w:firstRow="0" w:lastRow="0" w:firstColumn="0" w:lastColumn="0" w:oddVBand="0" w:evenVBand="0" w:oddHBand="0" w:evenHBand="0" w:firstRowFirstColumn="0" w:firstRowLastColumn="0" w:lastRowFirstColumn="0" w:lastRowLastColumn="0"/>
            </w:pPr>
            <w:r>
              <w:t>46.3%</w:t>
            </w:r>
          </w:p>
        </w:tc>
        <w:tc>
          <w:tcPr>
            <w:tcW w:w="987" w:type="dxa"/>
            <w:tcMar>
              <w:right w:w="170" w:type="dxa"/>
            </w:tcMar>
          </w:tcPr>
          <w:p w14:paraId="55C001F1" w14:textId="7F11D7E9" w:rsidR="00B4565F" w:rsidRDefault="00354061" w:rsidP="00CA7839">
            <w:pPr>
              <w:pStyle w:val="TableTextRight"/>
              <w:cnfStyle w:val="000000000000" w:firstRow="0" w:lastRow="0" w:firstColumn="0" w:lastColumn="0" w:oddVBand="0" w:evenVBand="0" w:oddHBand="0" w:evenHBand="0" w:firstRowFirstColumn="0" w:firstRowLastColumn="0" w:lastRowFirstColumn="0" w:lastRowLastColumn="0"/>
            </w:pPr>
            <w:r>
              <w:t>6.4</w:t>
            </w:r>
            <w:r w:rsidR="00613502">
              <w:t>ppt</w:t>
            </w:r>
          </w:p>
        </w:tc>
      </w:tr>
      <w:tr w:rsidR="00B4565F" w14:paraId="1D972A28" w14:textId="77777777" w:rsidTr="00CA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9" w:type="dxa"/>
          </w:tcPr>
          <w:p w14:paraId="16ADF3BE" w14:textId="77777777" w:rsidR="00B4565F" w:rsidRDefault="00B4565F" w:rsidP="008A055D">
            <w:pPr>
              <w:pStyle w:val="TableTextLeft"/>
            </w:pPr>
          </w:p>
        </w:tc>
        <w:tc>
          <w:tcPr>
            <w:tcW w:w="2918" w:type="dxa"/>
          </w:tcPr>
          <w:p w14:paraId="2A6C6DCE" w14:textId="77777777" w:rsidR="00B4565F" w:rsidRDefault="00B4565F" w:rsidP="008A055D">
            <w:pPr>
              <w:pStyle w:val="TableTextLeft"/>
              <w:cnfStyle w:val="000000100000" w:firstRow="0" w:lastRow="0" w:firstColumn="0" w:lastColumn="0" w:oddVBand="0" w:evenVBand="0" w:oddHBand="1" w:evenHBand="0" w:firstRowFirstColumn="0" w:firstRowLastColumn="0" w:lastRowFirstColumn="0" w:lastRowLastColumn="0"/>
            </w:pPr>
            <w:r>
              <w:t>Charities not submitting AIS for first time</w:t>
            </w:r>
          </w:p>
        </w:tc>
        <w:tc>
          <w:tcPr>
            <w:tcW w:w="1541" w:type="dxa"/>
            <w:tcMar>
              <w:right w:w="170" w:type="dxa"/>
            </w:tcMar>
          </w:tcPr>
          <w:p w14:paraId="1CBD5101" w14:textId="56C0A4EF" w:rsidR="00B4565F" w:rsidRDefault="001B47FF" w:rsidP="00CA7839">
            <w:pPr>
              <w:pStyle w:val="TableTextRight"/>
              <w:cnfStyle w:val="000000100000" w:firstRow="0" w:lastRow="0" w:firstColumn="0" w:lastColumn="0" w:oddVBand="0" w:evenVBand="0" w:oddHBand="1" w:evenHBand="0" w:firstRowFirstColumn="0" w:firstRowLastColumn="0" w:lastRowFirstColumn="0" w:lastRowLastColumn="0"/>
            </w:pPr>
            <w:r>
              <w:t>62.6</w:t>
            </w:r>
            <w:r w:rsidR="000D3E8E">
              <w:t>%</w:t>
            </w:r>
          </w:p>
        </w:tc>
        <w:tc>
          <w:tcPr>
            <w:tcW w:w="1387" w:type="dxa"/>
            <w:tcMar>
              <w:right w:w="170" w:type="dxa"/>
            </w:tcMar>
          </w:tcPr>
          <w:p w14:paraId="25D94CAF" w14:textId="74321046" w:rsidR="00B4565F" w:rsidRDefault="001B47FF" w:rsidP="00CA7839">
            <w:pPr>
              <w:pStyle w:val="TableTextRight"/>
              <w:cnfStyle w:val="000000100000" w:firstRow="0" w:lastRow="0" w:firstColumn="0" w:lastColumn="0" w:oddVBand="0" w:evenVBand="0" w:oddHBand="1" w:evenHBand="0" w:firstRowFirstColumn="0" w:firstRowLastColumn="0" w:lastRowFirstColumn="0" w:lastRowLastColumn="0"/>
            </w:pPr>
            <w:r>
              <w:t>56.3</w:t>
            </w:r>
            <w:r w:rsidR="000D3E8E">
              <w:t>%</w:t>
            </w:r>
          </w:p>
        </w:tc>
        <w:tc>
          <w:tcPr>
            <w:tcW w:w="987" w:type="dxa"/>
            <w:tcMar>
              <w:right w:w="170" w:type="dxa"/>
            </w:tcMar>
          </w:tcPr>
          <w:p w14:paraId="1C5FADB1" w14:textId="15A67C74" w:rsidR="00B4565F" w:rsidRDefault="001B47FF" w:rsidP="00CA7839">
            <w:pPr>
              <w:pStyle w:val="TableTextRight"/>
              <w:cnfStyle w:val="000000100000" w:firstRow="0" w:lastRow="0" w:firstColumn="0" w:lastColumn="0" w:oddVBand="0" w:evenVBand="0" w:oddHBand="1" w:evenHBand="0" w:firstRowFirstColumn="0" w:firstRowLastColumn="0" w:lastRowFirstColumn="0" w:lastRowLastColumn="0"/>
            </w:pPr>
            <w:r>
              <w:t>6.3</w:t>
            </w:r>
            <w:r w:rsidR="00613502">
              <w:t>ppt</w:t>
            </w:r>
          </w:p>
        </w:tc>
      </w:tr>
    </w:tbl>
    <w:p w14:paraId="280A1F09" w14:textId="77777777" w:rsidR="00244F23" w:rsidRDefault="00244F23" w:rsidP="00244F23">
      <w:pPr>
        <w:pStyle w:val="Heading2"/>
      </w:pPr>
      <w:bookmarkStart w:id="56" w:name="_Toc207712043"/>
      <w:r>
        <w:lastRenderedPageBreak/>
        <w:t>Risk of bias</w:t>
      </w:r>
      <w:bookmarkEnd w:id="56"/>
    </w:p>
    <w:p w14:paraId="275554D8" w14:textId="7CFD6835" w:rsidR="00244F23" w:rsidRDefault="00244F23" w:rsidP="00244F23">
      <w:r>
        <w:t>While the aim of randomisation is to eliminate the risk of bias in estimated outcomes, bias may re</w:t>
      </w:r>
      <w:r w:rsidR="00C26062">
        <w:noBreakHyphen/>
      </w:r>
      <w:r>
        <w:t>emerge in various ways. This section discusses 3 potential threats to internal validity: missing outcome data, spillovers, or evaluation</w:t>
      </w:r>
      <w:r w:rsidR="00C26062">
        <w:noBreakHyphen/>
      </w:r>
      <w:r>
        <w:t xml:space="preserve">driven effects. </w:t>
      </w:r>
    </w:p>
    <w:p w14:paraId="0FA49B45" w14:textId="77777777" w:rsidR="00244F23" w:rsidRDefault="00244F23" w:rsidP="00244F23">
      <w:pPr>
        <w:pStyle w:val="Heading3"/>
      </w:pPr>
      <w:r>
        <w:t>Missing data</w:t>
      </w:r>
    </w:p>
    <w:p w14:paraId="38E54D68" w14:textId="5F19056C" w:rsidR="00244F23" w:rsidRDefault="00244F23" w:rsidP="00244F23">
      <w:r>
        <w:t>As discussed above, there was no missing outcome data in this trial. There was some missing covariate data however this was handled consistently with the pre</w:t>
      </w:r>
      <w:r w:rsidR="00C26062">
        <w:noBreakHyphen/>
      </w:r>
      <w:r>
        <w:t>analysis plan. That is, the missing covariate value was imputed as 0, and an additional missingness indicator was included in the model.</w:t>
      </w:r>
    </w:p>
    <w:p w14:paraId="4FD7501E" w14:textId="77777777" w:rsidR="00244F23" w:rsidRDefault="00244F23" w:rsidP="00244F23">
      <w:pPr>
        <w:pStyle w:val="Heading3"/>
      </w:pPr>
      <w:r>
        <w:t>Spillovers</w:t>
      </w:r>
    </w:p>
    <w:p w14:paraId="122977BA" w14:textId="4EAD4372" w:rsidR="00244F23" w:rsidRDefault="00244F23" w:rsidP="00244F23">
      <w:r>
        <w:t xml:space="preserve">It was possible that some charities had a shared Responsible Person or other shared management. In this case, a charity assigned to the control group may benefit from the extra reminder message that was sent to the Responsible Person. To the extent that such </w:t>
      </w:r>
      <w:r w:rsidR="00C26062">
        <w:t>‘</w:t>
      </w:r>
      <w:r>
        <w:t>spillovers</w:t>
      </w:r>
      <w:r w:rsidR="00C26062">
        <w:t>’</w:t>
      </w:r>
      <w:r>
        <w:t xml:space="preserve"> occurred, this would have meant that the trial marginally </w:t>
      </w:r>
      <w:r w:rsidRPr="00665FB1">
        <w:rPr>
          <w:i/>
          <w:iCs/>
        </w:rPr>
        <w:t>underestimated</w:t>
      </w:r>
      <w:r>
        <w:t xml:space="preserve"> the effect of the extra reminder. However, this spillover effect was likely to be limited: internal ACNC estimates suggested that less than 5% of charities are likely to have an overlap of Responsible Person.</w:t>
      </w:r>
    </w:p>
    <w:p w14:paraId="5BE2D277" w14:textId="1985D0EF" w:rsidR="00244F23" w:rsidRDefault="00244F23" w:rsidP="00244F23">
      <w:pPr>
        <w:pStyle w:val="Heading3"/>
      </w:pPr>
      <w:r>
        <w:t>Blinding and evaluation</w:t>
      </w:r>
      <w:r w:rsidR="008F6F13">
        <w:t>-</w:t>
      </w:r>
      <w:r>
        <w:t>driven effects</w:t>
      </w:r>
    </w:p>
    <w:p w14:paraId="756F7CD2" w14:textId="49D34694" w:rsidR="00800E5B" w:rsidRDefault="00244F23" w:rsidP="00FD6E42">
      <w:r>
        <w:t>Participants were unaware they were involved in a trial however it was not possible to blind the participants to their treatment status. Nonetheless, it is unlikely there were substantial evaluation</w:t>
      </w:r>
      <w:r w:rsidR="00C26062">
        <w:noBreakHyphen/>
      </w:r>
      <w:r>
        <w:t>driven effects due to awareness of treatment status.</w:t>
      </w:r>
    </w:p>
    <w:sectPr w:rsidR="00800E5B" w:rsidSect="00870009">
      <w:footerReference w:type="even" r:id="rId49"/>
      <w:footerReference w:type="default" r:id="rId50"/>
      <w:pgSz w:w="11906" w:h="16838" w:code="9"/>
      <w:pgMar w:top="1843"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6759D" w14:textId="77777777" w:rsidR="004C6EB1" w:rsidRDefault="004C6EB1">
      <w:pPr>
        <w:spacing w:before="0" w:after="0"/>
      </w:pPr>
      <w:r>
        <w:separator/>
      </w:r>
    </w:p>
  </w:endnote>
  <w:endnote w:type="continuationSeparator" w:id="0">
    <w:p w14:paraId="3B0550BB" w14:textId="77777777" w:rsidR="004C6EB1" w:rsidRDefault="004C6EB1">
      <w:pPr>
        <w:spacing w:before="0" w:after="0"/>
      </w:pPr>
      <w:r>
        <w:continuationSeparator/>
      </w:r>
    </w:p>
  </w:endnote>
  <w:endnote w:type="continuationNotice" w:id="1">
    <w:p w14:paraId="7C763AD1" w14:textId="77777777" w:rsidR="004C6EB1" w:rsidRDefault="004C6EB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wiss 721 BT">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A417" w14:textId="7C9F9B03" w:rsidR="00B0685D" w:rsidRDefault="00246088">
    <w:pPr>
      <w:pStyle w:val="Footer"/>
    </w:pPr>
    <w:r>
      <w:rPr>
        <w:noProof/>
      </w:rPr>
      <mc:AlternateContent>
        <mc:Choice Requires="wps">
          <w:drawing>
            <wp:anchor distT="0" distB="0" distL="0" distR="0" simplePos="0" relativeHeight="251658248" behindDoc="0" locked="0" layoutInCell="1" allowOverlap="1" wp14:anchorId="120AC2AB" wp14:editId="130E2E63">
              <wp:simplePos x="635" y="635"/>
              <wp:positionH relativeFrom="page">
                <wp:align>center</wp:align>
              </wp:positionH>
              <wp:positionV relativeFrom="page">
                <wp:align>bottom</wp:align>
              </wp:positionV>
              <wp:extent cx="459740" cy="421640"/>
              <wp:effectExtent l="0" t="0" r="16510" b="0"/>
              <wp:wrapNone/>
              <wp:docPr id="1282291783"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060D8A38" w14:textId="507C3014" w:rsidR="00246088" w:rsidRPr="00246088" w:rsidRDefault="00246088" w:rsidP="00246088">
                          <w:pPr>
                            <w:spacing w:after="0"/>
                            <w:rPr>
                              <w:rFonts w:ascii="Calibri" w:eastAsia="Calibri" w:hAnsi="Calibri" w:cs="Calibri"/>
                              <w:noProof/>
                              <w:color w:val="FF0000"/>
                              <w:sz w:val="20"/>
                            </w:rPr>
                          </w:pPr>
                          <w:r w:rsidRPr="00246088">
                            <w:rPr>
                              <w:rFonts w:ascii="Calibri" w:eastAsia="Calibri" w:hAnsi="Calibri" w:cs="Calibri"/>
                              <w:noProof/>
                              <w:color w:val="FF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0AC2AB" id="_x0000_t202" coordsize="21600,21600" o:spt="202" path="m,l,21600r21600,l21600,xe">
              <v:stroke joinstyle="miter"/>
              <v:path gradientshapeok="t" o:connecttype="rect"/>
            </v:shapetype>
            <v:shape id="Text Box 14" o:spid="_x0000_s1027" type="#_x0000_t202" alt="OFFICIAL" style="position:absolute;left:0;text-align:left;margin-left:0;margin-top:0;width:36.2pt;height:33.2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" filled="f" stroked="f">
              <v:textbox style="mso-fit-shape-to-text:t" inset="0,0,0,15pt">
                <w:txbxContent>
                  <w:p w14:paraId="060D8A38" w14:textId="507C3014" w:rsidR="00246088" w:rsidRPr="00246088" w:rsidRDefault="00246088" w:rsidP="00246088">
                    <w:pPr>
                      <w:spacing w:after="0"/>
                      <w:rPr>
                        <w:rFonts w:ascii="Calibri" w:eastAsia="Calibri" w:hAnsi="Calibri" w:cs="Calibri"/>
                        <w:noProof/>
                        <w:color w:val="FF0000"/>
                        <w:sz w:val="20"/>
                      </w:rPr>
                    </w:pPr>
                    <w:r w:rsidRPr="00246088">
                      <w:rPr>
                        <w:rFonts w:ascii="Calibri" w:eastAsia="Calibri" w:hAnsi="Calibri" w:cs="Calibri"/>
                        <w:noProof/>
                        <w:color w:val="FF0000"/>
                        <w:sz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1EEE6" w14:textId="12EE7D39" w:rsidR="004C7FE8" w:rsidRDefault="00C14B5F" w:rsidP="00C14B5F">
    <w:pPr>
      <w:pStyle w:val="FooterOdd"/>
    </w:pPr>
    <w:r>
      <w:rPr>
        <w:rStyle w:val="ui-provider"/>
      </w:rPr>
      <w:t>evaluation.treasury.gov.au</w:t>
    </w:r>
    <w:r>
      <w:tab/>
    </w:r>
    <w:fldSimple w:instr=" STYLEREF  &quot;Heading 1 Numbered&quot;  \* MERGEFORMAT ">
      <w:r w:rsidR="00D214E8">
        <w:rPr>
          <w:noProof/>
        </w:rPr>
        <w:t>Results</w:t>
      </w:r>
    </w:fldSimple>
    <w:r>
      <w:t xml:space="preserve"> | </w:t>
    </w:r>
    <w:r>
      <w:fldChar w:fldCharType="begin"/>
    </w:r>
    <w:r>
      <w:instrText xml:space="preserve"> PAGE   \* MERGEFORMAT </w:instrText>
    </w:r>
    <w:r>
      <w:fldChar w:fldCharType="separate"/>
    </w:r>
    <w:r>
      <w:t>5</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FCB7A" w14:textId="3CF20643" w:rsidR="004D3328" w:rsidRDefault="004D3328" w:rsidP="004D3328">
    <w:pPr>
      <w:pStyle w:val="FooterEven"/>
      <w:tabs>
        <w:tab w:val="clear" w:pos="9072"/>
        <w:tab w:val="right" w:pos="13578"/>
      </w:tabs>
      <w:jc w:val="both"/>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fldSimple w:instr=" STYLEREF  &quot;Heading 1 Numbered&quot;  \* MERGEFORMAT ">
      <w:r w:rsidR="005F5963">
        <w:t>Results</w:t>
      </w:r>
    </w:fldSimple>
    <w:r>
      <w:tab/>
    </w:r>
    <w:r w:rsidRPr="007A182A">
      <w:t>evaluation.treasury.gov.au</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30308" w14:textId="5C608920" w:rsidR="001004E1" w:rsidRDefault="001004E1" w:rsidP="00C007C1">
    <w:pPr>
      <w:pStyle w:val="FooterOdd"/>
      <w:tabs>
        <w:tab w:val="clear" w:pos="9072"/>
        <w:tab w:val="right" w:pos="13578"/>
      </w:tabs>
    </w:pPr>
    <w:r>
      <w:rPr>
        <w:rStyle w:val="ui-provider"/>
      </w:rPr>
      <w:t>evaluation.treasury.gov.au</w:t>
    </w:r>
    <w:r>
      <w:tab/>
    </w:r>
    <w:fldSimple w:instr=" STYLEREF  &quot;Heading 1 Numbered&quot;  \* MERGEFORMAT ">
      <w:r w:rsidR="00D214E8">
        <w:rPr>
          <w:noProof/>
        </w:rPr>
        <w:t>Results</w:t>
      </w:r>
    </w:fldSimple>
    <w:r>
      <w:t xml:space="preserve"> | </w:t>
    </w:r>
    <w:r>
      <w:fldChar w:fldCharType="begin"/>
    </w:r>
    <w:r>
      <w:instrText xml:space="preserve"> PAGE   \* MERGEFORMAT </w:instrText>
    </w:r>
    <w:r>
      <w:fldChar w:fldCharType="separate"/>
    </w:r>
    <w:r>
      <w:t>5</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6BCC" w14:textId="4AA2FED2" w:rsidR="00E66A1E" w:rsidRDefault="00672B5D" w:rsidP="00BC6E69">
    <w:pPr>
      <w:pStyle w:val="FooterEven"/>
      <w:jc w:val="both"/>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fldSimple w:instr=" STYLEREF  &quot;Heading 1 Numbered&quot;  \* MERGEFORMAT ">
      <w:r w:rsidR="005F5963">
        <w:t>Results</w:t>
      </w:r>
    </w:fldSimple>
    <w:r w:rsidR="00103F3C">
      <w:tab/>
    </w:r>
    <w:r w:rsidR="007A182A" w:rsidRPr="007A182A">
      <w:t>evaluation.treasury.gov.au</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86D9D" w14:textId="57E93BBC" w:rsidR="00246088" w:rsidRDefault="00731B07" w:rsidP="00731B07">
    <w:pPr>
      <w:pStyle w:val="FooterOdd"/>
    </w:pPr>
    <w:r>
      <w:rPr>
        <w:rStyle w:val="ui-provider"/>
      </w:rPr>
      <w:t>evaluation.treasury.gov.au</w:t>
    </w:r>
    <w:r>
      <w:tab/>
    </w:r>
    <w:fldSimple w:instr=" STYLEREF  &quot;Heading 1 Numbered&quot;  \* MERGEFORMAT ">
      <w:r w:rsidR="00D214E8">
        <w:rPr>
          <w:noProof/>
        </w:rPr>
        <w:t>Conclusions and recommendations</w:t>
      </w:r>
    </w:fldSimple>
    <w:r>
      <w:t xml:space="preserve"> | </w:t>
    </w:r>
    <w:r>
      <w:fldChar w:fldCharType="begin"/>
    </w:r>
    <w:r>
      <w:instrText xml:space="preserve"> PAGE   \* MERGEFORMAT </w:instrText>
    </w:r>
    <w:r>
      <w:fldChar w:fldCharType="separate"/>
    </w:r>
    <w:r>
      <w:t>5</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0D072" w14:textId="55634675" w:rsidR="00246088" w:rsidRDefault="00246088">
    <w:pPr>
      <w:pStyle w:val="Footer"/>
    </w:pPr>
    <w:r>
      <w:rPr>
        <w:noProof/>
      </w:rPr>
      <mc:AlternateContent>
        <mc:Choice Requires="wps">
          <w:drawing>
            <wp:anchor distT="0" distB="0" distL="0" distR="0" simplePos="0" relativeHeight="251658252" behindDoc="0" locked="0" layoutInCell="1" allowOverlap="1" wp14:anchorId="5C92ECF7" wp14:editId="360640B1">
              <wp:simplePos x="635" y="635"/>
              <wp:positionH relativeFrom="page">
                <wp:align>center</wp:align>
              </wp:positionH>
              <wp:positionV relativeFrom="page">
                <wp:align>bottom</wp:align>
              </wp:positionV>
              <wp:extent cx="459740" cy="421640"/>
              <wp:effectExtent l="0" t="0" r="16510" b="0"/>
              <wp:wrapNone/>
              <wp:docPr id="644525720"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1C37BAC7" w14:textId="21052D80" w:rsidR="00246088" w:rsidRPr="00246088" w:rsidRDefault="00246088" w:rsidP="00246088">
                          <w:pPr>
                            <w:spacing w:after="0"/>
                            <w:rPr>
                              <w:rFonts w:ascii="Calibri" w:eastAsia="Calibri" w:hAnsi="Calibri" w:cs="Calibri"/>
                              <w:noProof/>
                              <w:color w:val="FF0000"/>
                              <w:sz w:val="20"/>
                            </w:rPr>
                          </w:pPr>
                          <w:r w:rsidRPr="00246088">
                            <w:rPr>
                              <w:rFonts w:ascii="Calibri" w:eastAsia="Calibri" w:hAnsi="Calibri" w:cs="Calibri"/>
                              <w:noProof/>
                              <w:color w:val="FF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92ECF7" id="_x0000_t202" coordsize="21600,21600" o:spt="202" path="m,l,21600r21600,l21600,xe">
              <v:stroke joinstyle="miter"/>
              <v:path gradientshapeok="t" o:connecttype="rect"/>
            </v:shapetype>
            <v:shape id="Text Box 22" o:spid="_x0000_s1037" type="#_x0000_t202" alt="OFFICIAL" style="position:absolute;left:0;text-align:left;margin-left:0;margin-top:0;width:36.2pt;height:33.2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" filled="f" stroked="f">
              <v:textbox style="mso-fit-shape-to-text:t" inset="0,0,0,15pt">
                <w:txbxContent>
                  <w:p w14:paraId="1C37BAC7" w14:textId="21052D80" w:rsidR="00246088" w:rsidRPr="00246088" w:rsidRDefault="00246088" w:rsidP="00246088">
                    <w:pPr>
                      <w:spacing w:after="0"/>
                      <w:rPr>
                        <w:rFonts w:ascii="Calibri" w:eastAsia="Calibri" w:hAnsi="Calibri" w:cs="Calibri"/>
                        <w:noProof/>
                        <w:color w:val="FF0000"/>
                        <w:sz w:val="20"/>
                      </w:rPr>
                    </w:pPr>
                    <w:r w:rsidRPr="00246088">
                      <w:rPr>
                        <w:rFonts w:ascii="Calibri" w:eastAsia="Calibri" w:hAnsi="Calibri" w:cs="Calibri"/>
                        <w:noProof/>
                        <w:color w:val="FF0000"/>
                        <w:sz w:val="20"/>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126F0" w14:textId="76A6B35C" w:rsidR="004C7FE8" w:rsidRDefault="004C7FE8" w:rsidP="00BC6E69">
    <w:pPr>
      <w:pStyle w:val="FooterEven"/>
      <w:jc w:val="both"/>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fldSimple w:instr="STYLEREF  &quot;Heading 1&quot;  \* MERGEFORMAT">
      <w:r w:rsidR="005F5963">
        <w:t>Executive Summary</w:t>
      </w:r>
    </w:fldSimple>
    <w:r>
      <w:tab/>
    </w:r>
    <w:r w:rsidRPr="007A182A">
      <w:t>evaluation.treasury.gov.au</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F62FA" w14:textId="59172B65" w:rsidR="004C7FE8" w:rsidRDefault="00C80FE7" w:rsidP="00C80FE7">
    <w:pPr>
      <w:pStyle w:val="FooterOdd"/>
    </w:pPr>
    <w:r>
      <w:rPr>
        <w:rStyle w:val="ui-provider"/>
      </w:rPr>
      <w:t>evaluation.treasury.gov.au</w:t>
    </w:r>
    <w:r>
      <w:tab/>
    </w:r>
    <w:fldSimple w:instr=" STYLEREF  &quot;Appendix Heading&quot;  \* MERGEFORMAT ">
      <w:r w:rsidR="00D214E8">
        <w:rPr>
          <w:noProof/>
        </w:rPr>
        <w:t>Appendix B: Determination of a charity’s Responsible Person</w:t>
      </w:r>
    </w:fldSimple>
    <w:r>
      <w:t xml:space="preserve"> | </w:t>
    </w:r>
    <w:r>
      <w:fldChar w:fldCharType="begin"/>
    </w:r>
    <w:r>
      <w:instrText xml:space="preserve"> PAGE   \* MERGEFORMAT </w:instrText>
    </w:r>
    <w:r>
      <w:fldChar w:fldCharType="separate"/>
    </w:r>
    <w:r>
      <w:t>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7B7DA" w14:textId="7C492582" w:rsidR="00B0685D" w:rsidRDefault="00246088">
    <w:pPr>
      <w:pStyle w:val="Footer"/>
    </w:pPr>
    <w:r>
      <w:rPr>
        <w:noProof/>
      </w:rPr>
      <mc:AlternateContent>
        <mc:Choice Requires="wps">
          <w:drawing>
            <wp:anchor distT="0" distB="0" distL="0" distR="0" simplePos="0" relativeHeight="251658247" behindDoc="0" locked="0" layoutInCell="1" allowOverlap="1" wp14:anchorId="1D30E743" wp14:editId="30E348EA">
              <wp:simplePos x="635" y="635"/>
              <wp:positionH relativeFrom="page">
                <wp:align>center</wp:align>
              </wp:positionH>
              <wp:positionV relativeFrom="page">
                <wp:align>bottom</wp:align>
              </wp:positionV>
              <wp:extent cx="459740" cy="421640"/>
              <wp:effectExtent l="0" t="0" r="16510" b="0"/>
              <wp:wrapNone/>
              <wp:docPr id="78324886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32E89A87" w14:textId="207CFFB1" w:rsidR="00246088" w:rsidRPr="00246088" w:rsidRDefault="00246088" w:rsidP="00246088">
                          <w:pPr>
                            <w:spacing w:after="0"/>
                            <w:rPr>
                              <w:rFonts w:ascii="Calibri" w:eastAsia="Calibri" w:hAnsi="Calibri" w:cs="Calibri"/>
                              <w:noProof/>
                              <w:color w:val="FF0000"/>
                              <w:sz w:val="20"/>
                            </w:rPr>
                          </w:pPr>
                          <w:r w:rsidRPr="00246088">
                            <w:rPr>
                              <w:rFonts w:ascii="Calibri" w:eastAsia="Calibri" w:hAnsi="Calibri" w:cs="Calibri"/>
                              <w:noProof/>
                              <w:color w:val="FF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30E743" id="_x0000_t202" coordsize="21600,21600" o:spt="202" path="m,l,21600r21600,l21600,xe">
              <v:stroke joinstyle="miter"/>
              <v:path gradientshapeok="t" o:connecttype="rect"/>
            </v:shapetype>
            <v:shape id="Text Box 13" o:spid="_x0000_s1029" type="#_x0000_t202" alt="OFFICIAL" style="position:absolute;left:0;text-align:left;margin-left:0;margin-top:0;width:36.2pt;height:33.2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" filled="f" stroked="f">
              <v:textbox style="mso-fit-shape-to-text:t" inset="0,0,0,15pt">
                <w:txbxContent>
                  <w:p w14:paraId="32E89A87" w14:textId="207CFFB1" w:rsidR="00246088" w:rsidRPr="00246088" w:rsidRDefault="00246088" w:rsidP="00246088">
                    <w:pPr>
                      <w:spacing w:after="0"/>
                      <w:rPr>
                        <w:rFonts w:ascii="Calibri" w:eastAsia="Calibri" w:hAnsi="Calibri" w:cs="Calibri"/>
                        <w:noProof/>
                        <w:color w:val="FF0000"/>
                        <w:sz w:val="20"/>
                      </w:rPr>
                    </w:pPr>
                    <w:r w:rsidRPr="00246088">
                      <w:rPr>
                        <w:rFonts w:ascii="Calibri" w:eastAsia="Calibri" w:hAnsi="Calibri" w:cs="Calibri"/>
                        <w:noProof/>
                        <w:color w:val="FF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EC813" w14:textId="038BD680" w:rsidR="00B55B04" w:rsidRDefault="00246088" w:rsidP="00EE1447">
    <w:pPr>
      <w:pStyle w:val="FooterEven"/>
    </w:pPr>
    <w:r>
      <mc:AlternateContent>
        <mc:Choice Requires="wps">
          <w:drawing>
            <wp:anchor distT="0" distB="0" distL="0" distR="0" simplePos="0" relativeHeight="251658249" behindDoc="0" locked="0" layoutInCell="1" allowOverlap="1" wp14:anchorId="45E3B6E9" wp14:editId="58B31B34">
              <wp:simplePos x="635" y="635"/>
              <wp:positionH relativeFrom="page">
                <wp:align>center</wp:align>
              </wp:positionH>
              <wp:positionV relativeFrom="page">
                <wp:align>bottom</wp:align>
              </wp:positionV>
              <wp:extent cx="459740" cy="421640"/>
              <wp:effectExtent l="0" t="0" r="16510" b="0"/>
              <wp:wrapNone/>
              <wp:docPr id="894139209"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5ACA946E" w14:textId="28AD37D9" w:rsidR="00246088" w:rsidRPr="00246088" w:rsidRDefault="00246088" w:rsidP="00246088">
                          <w:pPr>
                            <w:spacing w:after="0"/>
                            <w:rPr>
                              <w:rFonts w:ascii="Calibri" w:eastAsia="Calibri" w:hAnsi="Calibri" w:cs="Calibri"/>
                              <w:noProof/>
                              <w:color w:val="FF0000"/>
                              <w:sz w:val="20"/>
                            </w:rPr>
                          </w:pPr>
                          <w:r w:rsidRPr="00246088">
                            <w:rPr>
                              <w:rFonts w:ascii="Calibri" w:eastAsia="Calibri" w:hAnsi="Calibri" w:cs="Calibri"/>
                              <w:noProof/>
                              <w:color w:val="FF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E3B6E9" id="_x0000_t202" coordsize="21600,21600" o:spt="202" path="m,l,21600r21600,l21600,xe">
              <v:stroke joinstyle="miter"/>
              <v:path gradientshapeok="t" o:connecttype="rect"/>
            </v:shapetype>
            <v:shape id="Text Box 17" o:spid="_x0000_s1032" type="#_x0000_t202" alt="OFFICIAL" style="position:absolute;margin-left:0;margin-top:0;width:36.2pt;height:33.2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" filled="f" stroked="f">
              <v:textbox style="mso-fit-shape-to-text:t" inset="0,0,0,15pt">
                <w:txbxContent>
                  <w:p w14:paraId="5ACA946E" w14:textId="28AD37D9" w:rsidR="00246088" w:rsidRPr="00246088" w:rsidRDefault="00246088" w:rsidP="00246088">
                    <w:pPr>
                      <w:spacing w:after="0"/>
                      <w:rPr>
                        <w:rFonts w:ascii="Calibri" w:eastAsia="Calibri" w:hAnsi="Calibri" w:cs="Calibri"/>
                        <w:noProof/>
                        <w:color w:val="FF0000"/>
                        <w:sz w:val="20"/>
                      </w:rPr>
                    </w:pPr>
                    <w:r w:rsidRPr="00246088">
                      <w:rPr>
                        <w:rFonts w:ascii="Calibri" w:eastAsia="Calibri" w:hAnsi="Calibri" w:cs="Calibri"/>
                        <w:noProof/>
                        <w:color w:val="FF0000"/>
                        <w:sz w:val="20"/>
                      </w:rPr>
                      <w:t>OFFICIAL</w:t>
                    </w:r>
                  </w:p>
                </w:txbxContent>
              </v:textbox>
              <w10:wrap anchorx="page" anchory="page"/>
            </v:shape>
          </w:pict>
        </mc:Fallback>
      </mc:AlternateContent>
    </w:r>
    <w:r w:rsidR="00B55B04">
      <w:drawing>
        <wp:anchor distT="0" distB="0" distL="114300" distR="114300" simplePos="0" relativeHeight="251658240" behindDoc="1" locked="0" layoutInCell="1" allowOverlap="0" wp14:anchorId="7B798232" wp14:editId="18C4D285">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432241396" name="Picture 432241396" descr="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731079" name="Picture 1325731079" descr="Logo&#10;"/>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rsidR="00B55B04">
      <w:ptab w:relativeTo="margin" w:alignment="center" w:leader="none"/>
    </w:r>
    <w:r w:rsidR="00B55B04">
      <w:ptab w:relativeTo="margin" w:alignment="right" w:leader="none"/>
    </w:r>
    <w:fldSimple w:instr=" STYLEREF  &quot;Heading 1&quot;  \* MERGEFORMAT ">
      <w:r w:rsidR="005F5963">
        <w:t>Contents</w:t>
      </w:r>
    </w:fldSimple>
    <w:r w:rsidR="00B55B04">
      <w:t xml:space="preserve"> | </w:t>
    </w:r>
    <w:r w:rsidR="00B55B04">
      <w:rPr>
        <w:noProof w:val="0"/>
      </w:rPr>
      <w:fldChar w:fldCharType="begin"/>
    </w:r>
    <w:r w:rsidR="00B55B04">
      <w:instrText xml:space="preserve"> PAGE   \* MERGEFORMAT </w:instrText>
    </w:r>
    <w:r w:rsidR="00B55B04">
      <w:rPr>
        <w:noProof w:val="0"/>
      </w:rPr>
      <w:fldChar w:fldCharType="separate"/>
    </w:r>
    <w:r w:rsidR="00B55B04">
      <w:t>3</w:t>
    </w:r>
    <w:r w:rsidR="00B55B04">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352AE" w14:textId="0575EB49" w:rsidR="00B0685D" w:rsidRDefault="00246088">
    <w:pPr>
      <w:pStyle w:val="Footer"/>
    </w:pPr>
    <w:r>
      <w:rPr>
        <w:noProof/>
      </w:rPr>
      <mc:AlternateContent>
        <mc:Choice Requires="wps">
          <w:drawing>
            <wp:anchor distT="0" distB="0" distL="0" distR="0" simplePos="0" relativeHeight="251658250" behindDoc="0" locked="0" layoutInCell="1" allowOverlap="1" wp14:anchorId="17CFF06A" wp14:editId="3ABE1D49">
              <wp:simplePos x="635" y="635"/>
              <wp:positionH relativeFrom="page">
                <wp:align>center</wp:align>
              </wp:positionH>
              <wp:positionV relativeFrom="page">
                <wp:align>bottom</wp:align>
              </wp:positionV>
              <wp:extent cx="459740" cy="421640"/>
              <wp:effectExtent l="0" t="0" r="16510" b="0"/>
              <wp:wrapNone/>
              <wp:docPr id="1077944903"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7D679533" w14:textId="09D3D04C" w:rsidR="00246088" w:rsidRPr="00246088" w:rsidRDefault="00246088" w:rsidP="00246088">
                          <w:pPr>
                            <w:spacing w:after="0"/>
                            <w:rPr>
                              <w:rFonts w:ascii="Calibri" w:eastAsia="Calibri" w:hAnsi="Calibri" w:cs="Calibri"/>
                              <w:noProof/>
                              <w:color w:val="FF0000"/>
                              <w:sz w:val="20"/>
                            </w:rPr>
                          </w:pPr>
                          <w:r w:rsidRPr="00246088">
                            <w:rPr>
                              <w:rFonts w:ascii="Calibri" w:eastAsia="Calibri" w:hAnsi="Calibri" w:cs="Calibri"/>
                              <w:noProof/>
                              <w:color w:val="FF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CFF06A" id="_x0000_t202" coordsize="21600,21600" o:spt="202" path="m,l,21600r21600,l21600,xe">
              <v:stroke joinstyle="miter"/>
              <v:path gradientshapeok="t" o:connecttype="rect"/>
            </v:shapetype>
            <v:shape id="Text Box 18" o:spid="_x0000_s1033" type="#_x0000_t202" alt="OFFICIAL" style="position:absolute;left:0;text-align:left;margin-left:0;margin-top:0;width:36.2pt;height:33.2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" filled="f" stroked="f">
              <v:textbox style="mso-fit-shape-to-text:t" inset="0,0,0,15pt">
                <w:txbxContent>
                  <w:p w14:paraId="7D679533" w14:textId="09D3D04C" w:rsidR="00246088" w:rsidRPr="00246088" w:rsidRDefault="00246088" w:rsidP="00246088">
                    <w:pPr>
                      <w:spacing w:after="0"/>
                      <w:rPr>
                        <w:rFonts w:ascii="Calibri" w:eastAsia="Calibri" w:hAnsi="Calibri" w:cs="Calibri"/>
                        <w:noProof/>
                        <w:color w:val="FF0000"/>
                        <w:sz w:val="20"/>
                      </w:rPr>
                    </w:pPr>
                    <w:r w:rsidRPr="00246088">
                      <w:rPr>
                        <w:rFonts w:ascii="Calibri" w:eastAsia="Calibri" w:hAnsi="Calibri" w:cs="Calibri"/>
                        <w:noProof/>
                        <w:color w:val="FF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AD08D" w14:textId="06C075CC" w:rsidR="00B55B04" w:rsidRDefault="00B55B04" w:rsidP="006D087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AC1D" w14:textId="61970440" w:rsidR="00672B5D" w:rsidRDefault="00672B5D" w:rsidP="00BC6E69">
    <w:pPr>
      <w:pStyle w:val="FooterEven"/>
      <w:jc w:val="both"/>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fldSimple w:instr=" STYLEREF  &quot;Heading 1&quot;  \* MERGEFORMAT ">
      <w:r w:rsidR="005F5963">
        <w:t>Contents</w:t>
      </w:r>
    </w:fldSimple>
    <w:r w:rsidR="00103F3C">
      <w:tab/>
    </w:r>
    <w:r w:rsidR="007A182A" w:rsidRPr="007A182A">
      <w:t>evaluation.treasury.gov.au</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D31AB" w14:textId="599C6A05" w:rsidR="00B0685D" w:rsidRPr="00C14B5F" w:rsidRDefault="00C14B5F" w:rsidP="00C14B5F">
    <w:pPr>
      <w:pStyle w:val="FooterOdd"/>
    </w:pPr>
    <w:r>
      <w:rPr>
        <w:rStyle w:val="ui-provider"/>
      </w:rPr>
      <w:t>evaluation.treasury.gov.au</w:t>
    </w:r>
    <w:r>
      <w:tab/>
    </w:r>
    <w:fldSimple w:instr=" STYLEREF  &quot;Heading 1&quot;  \* MERGEFORMAT ">
      <w:r w:rsidR="00D214E8" w:rsidRPr="00D214E8">
        <w:rPr>
          <w:b/>
          <w:bCs/>
          <w:noProof/>
          <w:lang w:val="en-US"/>
        </w:rPr>
        <w:t>Executive</w:t>
      </w:r>
      <w:r w:rsidR="00D214E8">
        <w:rPr>
          <w:noProof/>
        </w:rPr>
        <w:t xml:space="preserve"> Summary</w:t>
      </w:r>
    </w:fldSimple>
    <w:r>
      <w:t xml:space="preserve"> | </w:t>
    </w:r>
    <w:r>
      <w:fldChar w:fldCharType="begin"/>
    </w:r>
    <w:r>
      <w:instrText xml:space="preserve"> PAGE   \* MERGEFORMAT </w:instrText>
    </w:r>
    <w:r>
      <w:fldChar w:fldCharType="separate"/>
    </w:r>
    <w: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A03B" w14:textId="193D7887" w:rsidR="00095D88" w:rsidRPr="00095D88" w:rsidRDefault="00246088" w:rsidP="00095D88">
    <w:pPr>
      <w:pStyle w:val="Footer"/>
    </w:pPr>
    <w:r>
      <w:rPr>
        <w:noProof/>
      </w:rPr>
      <mc:AlternateContent>
        <mc:Choice Requires="wps">
          <w:drawing>
            <wp:anchor distT="0" distB="0" distL="0" distR="0" simplePos="0" relativeHeight="251658251" behindDoc="0" locked="0" layoutInCell="1" allowOverlap="1" wp14:anchorId="66458804" wp14:editId="66850549">
              <wp:simplePos x="635" y="635"/>
              <wp:positionH relativeFrom="page">
                <wp:align>center</wp:align>
              </wp:positionH>
              <wp:positionV relativeFrom="page">
                <wp:align>bottom</wp:align>
              </wp:positionV>
              <wp:extent cx="459740" cy="421640"/>
              <wp:effectExtent l="0" t="0" r="16510" b="0"/>
              <wp:wrapNone/>
              <wp:docPr id="10679388"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0A76A21E" w14:textId="04360842" w:rsidR="00246088" w:rsidRPr="00246088" w:rsidRDefault="00246088" w:rsidP="00246088">
                          <w:pPr>
                            <w:spacing w:after="0"/>
                            <w:rPr>
                              <w:rFonts w:ascii="Calibri" w:eastAsia="Calibri" w:hAnsi="Calibri" w:cs="Calibri"/>
                              <w:noProof/>
                              <w:color w:val="FF0000"/>
                              <w:sz w:val="20"/>
                            </w:rPr>
                          </w:pPr>
                          <w:r w:rsidRPr="00246088">
                            <w:rPr>
                              <w:rFonts w:ascii="Calibri" w:eastAsia="Calibri" w:hAnsi="Calibri" w:cs="Calibri"/>
                              <w:noProof/>
                              <w:color w:val="FF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458804" id="_x0000_t202" coordsize="21600,21600" o:spt="202" path="m,l,21600r21600,l21600,xe">
              <v:stroke joinstyle="miter"/>
              <v:path gradientshapeok="t" o:connecttype="rect"/>
            </v:shapetype>
            <v:shape id="Text Box 19" o:spid="_x0000_s1035" type="#_x0000_t202" alt="OFFICIAL" style="position:absolute;left:0;text-align:left;margin-left:0;margin-top:0;width:36.2pt;height:33.2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" filled="f" stroked="f">
              <v:textbox style="mso-fit-shape-to-text:t" inset="0,0,0,15pt">
                <w:txbxContent>
                  <w:p w14:paraId="0A76A21E" w14:textId="04360842" w:rsidR="00246088" w:rsidRPr="00246088" w:rsidRDefault="00246088" w:rsidP="00246088">
                    <w:pPr>
                      <w:spacing w:after="0"/>
                      <w:rPr>
                        <w:rFonts w:ascii="Calibri" w:eastAsia="Calibri" w:hAnsi="Calibri" w:cs="Calibri"/>
                        <w:noProof/>
                        <w:color w:val="FF0000"/>
                        <w:sz w:val="20"/>
                      </w:rPr>
                    </w:pPr>
                    <w:r w:rsidRPr="00246088">
                      <w:rPr>
                        <w:rFonts w:ascii="Calibri" w:eastAsia="Calibri" w:hAnsi="Calibri" w:cs="Calibri"/>
                        <w:noProof/>
                        <w:color w:val="FF0000"/>
                        <w:sz w:val="2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49C46" w14:textId="70A64A35" w:rsidR="004C7FE8" w:rsidRDefault="004C7FE8" w:rsidP="00BC6E69">
    <w:pPr>
      <w:pStyle w:val="FooterEven"/>
      <w:jc w:val="both"/>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fldSimple w:instr=" STYLEREF  &quot;Heading 1 Numbered&quot;  \* MERGEFORMAT ">
      <w:r w:rsidR="005F5963">
        <w:t>Introduction and policy context</w:t>
      </w:r>
    </w:fldSimple>
    <w:r>
      <w:tab/>
    </w:r>
    <w:r w:rsidRPr="007A182A">
      <w:t>evaluation.treasury.gov.au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B5DAC" w14:textId="77777777" w:rsidR="004C6EB1" w:rsidRPr="00ED5A20" w:rsidRDefault="004C6EB1" w:rsidP="000F6233">
      <w:pPr>
        <w:rPr>
          <w:color w:val="4D7861" w:themeColor="accent2"/>
        </w:rPr>
      </w:pPr>
      <w:r w:rsidRPr="00ED5A20">
        <w:rPr>
          <w:color w:val="4D7861" w:themeColor="accent2"/>
        </w:rPr>
        <w:separator/>
      </w:r>
    </w:p>
  </w:footnote>
  <w:footnote w:type="continuationSeparator" w:id="0">
    <w:p w14:paraId="35B5B8C9" w14:textId="77777777" w:rsidR="004C6EB1" w:rsidRPr="00B737EB" w:rsidRDefault="004C6EB1">
      <w:pPr>
        <w:spacing w:before="0" w:after="0"/>
        <w:rPr>
          <w:color w:val="2C384A" w:themeColor="accent1"/>
        </w:rPr>
      </w:pPr>
      <w:r w:rsidRPr="00B737EB">
        <w:rPr>
          <w:color w:val="2C384A" w:themeColor="accent1"/>
        </w:rPr>
        <w:continuationSeparator/>
      </w:r>
    </w:p>
  </w:footnote>
  <w:footnote w:type="continuationNotice" w:id="1">
    <w:p w14:paraId="75A9AA67" w14:textId="77777777" w:rsidR="004C6EB1" w:rsidRDefault="004C6EB1">
      <w:pPr>
        <w:spacing w:before="0" w:after="0"/>
      </w:pPr>
    </w:p>
  </w:footnote>
  <w:footnote w:id="2">
    <w:p w14:paraId="568326A2" w14:textId="59CE04B1" w:rsidR="00B97533" w:rsidRDefault="00C26062" w:rsidP="00D929B9">
      <w:pPr>
        <w:pStyle w:val="FootnoteText"/>
        <w:ind w:left="284" w:hanging="284"/>
      </w:pPr>
      <w:r w:rsidRPr="00C26062">
        <w:rPr>
          <w:rStyle w:val="FootnoteReference"/>
        </w:rPr>
        <w:footnoteRef/>
      </w:r>
      <w:r w:rsidR="00B97533" w:rsidRPr="00D929B9">
        <w:rPr>
          <w:rStyle w:val="FootnoteReference"/>
        </w:rPr>
        <w:t xml:space="preserve"> </w:t>
      </w:r>
      <w:r w:rsidR="00D929B9" w:rsidRPr="00D929B9">
        <w:rPr>
          <w:rStyle w:val="FootnoteReference"/>
        </w:rPr>
        <w:tab/>
      </w:r>
      <w:r w:rsidR="00A7061E" w:rsidRPr="00D929B9">
        <w:rPr>
          <w:rStyle w:val="FootnoteReference"/>
        </w:rPr>
        <w:t xml:space="preserve">There were slightly more than 15,000 charities that had not submitted their AIS by </w:t>
      </w:r>
      <w:r w:rsidR="00BC7BD1" w:rsidRPr="00D929B9">
        <w:rPr>
          <w:rStyle w:val="FootnoteReference"/>
        </w:rPr>
        <w:t>3</w:t>
      </w:r>
      <w:r w:rsidR="00A7061E" w:rsidRPr="00D929B9">
        <w:rPr>
          <w:rStyle w:val="FootnoteReference"/>
        </w:rPr>
        <w:t xml:space="preserve"> January, but due to batch rounding, the ACNC randomly excluded approximately 600 charities before providing the final sample to ACE.</w:t>
      </w:r>
    </w:p>
  </w:footnote>
  <w:footnote w:id="3">
    <w:p w14:paraId="7B324E65" w14:textId="460296E1" w:rsidR="00A7789B" w:rsidRDefault="00C26062" w:rsidP="00B75183">
      <w:pPr>
        <w:pStyle w:val="FootnoteText"/>
        <w:ind w:left="284" w:hanging="284"/>
      </w:pPr>
      <w:r w:rsidRPr="00C26062">
        <w:rPr>
          <w:rStyle w:val="FootnoteReference"/>
        </w:rPr>
        <w:footnoteRef/>
      </w:r>
      <w:r w:rsidR="00A7789B" w:rsidRPr="00B75183">
        <w:rPr>
          <w:rStyle w:val="FootnoteReference"/>
        </w:rPr>
        <w:t xml:space="preserve"> </w:t>
      </w:r>
      <w:r w:rsidR="00B75183">
        <w:tab/>
      </w:r>
      <w:r w:rsidR="008E1C44" w:rsidRPr="00B75183">
        <w:rPr>
          <w:rStyle w:val="FootnoteReference"/>
        </w:rPr>
        <w:t>On January 7, 8, and 17, a single batch of 1</w:t>
      </w:r>
      <w:r w:rsidR="00366981" w:rsidRPr="00B75183">
        <w:rPr>
          <w:rStyle w:val="FootnoteReference"/>
        </w:rPr>
        <w:t>,</w:t>
      </w:r>
      <w:r w:rsidR="008E1C44" w:rsidRPr="00B75183">
        <w:rPr>
          <w:rStyle w:val="FootnoteReference"/>
        </w:rPr>
        <w:t>000 reminders was sent each day to balance other operational needs (</w:t>
      </w:r>
      <w:r w:rsidR="006F6CDC" w:rsidRPr="00B75183">
        <w:rPr>
          <w:rStyle w:val="FootnoteReference"/>
        </w:rPr>
        <w:t>for example</w:t>
      </w:r>
      <w:r w:rsidR="008E1C44" w:rsidRPr="00B75183">
        <w:rPr>
          <w:rStyle w:val="FootnoteReference"/>
        </w:rPr>
        <w:t xml:space="preserve">, sending reminders for </w:t>
      </w:r>
      <w:r w:rsidR="0034306F" w:rsidRPr="00B75183">
        <w:rPr>
          <w:rStyle w:val="FootnoteReference"/>
        </w:rPr>
        <w:t xml:space="preserve">charities with </w:t>
      </w:r>
      <w:r w:rsidR="008E1C44" w:rsidRPr="00B75183">
        <w:rPr>
          <w:rStyle w:val="FootnoteReference"/>
        </w:rPr>
        <w:t>overdue AIS</w:t>
      </w:r>
      <w:r w:rsidRPr="00B75183">
        <w:rPr>
          <w:rStyle w:val="FootnoteReference"/>
        </w:rPr>
        <w:t>’</w:t>
      </w:r>
      <w:r w:rsidR="008E1C44" w:rsidRPr="00B75183">
        <w:rPr>
          <w:rStyle w:val="FootnoteReference"/>
        </w:rPr>
        <w:t xml:space="preserve"> and other cohorts not in the trial, whilst ensuring enquiries fielded by </w:t>
      </w:r>
      <w:r w:rsidR="0034306F" w:rsidRPr="00B75183">
        <w:rPr>
          <w:rStyle w:val="FootnoteReference"/>
        </w:rPr>
        <w:t>ACNC</w:t>
      </w:r>
      <w:r w:rsidRPr="00B75183">
        <w:rPr>
          <w:rStyle w:val="FootnoteReference"/>
        </w:rPr>
        <w:t>’</w:t>
      </w:r>
      <w:r w:rsidR="0034306F" w:rsidRPr="00B75183">
        <w:rPr>
          <w:rStyle w:val="FootnoteReference"/>
        </w:rPr>
        <w:t xml:space="preserve">s </w:t>
      </w:r>
      <w:r w:rsidR="008E1C44" w:rsidRPr="00B75183">
        <w:rPr>
          <w:rStyle w:val="FootnoteReference"/>
        </w:rPr>
        <w:t xml:space="preserve">Advice Services could still be managed within service standards). On all other business days during the trial, </w:t>
      </w:r>
      <w:r w:rsidR="0034306F" w:rsidRPr="00B75183">
        <w:rPr>
          <w:rStyle w:val="FootnoteReference"/>
        </w:rPr>
        <w:t>2</w:t>
      </w:r>
      <w:r w:rsidR="008E1C44" w:rsidRPr="00B75183">
        <w:rPr>
          <w:rStyle w:val="FootnoteReference"/>
        </w:rPr>
        <w:t xml:space="preserve"> batches of 1</w:t>
      </w:r>
      <w:r w:rsidR="00366981" w:rsidRPr="00B75183">
        <w:rPr>
          <w:rStyle w:val="FootnoteReference"/>
        </w:rPr>
        <w:t>,</w:t>
      </w:r>
      <w:r w:rsidR="008E1C44" w:rsidRPr="00B75183">
        <w:rPr>
          <w:rStyle w:val="FootnoteReference"/>
        </w:rPr>
        <w:t>000 reminders were sent.</w:t>
      </w:r>
      <w:r w:rsidR="00EF53E5" w:rsidRPr="00B75183">
        <w:rPr>
          <w:rStyle w:val="FootnoteReference"/>
        </w:rPr>
        <w:t xml:space="preserve"> </w:t>
      </w:r>
      <w:r w:rsidR="00555B95" w:rsidRPr="00B75183">
        <w:rPr>
          <w:rStyle w:val="FootnoteReference"/>
        </w:rPr>
        <w:t xml:space="preserve">Some batches contained fewer than 1,000 charities because charities that had already submitted their AIS or had been deregistered were removed before the </w:t>
      </w:r>
      <w:r w:rsidR="00F94E9C" w:rsidRPr="00B75183">
        <w:rPr>
          <w:rStyle w:val="FootnoteReference"/>
        </w:rPr>
        <w:t xml:space="preserve">reminder </w:t>
      </w:r>
      <w:r w:rsidR="00555B95" w:rsidRPr="00B75183">
        <w:rPr>
          <w:rStyle w:val="FootnoteReference"/>
        </w:rPr>
        <w:t xml:space="preserve">emails were sent. However, these charities were still included in the analysis. See </w:t>
      </w:r>
      <w:r w:rsidR="00694EDD" w:rsidRPr="00B75183">
        <w:rPr>
          <w:rStyle w:val="FootnoteReference"/>
        </w:rPr>
        <w:t>Technical</w:t>
      </w:r>
      <w:r w:rsidR="00555B95" w:rsidRPr="00B75183">
        <w:rPr>
          <w:rStyle w:val="FootnoteReference"/>
        </w:rPr>
        <w:t xml:space="preserve"> Appendix C for more detail</w:t>
      </w:r>
      <w:r w:rsidR="00976ECE" w:rsidRPr="00B75183">
        <w:rPr>
          <w:rStyle w:val="FootnoteReference"/>
        </w:rPr>
        <w:t>s</w:t>
      </w:r>
      <w:r w:rsidR="00555B95" w:rsidRPr="00B75183">
        <w:rPr>
          <w:rStyle w:val="FootnoteReference"/>
        </w:rPr>
        <w:t>.</w:t>
      </w:r>
    </w:p>
  </w:footnote>
  <w:footnote w:id="4">
    <w:p w14:paraId="1C910777" w14:textId="2EC818DD" w:rsidR="009B1D5D" w:rsidRDefault="00C26062" w:rsidP="00B75183">
      <w:pPr>
        <w:pStyle w:val="FootnoteText"/>
        <w:ind w:left="284" w:hanging="284"/>
      </w:pPr>
      <w:r w:rsidRPr="00C26062">
        <w:rPr>
          <w:rStyle w:val="FootnoteReference"/>
        </w:rPr>
        <w:footnoteRef/>
      </w:r>
      <w:r w:rsidR="009B1D5D" w:rsidRPr="00B75183">
        <w:rPr>
          <w:rStyle w:val="FootnoteReference"/>
        </w:rPr>
        <w:t xml:space="preserve"> </w:t>
      </w:r>
      <w:r w:rsidR="00B75183">
        <w:tab/>
      </w:r>
      <w:r w:rsidR="009B1D5D" w:rsidRPr="00B75183">
        <w:rPr>
          <w:rStyle w:val="FootnoteReference"/>
        </w:rPr>
        <w:t>The pre</w:t>
      </w:r>
      <w:r w:rsidRPr="00B75183">
        <w:rPr>
          <w:rStyle w:val="FootnoteReference"/>
        </w:rPr>
        <w:noBreakHyphen/>
      </w:r>
      <w:r w:rsidR="009B1D5D" w:rsidRPr="00B75183">
        <w:rPr>
          <w:rStyle w:val="FootnoteReference"/>
        </w:rPr>
        <w:t>registration and pre</w:t>
      </w:r>
      <w:r w:rsidRPr="00B75183">
        <w:rPr>
          <w:rStyle w:val="FootnoteReference"/>
        </w:rPr>
        <w:noBreakHyphen/>
      </w:r>
      <w:r w:rsidR="009B1D5D" w:rsidRPr="00B75183">
        <w:rPr>
          <w:rStyle w:val="FootnoteReference"/>
        </w:rPr>
        <w:t>analysis plan can be found at</w:t>
      </w:r>
      <w:r w:rsidR="00EF5510" w:rsidRPr="00B75183">
        <w:rPr>
          <w:rStyle w:val="FootnoteReference"/>
        </w:rPr>
        <w:t xml:space="preserve"> </w:t>
      </w:r>
      <w:hyperlink r:id="rId1" w:history="1">
        <w:r w:rsidR="00EF5510" w:rsidRPr="00202DD0">
          <w:rPr>
            <w:rStyle w:val="Hyperlink"/>
          </w:rPr>
          <w:t>AEARCTR</w:t>
        </w:r>
        <w:r>
          <w:rPr>
            <w:rStyle w:val="Hyperlink"/>
          </w:rPr>
          <w:noBreakHyphen/>
        </w:r>
        <w:r w:rsidR="00EF5510" w:rsidRPr="00202DD0">
          <w:rPr>
            <w:rStyle w:val="Hyperlink"/>
          </w:rPr>
          <w:t>0015006</w:t>
        </w:r>
      </w:hyperlink>
      <w:r w:rsidR="00854EC2">
        <w:t>.</w:t>
      </w:r>
      <w:r w:rsidR="00E87A71">
        <w:t xml:space="preserve"> </w:t>
      </w:r>
    </w:p>
  </w:footnote>
  <w:footnote w:id="5">
    <w:p w14:paraId="41FACA33" w14:textId="4055E46A" w:rsidR="008E76E2" w:rsidRDefault="00C26062" w:rsidP="00B75183">
      <w:pPr>
        <w:pStyle w:val="FootnoteText"/>
        <w:ind w:left="284" w:hanging="284"/>
      </w:pPr>
      <w:r w:rsidRPr="00C26062">
        <w:rPr>
          <w:rStyle w:val="FootnoteReference"/>
        </w:rPr>
        <w:footnoteRef/>
      </w:r>
      <w:r w:rsidR="008E76E2" w:rsidRPr="00B75183">
        <w:rPr>
          <w:rStyle w:val="FootnoteReference"/>
        </w:rPr>
        <w:t xml:space="preserve"> </w:t>
      </w:r>
      <w:r w:rsidR="00B75183">
        <w:tab/>
      </w:r>
      <w:r w:rsidR="008E76E2" w:rsidRPr="00B75183">
        <w:rPr>
          <w:rStyle w:val="FootnoteReference"/>
        </w:rPr>
        <w:t xml:space="preserve">To test the sensitivity of the results to a later definition of </w:t>
      </w:r>
      <w:r w:rsidRPr="00B75183">
        <w:rPr>
          <w:rStyle w:val="FootnoteReference"/>
        </w:rPr>
        <w:t>‘</w:t>
      </w:r>
      <w:r w:rsidR="008E76E2" w:rsidRPr="00B75183">
        <w:rPr>
          <w:rStyle w:val="FootnoteReference"/>
        </w:rPr>
        <w:t>on</w:t>
      </w:r>
      <w:r w:rsidRPr="00B75183">
        <w:rPr>
          <w:rStyle w:val="FootnoteReference"/>
        </w:rPr>
        <w:noBreakHyphen/>
      </w:r>
      <w:r w:rsidR="008E76E2" w:rsidRPr="00B75183">
        <w:rPr>
          <w:rStyle w:val="FootnoteReference"/>
        </w:rPr>
        <w:t>time</w:t>
      </w:r>
      <w:r w:rsidRPr="00B75183">
        <w:rPr>
          <w:rStyle w:val="FootnoteReference"/>
        </w:rPr>
        <w:t>’</w:t>
      </w:r>
      <w:r w:rsidR="008E76E2" w:rsidRPr="00B75183">
        <w:rPr>
          <w:rStyle w:val="FootnoteReference"/>
        </w:rPr>
        <w:t xml:space="preserve"> submission, the ACE also ran the analysis based on a 14 February deadline. The treatment effect remained positive but was slightly smaller, at 5.1 percentage points, equivalent to approximately 765 additional charities submitting by that time.</w:t>
      </w:r>
    </w:p>
  </w:footnote>
  <w:footnote w:id="6">
    <w:p w14:paraId="2044F4C3" w14:textId="58621DE0" w:rsidR="00C92073" w:rsidRDefault="00C92073" w:rsidP="003247F3">
      <w:pPr>
        <w:pStyle w:val="FootnoteText"/>
        <w:ind w:left="284" w:hanging="284"/>
      </w:pPr>
      <w:r>
        <w:rPr>
          <w:rStyle w:val="FootnoteReference"/>
        </w:rPr>
        <w:footnoteRef/>
      </w:r>
      <w:r>
        <w:t xml:space="preserve"> </w:t>
      </w:r>
      <w:r w:rsidR="003247F3">
        <w:tab/>
      </w:r>
      <w:r w:rsidR="00953F00" w:rsidRPr="003247F3">
        <w:rPr>
          <w:rStyle w:val="FootnoteReference"/>
        </w:rPr>
        <w:t>Additional</w:t>
      </w:r>
      <w:r w:rsidR="00953F00" w:rsidRPr="003247F3">
        <w:rPr>
          <w:rFonts w:cs="Calibri Light"/>
          <w:sz w:val="18"/>
          <w:szCs w:val="18"/>
        </w:rPr>
        <w:t xml:space="preserve"> results can be found at </w:t>
      </w:r>
      <w:hyperlink r:id="rId2" w:history="1">
        <w:r w:rsidR="004C1E8E">
          <w:rPr>
            <w:rStyle w:val="Hyperlink"/>
            <w:rFonts w:cs="Calibri Light"/>
            <w:sz w:val="18"/>
            <w:szCs w:val="18"/>
          </w:rPr>
          <w:t>Improving on</w:t>
        </w:r>
        <w:r w:rsidR="004C1E8E">
          <w:rPr>
            <w:rStyle w:val="Hyperlink"/>
            <w:rFonts w:ascii="Cambria Math" w:hAnsi="Cambria Math" w:cs="Cambria Math"/>
            <w:sz w:val="18"/>
            <w:szCs w:val="18"/>
          </w:rPr>
          <w:t>‑</w:t>
        </w:r>
        <w:r w:rsidR="004C1E8E">
          <w:rPr>
            <w:rStyle w:val="Hyperlink"/>
            <w:rFonts w:cs="Calibri Light"/>
            <w:sz w:val="18"/>
            <w:szCs w:val="18"/>
          </w:rPr>
          <w:t>time submission rates for charity Annual Information Statements: a randomised trial</w:t>
        </w:r>
      </w:hyperlink>
    </w:p>
  </w:footnote>
  <w:footnote w:id="7">
    <w:p w14:paraId="41051347" w14:textId="4ECEE5BC" w:rsidR="00724D74" w:rsidRDefault="00C26062" w:rsidP="00B75183">
      <w:pPr>
        <w:pStyle w:val="FootnoteText"/>
        <w:ind w:left="284" w:hanging="284"/>
      </w:pPr>
      <w:r w:rsidRPr="00C26062">
        <w:rPr>
          <w:rStyle w:val="FootnoteReference"/>
        </w:rPr>
        <w:footnoteRef/>
      </w:r>
      <w:r w:rsidR="00724D74" w:rsidRPr="00B75183">
        <w:rPr>
          <w:rStyle w:val="FootnoteReference"/>
        </w:rPr>
        <w:t xml:space="preserve"> </w:t>
      </w:r>
      <w:r w:rsidR="00B75183">
        <w:tab/>
      </w:r>
      <w:r w:rsidR="00724D74" w:rsidRPr="00B75183">
        <w:rPr>
          <w:rStyle w:val="FootnoteReference"/>
        </w:rPr>
        <w:t xml:space="preserve">The </w:t>
      </w:r>
      <w:r w:rsidR="008A26A6" w:rsidRPr="00B75183">
        <w:rPr>
          <w:rStyle w:val="FootnoteReference"/>
        </w:rPr>
        <w:t>6</w:t>
      </w:r>
      <w:r w:rsidR="00724D74" w:rsidRPr="00B75183">
        <w:rPr>
          <w:rStyle w:val="FootnoteReference"/>
        </w:rPr>
        <w:t xml:space="preserve"> criteria are: charity subtype, incorporated under certain legislation, reporting to ACNC as part of a group, deductible gift recipient endorsement, government grants, and participation in National Redress Scheme.</w:t>
      </w:r>
      <w:r w:rsidR="00724D74">
        <w:t xml:space="preserve"> </w:t>
      </w:r>
    </w:p>
  </w:footnote>
  <w:footnote w:id="8">
    <w:p w14:paraId="5D4A0C5D" w14:textId="7B883326" w:rsidR="00856FA9" w:rsidRDefault="00C26062" w:rsidP="00B75183">
      <w:pPr>
        <w:pStyle w:val="FootnoteText"/>
        <w:ind w:left="284" w:hanging="284"/>
      </w:pPr>
      <w:r w:rsidRPr="00C26062">
        <w:rPr>
          <w:rStyle w:val="FootnoteReference"/>
        </w:rPr>
        <w:footnoteRef/>
      </w:r>
      <w:r w:rsidR="00856FA9" w:rsidRPr="00B75183">
        <w:rPr>
          <w:rStyle w:val="FootnoteReference"/>
        </w:rPr>
        <w:t xml:space="preserve"> </w:t>
      </w:r>
      <w:r w:rsidR="00B75183" w:rsidRPr="00B75183">
        <w:rPr>
          <w:rStyle w:val="FootnoteReference"/>
        </w:rPr>
        <w:tab/>
      </w:r>
      <w:r w:rsidR="00856FA9" w:rsidRPr="00B75183">
        <w:rPr>
          <w:rStyle w:val="FootnoteReference"/>
        </w:rPr>
        <w:t>This difference was not pre</w:t>
      </w:r>
      <w:r w:rsidRPr="00B75183">
        <w:rPr>
          <w:rStyle w:val="FootnoteReference"/>
        </w:rPr>
        <w:noBreakHyphen/>
      </w:r>
      <w:r w:rsidR="00856FA9" w:rsidRPr="00B75183">
        <w:rPr>
          <w:rStyle w:val="FootnoteReference"/>
        </w:rPr>
        <w:t>specified in the pre</w:t>
      </w:r>
      <w:r w:rsidRPr="00B75183">
        <w:rPr>
          <w:rStyle w:val="FootnoteReference"/>
        </w:rPr>
        <w:noBreakHyphen/>
      </w:r>
      <w:r w:rsidR="00856FA9" w:rsidRPr="00B75183">
        <w:rPr>
          <w:rStyle w:val="FootnoteReference"/>
        </w:rPr>
        <w:t>analysis plan for this trial. However, it seems clear that the extra calls were due to the additional reminder because of the nature of the calls</w:t>
      </w:r>
      <w:r w:rsidR="001D0B0F" w:rsidRPr="00B75183">
        <w:rPr>
          <w:rStyle w:val="FootnoteReference"/>
        </w:rPr>
        <w:t>,</w:t>
      </w:r>
      <w:r w:rsidR="00856FA9" w:rsidRPr="00B75183">
        <w:rPr>
          <w:rStyle w:val="FootnoteReference"/>
        </w:rPr>
        <w:t xml:space="preserve"> which often related specifically to queries from the Responsible Person.</w:t>
      </w:r>
    </w:p>
  </w:footnote>
  <w:footnote w:id="9">
    <w:p w14:paraId="0FD64C2B" w14:textId="55A56E85" w:rsidR="002A607C" w:rsidRDefault="00C26062" w:rsidP="00B75183">
      <w:pPr>
        <w:pStyle w:val="FootnoteText"/>
        <w:ind w:left="284" w:hanging="284"/>
      </w:pPr>
      <w:r w:rsidRPr="00C26062">
        <w:rPr>
          <w:rStyle w:val="FootnoteReference"/>
        </w:rPr>
        <w:footnoteRef/>
      </w:r>
      <w:r w:rsidR="002A607C">
        <w:t xml:space="preserve"> </w:t>
      </w:r>
      <w:r w:rsidR="00B75183">
        <w:tab/>
      </w:r>
      <w:r w:rsidR="00070227" w:rsidRPr="00070227">
        <w:t xml:space="preserve">The regression output for each subgroup can </w:t>
      </w:r>
      <w:r w:rsidR="00070227">
        <w:t xml:space="preserve">also </w:t>
      </w:r>
      <w:r w:rsidR="00070227" w:rsidRPr="00070227">
        <w:t>be viewed using the charts in the subgroup section of the main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D82E" w14:textId="6888B1A6" w:rsidR="00B0685D" w:rsidRDefault="00246088">
    <w:pPr>
      <w:pStyle w:val="Header"/>
    </w:pPr>
    <w:r>
      <w:rPr>
        <w:noProof/>
      </w:rPr>
      <mc:AlternateContent>
        <mc:Choice Requires="wps">
          <w:drawing>
            <wp:anchor distT="0" distB="0" distL="0" distR="0" simplePos="0" relativeHeight="251658242" behindDoc="0" locked="0" layoutInCell="1" allowOverlap="1" wp14:anchorId="5F1426E9" wp14:editId="51264AAF">
              <wp:simplePos x="635" y="635"/>
              <wp:positionH relativeFrom="page">
                <wp:align>center</wp:align>
              </wp:positionH>
              <wp:positionV relativeFrom="page">
                <wp:align>top</wp:align>
              </wp:positionV>
              <wp:extent cx="459740" cy="421640"/>
              <wp:effectExtent l="0" t="0" r="16510" b="16510"/>
              <wp:wrapNone/>
              <wp:docPr id="982013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780EDB90" w14:textId="6D0A1D4B" w:rsidR="00246088" w:rsidRPr="00246088" w:rsidRDefault="00246088" w:rsidP="00246088">
                          <w:pPr>
                            <w:spacing w:after="0"/>
                            <w:rPr>
                              <w:rFonts w:ascii="Calibri" w:eastAsia="Calibri" w:hAnsi="Calibri" w:cs="Calibri"/>
                              <w:noProof/>
                              <w:color w:val="FF0000"/>
                              <w:sz w:val="20"/>
                            </w:rPr>
                          </w:pPr>
                          <w:r w:rsidRPr="00246088">
                            <w:rPr>
                              <w:rFonts w:ascii="Calibri" w:eastAsia="Calibri" w:hAnsi="Calibri" w:cs="Calibri"/>
                              <w:noProof/>
                              <w:color w:val="FF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1426E9" id="_x0000_t202" coordsize="21600,21600" o:spt="202" path="m,l,21600r21600,l21600,xe">
              <v:stroke joinstyle="miter"/>
              <v:path gradientshapeok="t" o:connecttype="rect"/>
            </v:shapetype>
            <v:shape id="Text Box 2" o:spid="_x0000_s1026" type="#_x0000_t202" alt="OFFICIAL" style="position:absolute;left:0;text-align:left;margin-left:0;margin-top:0;width:36.2pt;height:33.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" filled="f" stroked="f">
              <v:textbox style="mso-fit-shape-to-text:t" inset="0,15pt,0,0">
                <w:txbxContent>
                  <w:p w14:paraId="780EDB90" w14:textId="6D0A1D4B" w:rsidR="00246088" w:rsidRPr="00246088" w:rsidRDefault="00246088" w:rsidP="00246088">
                    <w:pPr>
                      <w:spacing w:after="0"/>
                      <w:rPr>
                        <w:rFonts w:ascii="Calibri" w:eastAsia="Calibri" w:hAnsi="Calibri" w:cs="Calibri"/>
                        <w:noProof/>
                        <w:color w:val="FF0000"/>
                        <w:sz w:val="20"/>
                      </w:rPr>
                    </w:pPr>
                    <w:r w:rsidRPr="00246088">
                      <w:rPr>
                        <w:rFonts w:ascii="Calibri" w:eastAsia="Calibri" w:hAnsi="Calibri" w:cs="Calibri"/>
                        <w:noProof/>
                        <w:color w:val="FF0000"/>
                        <w:sz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E4CEB" w14:textId="13A72AE5" w:rsidR="00246088" w:rsidRPr="00C33623" w:rsidRDefault="00246088" w:rsidP="00C33623"/>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95906" w14:textId="538C3CC7" w:rsidR="00246088" w:rsidRDefault="00246088">
    <w:pPr>
      <w:pStyle w:val="Header"/>
    </w:pPr>
    <w:r>
      <w:rPr>
        <w:noProof/>
      </w:rPr>
      <mc:AlternateContent>
        <mc:Choice Requires="wps">
          <w:drawing>
            <wp:anchor distT="0" distB="0" distL="0" distR="0" simplePos="0" relativeHeight="251658246" behindDoc="0" locked="0" layoutInCell="1" allowOverlap="1" wp14:anchorId="46047C8D" wp14:editId="04B8AAC6">
              <wp:simplePos x="635" y="635"/>
              <wp:positionH relativeFrom="page">
                <wp:align>center</wp:align>
              </wp:positionH>
              <wp:positionV relativeFrom="page">
                <wp:align>top</wp:align>
              </wp:positionV>
              <wp:extent cx="459740" cy="421640"/>
              <wp:effectExtent l="0" t="0" r="16510" b="16510"/>
              <wp:wrapNone/>
              <wp:docPr id="712282525"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10BAA03B" w14:textId="62A1B339" w:rsidR="00246088" w:rsidRPr="00246088" w:rsidRDefault="00246088" w:rsidP="00246088">
                          <w:pPr>
                            <w:spacing w:after="0"/>
                            <w:rPr>
                              <w:rFonts w:ascii="Calibri" w:eastAsia="Calibri" w:hAnsi="Calibri" w:cs="Calibri"/>
                              <w:noProof/>
                              <w:color w:val="FF0000"/>
                              <w:sz w:val="20"/>
                            </w:rPr>
                          </w:pPr>
                          <w:r w:rsidRPr="00246088">
                            <w:rPr>
                              <w:rFonts w:ascii="Calibri" w:eastAsia="Calibri" w:hAnsi="Calibri" w:cs="Calibri"/>
                              <w:noProof/>
                              <w:color w:val="FF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047C8D" id="_x0000_t202" coordsize="21600,21600" o:spt="202" path="m,l,21600r21600,l21600,xe">
              <v:stroke joinstyle="miter"/>
              <v:path gradientshapeok="t" o:connecttype="rect"/>
            </v:shapetype>
            <v:shape id="Text Box 10" o:spid="_x0000_s1036" type="#_x0000_t202" alt="OFFICIAL" style="position:absolute;left:0;text-align:left;margin-left:0;margin-top:0;width:36.2pt;height:33.2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" filled="f" stroked="f">
              <v:textbox style="mso-fit-shape-to-text:t" inset="0,15pt,0,0">
                <w:txbxContent>
                  <w:p w14:paraId="10BAA03B" w14:textId="62A1B339" w:rsidR="00246088" w:rsidRPr="00246088" w:rsidRDefault="00246088" w:rsidP="00246088">
                    <w:pPr>
                      <w:spacing w:after="0"/>
                      <w:rPr>
                        <w:rFonts w:ascii="Calibri" w:eastAsia="Calibri" w:hAnsi="Calibri" w:cs="Calibri"/>
                        <w:noProof/>
                        <w:color w:val="FF0000"/>
                        <w:sz w:val="20"/>
                      </w:rPr>
                    </w:pPr>
                    <w:r w:rsidRPr="00246088">
                      <w:rPr>
                        <w:rFonts w:ascii="Calibri" w:eastAsia="Calibri" w:hAnsi="Calibri" w:cs="Calibri"/>
                        <w:noProof/>
                        <w:color w:val="FF0000"/>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8A57F" w14:textId="63CB2620" w:rsidR="00B0685D" w:rsidRDefault="00246088">
    <w:pPr>
      <w:pStyle w:val="Header"/>
    </w:pPr>
    <w:r>
      <w:rPr>
        <w:noProof/>
      </w:rPr>
      <mc:AlternateContent>
        <mc:Choice Requires="wps">
          <w:drawing>
            <wp:anchor distT="0" distB="0" distL="0" distR="0" simplePos="0" relativeHeight="251658241" behindDoc="0" locked="0" layoutInCell="1" allowOverlap="1" wp14:anchorId="038293FD" wp14:editId="1FED4E8B">
              <wp:simplePos x="635" y="635"/>
              <wp:positionH relativeFrom="page">
                <wp:align>center</wp:align>
              </wp:positionH>
              <wp:positionV relativeFrom="page">
                <wp:align>top</wp:align>
              </wp:positionV>
              <wp:extent cx="459740" cy="421640"/>
              <wp:effectExtent l="0" t="0" r="16510" b="16510"/>
              <wp:wrapNone/>
              <wp:docPr id="165345846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52A894DB" w14:textId="28636CED" w:rsidR="00246088" w:rsidRPr="00246088" w:rsidRDefault="00246088" w:rsidP="00246088">
                          <w:pPr>
                            <w:spacing w:after="0"/>
                            <w:rPr>
                              <w:rFonts w:ascii="Calibri" w:eastAsia="Calibri" w:hAnsi="Calibri" w:cs="Calibri"/>
                              <w:noProof/>
                              <w:color w:val="FF0000"/>
                              <w:sz w:val="20"/>
                            </w:rPr>
                          </w:pPr>
                          <w:r w:rsidRPr="00246088">
                            <w:rPr>
                              <w:rFonts w:ascii="Calibri" w:eastAsia="Calibri" w:hAnsi="Calibri" w:cs="Calibri"/>
                              <w:noProof/>
                              <w:color w:val="FF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8293FD" id="_x0000_t202" coordsize="21600,21600" o:spt="202" path="m,l,21600r21600,l21600,xe">
              <v:stroke joinstyle="miter"/>
              <v:path gradientshapeok="t" o:connecttype="rect"/>
            </v:shapetype>
            <v:shape id="Text Box 1" o:spid="_x0000_s1028" type="#_x0000_t202" alt="OFFICIAL" style="position:absolute;left:0;text-align:left;margin-left:0;margin-top:0;width:36.2pt;height:33.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" filled="f" stroked="f">
              <v:textbox style="mso-fit-shape-to-text:t" inset="0,15pt,0,0">
                <w:txbxContent>
                  <w:p w14:paraId="52A894DB" w14:textId="28636CED" w:rsidR="00246088" w:rsidRPr="00246088" w:rsidRDefault="00246088" w:rsidP="00246088">
                    <w:pPr>
                      <w:spacing w:after="0"/>
                      <w:rPr>
                        <w:rFonts w:ascii="Calibri" w:eastAsia="Calibri" w:hAnsi="Calibri" w:cs="Calibri"/>
                        <w:noProof/>
                        <w:color w:val="FF0000"/>
                        <w:sz w:val="20"/>
                      </w:rPr>
                    </w:pPr>
                    <w:r w:rsidRPr="00246088">
                      <w:rPr>
                        <w:rFonts w:ascii="Calibri" w:eastAsia="Calibri" w:hAnsi="Calibri" w:cs="Calibri"/>
                        <w:noProof/>
                        <w:color w:val="FF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3442" w14:textId="5FFCCEEB" w:rsidR="00095D88" w:rsidRPr="00095D88" w:rsidRDefault="00246088" w:rsidP="00095D88">
    <w:pPr>
      <w:pStyle w:val="Header"/>
    </w:pPr>
    <w:r>
      <w:rPr>
        <w:noProof/>
      </w:rPr>
      <mc:AlternateContent>
        <mc:Choice Requires="wps">
          <w:drawing>
            <wp:anchor distT="0" distB="0" distL="0" distR="0" simplePos="0" relativeHeight="251658243" behindDoc="0" locked="0" layoutInCell="1" allowOverlap="1" wp14:anchorId="009AF154" wp14:editId="492AF5DB">
              <wp:simplePos x="635" y="635"/>
              <wp:positionH relativeFrom="page">
                <wp:align>center</wp:align>
              </wp:positionH>
              <wp:positionV relativeFrom="page">
                <wp:align>top</wp:align>
              </wp:positionV>
              <wp:extent cx="459740" cy="421640"/>
              <wp:effectExtent l="0" t="0" r="16510" b="16510"/>
              <wp:wrapNone/>
              <wp:docPr id="5194540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6292CB83" w14:textId="3496467E" w:rsidR="00246088" w:rsidRPr="00246088" w:rsidRDefault="00246088" w:rsidP="00246088">
                          <w:pPr>
                            <w:spacing w:after="0"/>
                            <w:rPr>
                              <w:rFonts w:ascii="Calibri" w:eastAsia="Calibri" w:hAnsi="Calibri" w:cs="Calibri"/>
                              <w:noProof/>
                              <w:color w:val="FF0000"/>
                              <w:sz w:val="20"/>
                            </w:rPr>
                          </w:pPr>
                          <w:r w:rsidRPr="00246088">
                            <w:rPr>
                              <w:rFonts w:ascii="Calibri" w:eastAsia="Calibri" w:hAnsi="Calibri" w:cs="Calibri"/>
                              <w:noProof/>
                              <w:color w:val="FF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9AF154" id="_x0000_t202" coordsize="21600,21600" o:spt="202" path="m,l,21600r21600,l21600,xe">
              <v:stroke joinstyle="miter"/>
              <v:path gradientshapeok="t" o:connecttype="rect"/>
            </v:shapetype>
            <v:shape id="Text Box 5" o:spid="_x0000_s1030" type="#_x0000_t202" alt="OFFICIAL" style="position:absolute;left:0;text-align:left;margin-left:0;margin-top:0;width:36.2pt;height:33.2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" filled="f" stroked="f">
              <v:textbox style="mso-fit-shape-to-text:t" inset="0,15pt,0,0">
                <w:txbxContent>
                  <w:p w14:paraId="6292CB83" w14:textId="3496467E" w:rsidR="00246088" w:rsidRPr="00246088" w:rsidRDefault="00246088" w:rsidP="00246088">
                    <w:pPr>
                      <w:spacing w:after="0"/>
                      <w:rPr>
                        <w:rFonts w:ascii="Calibri" w:eastAsia="Calibri" w:hAnsi="Calibri" w:cs="Calibri"/>
                        <w:noProof/>
                        <w:color w:val="FF0000"/>
                        <w:sz w:val="20"/>
                      </w:rPr>
                    </w:pPr>
                    <w:r w:rsidRPr="00246088">
                      <w:rPr>
                        <w:rFonts w:ascii="Calibri" w:eastAsia="Calibri" w:hAnsi="Calibri" w:cs="Calibri"/>
                        <w:noProof/>
                        <w:color w:val="FF0000"/>
                        <w:sz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1B52D" w14:textId="38A46436" w:rsidR="00095D88" w:rsidRPr="00095D88" w:rsidRDefault="00246088" w:rsidP="00095D88">
    <w:pPr>
      <w:pStyle w:val="Header"/>
    </w:pPr>
    <w:r>
      <w:rPr>
        <w:noProof/>
      </w:rPr>
      <mc:AlternateContent>
        <mc:Choice Requires="wps">
          <w:drawing>
            <wp:anchor distT="0" distB="0" distL="0" distR="0" simplePos="0" relativeHeight="251658244" behindDoc="0" locked="0" layoutInCell="1" allowOverlap="1" wp14:anchorId="15A54EC0" wp14:editId="32EEFE09">
              <wp:simplePos x="635" y="635"/>
              <wp:positionH relativeFrom="page">
                <wp:align>center</wp:align>
              </wp:positionH>
              <wp:positionV relativeFrom="page">
                <wp:align>top</wp:align>
              </wp:positionV>
              <wp:extent cx="459740" cy="421640"/>
              <wp:effectExtent l="0" t="0" r="16510" b="16510"/>
              <wp:wrapNone/>
              <wp:docPr id="1006095084"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5E45C12E" w14:textId="3510D808" w:rsidR="00246088" w:rsidRPr="00246088" w:rsidRDefault="00246088" w:rsidP="00246088">
                          <w:pPr>
                            <w:spacing w:after="0"/>
                            <w:rPr>
                              <w:rFonts w:ascii="Calibri" w:eastAsia="Calibri" w:hAnsi="Calibri" w:cs="Calibri"/>
                              <w:noProof/>
                              <w:color w:val="FF0000"/>
                              <w:sz w:val="20"/>
                            </w:rPr>
                          </w:pPr>
                          <w:r w:rsidRPr="00246088">
                            <w:rPr>
                              <w:rFonts w:ascii="Calibri" w:eastAsia="Calibri" w:hAnsi="Calibri" w:cs="Calibri"/>
                              <w:noProof/>
                              <w:color w:val="FF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A54EC0" id="_x0000_t202" coordsize="21600,21600" o:spt="202" path="m,l,21600r21600,l21600,xe">
              <v:stroke joinstyle="miter"/>
              <v:path gradientshapeok="t" o:connecttype="rect"/>
            </v:shapetype>
            <v:shape id="Text Box 6" o:spid="_x0000_s1031" type="#_x0000_t202" alt="OFFICIAL" style="position:absolute;left:0;text-align:left;margin-left:0;margin-top:0;width:36.2pt;height:33.2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" filled="f" stroked="f">
              <v:textbox style="mso-fit-shape-to-text:t" inset="0,15pt,0,0">
                <w:txbxContent>
                  <w:p w14:paraId="5E45C12E" w14:textId="3510D808" w:rsidR="00246088" w:rsidRPr="00246088" w:rsidRDefault="00246088" w:rsidP="00246088">
                    <w:pPr>
                      <w:spacing w:after="0"/>
                      <w:rPr>
                        <w:rFonts w:ascii="Calibri" w:eastAsia="Calibri" w:hAnsi="Calibri" w:cs="Calibri"/>
                        <w:noProof/>
                        <w:color w:val="FF0000"/>
                        <w:sz w:val="20"/>
                      </w:rPr>
                    </w:pPr>
                    <w:r w:rsidRPr="00246088">
                      <w:rPr>
                        <w:rFonts w:ascii="Calibri" w:eastAsia="Calibri" w:hAnsi="Calibri" w:cs="Calibri"/>
                        <w:noProof/>
                        <w:color w:val="FF0000"/>
                        <w:sz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2ED7" w14:textId="3B690340" w:rsidR="00095D88" w:rsidRPr="00095D88" w:rsidRDefault="00095D88" w:rsidP="0034472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F4B30" w14:textId="4E39DCE7" w:rsidR="00672B5D" w:rsidRPr="00344723" w:rsidRDefault="00672B5D" w:rsidP="0034472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E1302" w14:textId="2CB487B5" w:rsidR="00B0685D" w:rsidRDefault="00B0685D" w:rsidP="0034472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B4D9B" w14:textId="78A6FEFE" w:rsidR="00095D88" w:rsidRPr="00095D88" w:rsidRDefault="00246088" w:rsidP="00095D88">
    <w:pPr>
      <w:pStyle w:val="Header"/>
    </w:pPr>
    <w:r>
      <w:rPr>
        <w:noProof/>
      </w:rPr>
      <mc:AlternateContent>
        <mc:Choice Requires="wps">
          <w:drawing>
            <wp:anchor distT="0" distB="0" distL="0" distR="0" simplePos="0" relativeHeight="251658245" behindDoc="0" locked="0" layoutInCell="1" allowOverlap="1" wp14:anchorId="39914A1D" wp14:editId="35EEA985">
              <wp:simplePos x="635" y="635"/>
              <wp:positionH relativeFrom="page">
                <wp:align>center</wp:align>
              </wp:positionH>
              <wp:positionV relativeFrom="page">
                <wp:align>top</wp:align>
              </wp:positionV>
              <wp:extent cx="459740" cy="421640"/>
              <wp:effectExtent l="0" t="0" r="16510" b="16510"/>
              <wp:wrapNone/>
              <wp:docPr id="12177689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29730472" w14:textId="3C7E5E4F" w:rsidR="00246088" w:rsidRPr="00246088" w:rsidRDefault="00246088" w:rsidP="00246088">
                          <w:pPr>
                            <w:spacing w:after="0"/>
                            <w:rPr>
                              <w:rFonts w:ascii="Calibri" w:eastAsia="Calibri" w:hAnsi="Calibri" w:cs="Calibri"/>
                              <w:noProof/>
                              <w:color w:val="FF0000"/>
                              <w:sz w:val="20"/>
                            </w:rPr>
                          </w:pPr>
                          <w:r w:rsidRPr="00246088">
                            <w:rPr>
                              <w:rFonts w:ascii="Calibri" w:eastAsia="Calibri" w:hAnsi="Calibri" w:cs="Calibri"/>
                              <w:noProof/>
                              <w:color w:val="FF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914A1D" id="_x0000_t202" coordsize="21600,21600" o:spt="202" path="m,l,21600r21600,l21600,xe">
              <v:stroke joinstyle="miter"/>
              <v:path gradientshapeok="t" o:connecttype="rect"/>
            </v:shapetype>
            <v:shape id="Text Box 7" o:spid="_x0000_s1034" type="#_x0000_t202" alt="OFFICIAL" style="position:absolute;left:0;text-align:left;margin-left:0;margin-top:0;width:36.2pt;height:33.2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" filled="f" stroked="f">
              <v:textbox style="mso-fit-shape-to-text:t" inset="0,15pt,0,0">
                <w:txbxContent>
                  <w:p w14:paraId="29730472" w14:textId="3C7E5E4F" w:rsidR="00246088" w:rsidRPr="00246088" w:rsidRDefault="00246088" w:rsidP="00246088">
                    <w:pPr>
                      <w:spacing w:after="0"/>
                      <w:rPr>
                        <w:rFonts w:ascii="Calibri" w:eastAsia="Calibri" w:hAnsi="Calibri" w:cs="Calibri"/>
                        <w:noProof/>
                        <w:color w:val="FF0000"/>
                        <w:sz w:val="20"/>
                      </w:rPr>
                    </w:pPr>
                    <w:r w:rsidRPr="00246088">
                      <w:rPr>
                        <w:rFonts w:ascii="Calibri" w:eastAsia="Calibri" w:hAnsi="Calibri" w:cs="Calibri"/>
                        <w:noProof/>
                        <w:color w:val="FF0000"/>
                        <w:sz w:val="20"/>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32F94" w14:textId="797ADF5B" w:rsidR="00246088" w:rsidRPr="00C33623" w:rsidRDefault="00246088" w:rsidP="00C336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F9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603768"/>
    <w:multiLevelType w:val="hybridMultilevel"/>
    <w:tmpl w:val="B60EBE7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0F5993"/>
    <w:multiLevelType w:val="hybridMultilevel"/>
    <w:tmpl w:val="28E6824C"/>
    <w:lvl w:ilvl="0" w:tplc="42FC3484">
      <w:start w:val="1"/>
      <w:numFmt w:val="decimal"/>
      <w:lvlText w:val="%1)"/>
      <w:lvlJc w:val="left"/>
      <w:pPr>
        <w:ind w:left="1080" w:hanging="360"/>
      </w:pPr>
    </w:lvl>
    <w:lvl w:ilvl="1" w:tplc="3C5E6FDC">
      <w:start w:val="1"/>
      <w:numFmt w:val="decimal"/>
      <w:lvlText w:val="%2)"/>
      <w:lvlJc w:val="left"/>
      <w:pPr>
        <w:ind w:left="1080" w:hanging="360"/>
      </w:pPr>
    </w:lvl>
    <w:lvl w:ilvl="2" w:tplc="E1C4BBCA">
      <w:start w:val="1"/>
      <w:numFmt w:val="decimal"/>
      <w:lvlText w:val="%3)"/>
      <w:lvlJc w:val="left"/>
      <w:pPr>
        <w:ind w:left="1080" w:hanging="360"/>
      </w:pPr>
    </w:lvl>
    <w:lvl w:ilvl="3" w:tplc="C002A696">
      <w:start w:val="1"/>
      <w:numFmt w:val="decimal"/>
      <w:lvlText w:val="%4)"/>
      <w:lvlJc w:val="left"/>
      <w:pPr>
        <w:ind w:left="1080" w:hanging="360"/>
      </w:pPr>
    </w:lvl>
    <w:lvl w:ilvl="4" w:tplc="69D6C08C">
      <w:start w:val="1"/>
      <w:numFmt w:val="decimal"/>
      <w:lvlText w:val="%5)"/>
      <w:lvlJc w:val="left"/>
      <w:pPr>
        <w:ind w:left="1080" w:hanging="360"/>
      </w:pPr>
    </w:lvl>
    <w:lvl w:ilvl="5" w:tplc="50402C66">
      <w:start w:val="1"/>
      <w:numFmt w:val="decimal"/>
      <w:lvlText w:val="%6)"/>
      <w:lvlJc w:val="left"/>
      <w:pPr>
        <w:ind w:left="1080" w:hanging="360"/>
      </w:pPr>
    </w:lvl>
    <w:lvl w:ilvl="6" w:tplc="BDE0C61C">
      <w:start w:val="1"/>
      <w:numFmt w:val="decimal"/>
      <w:lvlText w:val="%7)"/>
      <w:lvlJc w:val="left"/>
      <w:pPr>
        <w:ind w:left="1080" w:hanging="360"/>
      </w:pPr>
    </w:lvl>
    <w:lvl w:ilvl="7" w:tplc="C478A8C2">
      <w:start w:val="1"/>
      <w:numFmt w:val="decimal"/>
      <w:lvlText w:val="%8)"/>
      <w:lvlJc w:val="left"/>
      <w:pPr>
        <w:ind w:left="1080" w:hanging="360"/>
      </w:pPr>
    </w:lvl>
    <w:lvl w:ilvl="8" w:tplc="BF10634E">
      <w:start w:val="1"/>
      <w:numFmt w:val="decimal"/>
      <w:lvlText w:val="%9)"/>
      <w:lvlJc w:val="left"/>
      <w:pPr>
        <w:ind w:left="1080" w:hanging="360"/>
      </w:pPr>
    </w:lvl>
  </w:abstractNum>
  <w:abstractNum w:abstractNumId="5"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6" w15:restartNumberingAfterBreak="0">
    <w:nsid w:val="15853A81"/>
    <w:multiLevelType w:val="hybridMultilevel"/>
    <w:tmpl w:val="E0105A9C"/>
    <w:lvl w:ilvl="0" w:tplc="10EECD68">
      <w:start w:val="1"/>
      <w:numFmt w:val="decimal"/>
      <w:lvlText w:val="%1."/>
      <w:lvlJc w:val="left"/>
      <w:pPr>
        <w:ind w:left="1440" w:hanging="360"/>
      </w:pPr>
    </w:lvl>
    <w:lvl w:ilvl="1" w:tplc="856606A2">
      <w:start w:val="1"/>
      <w:numFmt w:val="lowerLetter"/>
      <w:lvlText w:val="%2."/>
      <w:lvlJc w:val="left"/>
      <w:pPr>
        <w:ind w:left="2160" w:hanging="360"/>
      </w:pPr>
    </w:lvl>
    <w:lvl w:ilvl="2" w:tplc="8FA68004">
      <w:start w:val="1"/>
      <w:numFmt w:val="decimal"/>
      <w:lvlText w:val="%3."/>
      <w:lvlJc w:val="left"/>
      <w:pPr>
        <w:ind w:left="1440" w:hanging="360"/>
      </w:pPr>
    </w:lvl>
    <w:lvl w:ilvl="3" w:tplc="8716E770">
      <w:start w:val="1"/>
      <w:numFmt w:val="decimal"/>
      <w:lvlText w:val="%4."/>
      <w:lvlJc w:val="left"/>
      <w:pPr>
        <w:ind w:left="1440" w:hanging="360"/>
      </w:pPr>
    </w:lvl>
    <w:lvl w:ilvl="4" w:tplc="464AF44C">
      <w:start w:val="1"/>
      <w:numFmt w:val="decimal"/>
      <w:lvlText w:val="%5."/>
      <w:lvlJc w:val="left"/>
      <w:pPr>
        <w:ind w:left="1440" w:hanging="360"/>
      </w:pPr>
    </w:lvl>
    <w:lvl w:ilvl="5" w:tplc="A09E3BFA">
      <w:start w:val="1"/>
      <w:numFmt w:val="decimal"/>
      <w:lvlText w:val="%6."/>
      <w:lvlJc w:val="left"/>
      <w:pPr>
        <w:ind w:left="1440" w:hanging="360"/>
      </w:pPr>
    </w:lvl>
    <w:lvl w:ilvl="6" w:tplc="7196E150">
      <w:start w:val="1"/>
      <w:numFmt w:val="decimal"/>
      <w:lvlText w:val="%7."/>
      <w:lvlJc w:val="left"/>
      <w:pPr>
        <w:ind w:left="1440" w:hanging="360"/>
      </w:pPr>
    </w:lvl>
    <w:lvl w:ilvl="7" w:tplc="34E0D6F0">
      <w:start w:val="1"/>
      <w:numFmt w:val="decimal"/>
      <w:lvlText w:val="%8."/>
      <w:lvlJc w:val="left"/>
      <w:pPr>
        <w:ind w:left="1440" w:hanging="360"/>
      </w:pPr>
    </w:lvl>
    <w:lvl w:ilvl="8" w:tplc="2EE6A728">
      <w:start w:val="1"/>
      <w:numFmt w:val="decimal"/>
      <w:lvlText w:val="%9."/>
      <w:lvlJc w:val="left"/>
      <w:pPr>
        <w:ind w:left="1440" w:hanging="360"/>
      </w:pPr>
    </w:lvl>
  </w:abstractNum>
  <w:abstractNum w:abstractNumId="7"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63234A"/>
    <w:multiLevelType w:val="hybridMultilevel"/>
    <w:tmpl w:val="2CC6309A"/>
    <w:lvl w:ilvl="0" w:tplc="E610AC90">
      <w:start w:val="1"/>
      <w:numFmt w:val="decimal"/>
      <w:lvlText w:val="%1."/>
      <w:lvlJc w:val="left"/>
      <w:pPr>
        <w:ind w:left="1020" w:hanging="360"/>
      </w:pPr>
    </w:lvl>
    <w:lvl w:ilvl="1" w:tplc="C63C5EB6">
      <w:start w:val="1"/>
      <w:numFmt w:val="decimal"/>
      <w:lvlText w:val="%2."/>
      <w:lvlJc w:val="left"/>
      <w:pPr>
        <w:ind w:left="1020" w:hanging="360"/>
      </w:pPr>
    </w:lvl>
    <w:lvl w:ilvl="2" w:tplc="00FE8FE4">
      <w:start w:val="1"/>
      <w:numFmt w:val="decimal"/>
      <w:lvlText w:val="%3."/>
      <w:lvlJc w:val="left"/>
      <w:pPr>
        <w:ind w:left="1020" w:hanging="360"/>
      </w:pPr>
    </w:lvl>
    <w:lvl w:ilvl="3" w:tplc="868C3D92">
      <w:start w:val="1"/>
      <w:numFmt w:val="decimal"/>
      <w:lvlText w:val="%4."/>
      <w:lvlJc w:val="left"/>
      <w:pPr>
        <w:ind w:left="1020" w:hanging="360"/>
      </w:pPr>
    </w:lvl>
    <w:lvl w:ilvl="4" w:tplc="5796ADF2">
      <w:start w:val="1"/>
      <w:numFmt w:val="decimal"/>
      <w:lvlText w:val="%5."/>
      <w:lvlJc w:val="left"/>
      <w:pPr>
        <w:ind w:left="1020" w:hanging="360"/>
      </w:pPr>
    </w:lvl>
    <w:lvl w:ilvl="5" w:tplc="B7C4868C">
      <w:start w:val="1"/>
      <w:numFmt w:val="decimal"/>
      <w:lvlText w:val="%6."/>
      <w:lvlJc w:val="left"/>
      <w:pPr>
        <w:ind w:left="1020" w:hanging="360"/>
      </w:pPr>
    </w:lvl>
    <w:lvl w:ilvl="6" w:tplc="236A003C">
      <w:start w:val="1"/>
      <w:numFmt w:val="decimal"/>
      <w:lvlText w:val="%7."/>
      <w:lvlJc w:val="left"/>
      <w:pPr>
        <w:ind w:left="1020" w:hanging="360"/>
      </w:pPr>
    </w:lvl>
    <w:lvl w:ilvl="7" w:tplc="5830822E">
      <w:start w:val="1"/>
      <w:numFmt w:val="decimal"/>
      <w:lvlText w:val="%8."/>
      <w:lvlJc w:val="left"/>
      <w:pPr>
        <w:ind w:left="1020" w:hanging="360"/>
      </w:pPr>
    </w:lvl>
    <w:lvl w:ilvl="8" w:tplc="C4D6CF22">
      <w:start w:val="1"/>
      <w:numFmt w:val="decimal"/>
      <w:lvlText w:val="%9."/>
      <w:lvlJc w:val="left"/>
      <w:pPr>
        <w:ind w:left="1020" w:hanging="360"/>
      </w:pPr>
    </w:lvl>
  </w:abstractNum>
  <w:abstractNum w:abstractNumId="9" w15:restartNumberingAfterBreak="0">
    <w:nsid w:val="21E75AB6"/>
    <w:multiLevelType w:val="hybridMultilevel"/>
    <w:tmpl w:val="C6F2B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3109CC"/>
    <w:multiLevelType w:val="hybridMultilevel"/>
    <w:tmpl w:val="11DC6D08"/>
    <w:lvl w:ilvl="0" w:tplc="2958817C">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407CE8"/>
    <w:multiLevelType w:val="hybridMultilevel"/>
    <w:tmpl w:val="524A54A4"/>
    <w:lvl w:ilvl="0" w:tplc="837E163A">
      <w:start w:val="1"/>
      <w:numFmt w:val="bullet"/>
      <w:lvlText w:val=""/>
      <w:lvlJc w:val="left"/>
      <w:pPr>
        <w:ind w:left="1020" w:hanging="360"/>
      </w:pPr>
      <w:rPr>
        <w:rFonts w:ascii="Symbol" w:hAnsi="Symbol"/>
      </w:rPr>
    </w:lvl>
    <w:lvl w:ilvl="1" w:tplc="1F427902">
      <w:start w:val="1"/>
      <w:numFmt w:val="bullet"/>
      <w:lvlText w:val=""/>
      <w:lvlJc w:val="left"/>
      <w:pPr>
        <w:ind w:left="1020" w:hanging="360"/>
      </w:pPr>
      <w:rPr>
        <w:rFonts w:ascii="Symbol" w:hAnsi="Symbol"/>
      </w:rPr>
    </w:lvl>
    <w:lvl w:ilvl="2" w:tplc="CB02A632">
      <w:start w:val="1"/>
      <w:numFmt w:val="bullet"/>
      <w:lvlText w:val=""/>
      <w:lvlJc w:val="left"/>
      <w:pPr>
        <w:ind w:left="1020" w:hanging="360"/>
      </w:pPr>
      <w:rPr>
        <w:rFonts w:ascii="Symbol" w:hAnsi="Symbol"/>
      </w:rPr>
    </w:lvl>
    <w:lvl w:ilvl="3" w:tplc="66986AC2">
      <w:start w:val="1"/>
      <w:numFmt w:val="bullet"/>
      <w:lvlText w:val=""/>
      <w:lvlJc w:val="left"/>
      <w:pPr>
        <w:ind w:left="1020" w:hanging="360"/>
      </w:pPr>
      <w:rPr>
        <w:rFonts w:ascii="Symbol" w:hAnsi="Symbol"/>
      </w:rPr>
    </w:lvl>
    <w:lvl w:ilvl="4" w:tplc="F94C72AC">
      <w:start w:val="1"/>
      <w:numFmt w:val="bullet"/>
      <w:lvlText w:val=""/>
      <w:lvlJc w:val="left"/>
      <w:pPr>
        <w:ind w:left="1020" w:hanging="360"/>
      </w:pPr>
      <w:rPr>
        <w:rFonts w:ascii="Symbol" w:hAnsi="Symbol"/>
      </w:rPr>
    </w:lvl>
    <w:lvl w:ilvl="5" w:tplc="B6264FCC">
      <w:start w:val="1"/>
      <w:numFmt w:val="bullet"/>
      <w:lvlText w:val=""/>
      <w:lvlJc w:val="left"/>
      <w:pPr>
        <w:ind w:left="1020" w:hanging="360"/>
      </w:pPr>
      <w:rPr>
        <w:rFonts w:ascii="Symbol" w:hAnsi="Symbol"/>
      </w:rPr>
    </w:lvl>
    <w:lvl w:ilvl="6" w:tplc="D486C300">
      <w:start w:val="1"/>
      <w:numFmt w:val="bullet"/>
      <w:lvlText w:val=""/>
      <w:lvlJc w:val="left"/>
      <w:pPr>
        <w:ind w:left="1020" w:hanging="360"/>
      </w:pPr>
      <w:rPr>
        <w:rFonts w:ascii="Symbol" w:hAnsi="Symbol"/>
      </w:rPr>
    </w:lvl>
    <w:lvl w:ilvl="7" w:tplc="53AC8304">
      <w:start w:val="1"/>
      <w:numFmt w:val="bullet"/>
      <w:lvlText w:val=""/>
      <w:lvlJc w:val="left"/>
      <w:pPr>
        <w:ind w:left="1020" w:hanging="360"/>
      </w:pPr>
      <w:rPr>
        <w:rFonts w:ascii="Symbol" w:hAnsi="Symbol"/>
      </w:rPr>
    </w:lvl>
    <w:lvl w:ilvl="8" w:tplc="A3F4501E">
      <w:start w:val="1"/>
      <w:numFmt w:val="bullet"/>
      <w:lvlText w:val=""/>
      <w:lvlJc w:val="left"/>
      <w:pPr>
        <w:ind w:left="1020" w:hanging="360"/>
      </w:pPr>
      <w:rPr>
        <w:rFonts w:ascii="Symbol" w:hAnsi="Symbol"/>
      </w:rPr>
    </w:lvl>
  </w:abstractNum>
  <w:abstractNum w:abstractNumId="12"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4" w15:restartNumberingAfterBreak="0">
    <w:nsid w:val="31100113"/>
    <w:multiLevelType w:val="multilevel"/>
    <w:tmpl w:val="7A8CCD0A"/>
    <w:lvl w:ilvl="0">
      <w:start w:val="1"/>
      <w:numFmt w:val="bullet"/>
      <w:lvlText w:val="o"/>
      <w:lvlJc w:val="left"/>
      <w:pPr>
        <w:tabs>
          <w:tab w:val="num" w:pos="1960"/>
        </w:tabs>
        <w:ind w:left="1960" w:hanging="520"/>
      </w:pPr>
      <w:rPr>
        <w:rFonts w:ascii="Courier New" w:hAnsi="Courier New" w:cs="Courier New" w:hint="default"/>
      </w:rPr>
    </w:lvl>
    <w:lvl w:ilvl="1">
      <w:start w:val="1"/>
      <w:numFmt w:val="bullet"/>
      <w:lvlText w:val="–"/>
      <w:lvlJc w:val="left"/>
      <w:pPr>
        <w:tabs>
          <w:tab w:val="num" w:pos="2480"/>
        </w:tabs>
        <w:ind w:left="2480" w:hanging="520"/>
      </w:pPr>
      <w:rPr>
        <w:rFonts w:ascii="Times New Roman" w:hAnsi="Times New Roman" w:cs="Times New Roman"/>
      </w:rPr>
    </w:lvl>
    <w:lvl w:ilvl="2">
      <w:start w:val="1"/>
      <w:numFmt w:val="bullet"/>
      <w:lvlText w:val=":"/>
      <w:lvlJc w:val="left"/>
      <w:pPr>
        <w:tabs>
          <w:tab w:val="num" w:pos="3000"/>
        </w:tabs>
        <w:ind w:left="3000" w:hanging="520"/>
      </w:pPr>
      <w:rPr>
        <w:rFonts w:ascii="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5"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9786934"/>
    <w:multiLevelType w:val="hybridMultilevel"/>
    <w:tmpl w:val="5BD434E8"/>
    <w:lvl w:ilvl="0" w:tplc="3006A90A">
      <w:start w:val="1"/>
      <w:numFmt w:val="bullet"/>
      <w:lvlText w:val=""/>
      <w:lvlJc w:val="left"/>
      <w:pPr>
        <w:ind w:left="1440" w:hanging="360"/>
      </w:pPr>
      <w:rPr>
        <w:rFonts w:ascii="Symbol" w:hAnsi="Symbol"/>
      </w:rPr>
    </w:lvl>
    <w:lvl w:ilvl="1" w:tplc="7F9A998A">
      <w:start w:val="1"/>
      <w:numFmt w:val="bullet"/>
      <w:lvlText w:val=""/>
      <w:lvlJc w:val="left"/>
      <w:pPr>
        <w:ind w:left="1440" w:hanging="360"/>
      </w:pPr>
      <w:rPr>
        <w:rFonts w:ascii="Symbol" w:hAnsi="Symbol"/>
      </w:rPr>
    </w:lvl>
    <w:lvl w:ilvl="2" w:tplc="C8BC8970">
      <w:start w:val="1"/>
      <w:numFmt w:val="bullet"/>
      <w:lvlText w:val=""/>
      <w:lvlJc w:val="left"/>
      <w:pPr>
        <w:ind w:left="1440" w:hanging="360"/>
      </w:pPr>
      <w:rPr>
        <w:rFonts w:ascii="Symbol" w:hAnsi="Symbol"/>
      </w:rPr>
    </w:lvl>
    <w:lvl w:ilvl="3" w:tplc="38E88792">
      <w:start w:val="1"/>
      <w:numFmt w:val="bullet"/>
      <w:lvlText w:val=""/>
      <w:lvlJc w:val="left"/>
      <w:pPr>
        <w:ind w:left="1440" w:hanging="360"/>
      </w:pPr>
      <w:rPr>
        <w:rFonts w:ascii="Symbol" w:hAnsi="Symbol"/>
      </w:rPr>
    </w:lvl>
    <w:lvl w:ilvl="4" w:tplc="839C64F0">
      <w:start w:val="1"/>
      <w:numFmt w:val="bullet"/>
      <w:lvlText w:val=""/>
      <w:lvlJc w:val="left"/>
      <w:pPr>
        <w:ind w:left="1440" w:hanging="360"/>
      </w:pPr>
      <w:rPr>
        <w:rFonts w:ascii="Symbol" w:hAnsi="Symbol"/>
      </w:rPr>
    </w:lvl>
    <w:lvl w:ilvl="5" w:tplc="C2D29C48">
      <w:start w:val="1"/>
      <w:numFmt w:val="bullet"/>
      <w:lvlText w:val=""/>
      <w:lvlJc w:val="left"/>
      <w:pPr>
        <w:ind w:left="1440" w:hanging="360"/>
      </w:pPr>
      <w:rPr>
        <w:rFonts w:ascii="Symbol" w:hAnsi="Symbol"/>
      </w:rPr>
    </w:lvl>
    <w:lvl w:ilvl="6" w:tplc="0130F760">
      <w:start w:val="1"/>
      <w:numFmt w:val="bullet"/>
      <w:lvlText w:val=""/>
      <w:lvlJc w:val="left"/>
      <w:pPr>
        <w:ind w:left="1440" w:hanging="360"/>
      </w:pPr>
      <w:rPr>
        <w:rFonts w:ascii="Symbol" w:hAnsi="Symbol"/>
      </w:rPr>
    </w:lvl>
    <w:lvl w:ilvl="7" w:tplc="D4660D0A">
      <w:start w:val="1"/>
      <w:numFmt w:val="bullet"/>
      <w:lvlText w:val=""/>
      <w:lvlJc w:val="left"/>
      <w:pPr>
        <w:ind w:left="1440" w:hanging="360"/>
      </w:pPr>
      <w:rPr>
        <w:rFonts w:ascii="Symbol" w:hAnsi="Symbol"/>
      </w:rPr>
    </w:lvl>
    <w:lvl w:ilvl="8" w:tplc="B36CDD96">
      <w:start w:val="1"/>
      <w:numFmt w:val="bullet"/>
      <w:lvlText w:val=""/>
      <w:lvlJc w:val="left"/>
      <w:pPr>
        <w:ind w:left="1440" w:hanging="360"/>
      </w:pPr>
      <w:rPr>
        <w:rFonts w:ascii="Symbol" w:hAnsi="Symbol"/>
      </w:rPr>
    </w:lvl>
  </w:abstractNum>
  <w:abstractNum w:abstractNumId="18" w15:restartNumberingAfterBreak="0">
    <w:nsid w:val="3F7825E2"/>
    <w:multiLevelType w:val="hybridMultilevel"/>
    <w:tmpl w:val="AB0EA264"/>
    <w:lvl w:ilvl="0" w:tplc="7764C334">
      <w:start w:val="1"/>
      <w:numFmt w:val="decimal"/>
      <w:lvlText w:val="%1."/>
      <w:lvlJc w:val="left"/>
      <w:pPr>
        <w:ind w:left="1440" w:hanging="360"/>
      </w:pPr>
    </w:lvl>
    <w:lvl w:ilvl="1" w:tplc="523EA60A">
      <w:start w:val="1"/>
      <w:numFmt w:val="bullet"/>
      <w:lvlText w:val=""/>
      <w:lvlJc w:val="left"/>
      <w:pPr>
        <w:ind w:left="2160" w:hanging="360"/>
      </w:pPr>
      <w:rPr>
        <w:rFonts w:ascii="Symbol" w:hAnsi="Symbol"/>
      </w:rPr>
    </w:lvl>
    <w:lvl w:ilvl="2" w:tplc="046C1896">
      <w:start w:val="1"/>
      <w:numFmt w:val="decimal"/>
      <w:lvlText w:val="%3."/>
      <w:lvlJc w:val="left"/>
      <w:pPr>
        <w:ind w:left="1440" w:hanging="360"/>
      </w:pPr>
    </w:lvl>
    <w:lvl w:ilvl="3" w:tplc="B3764D70">
      <w:start w:val="1"/>
      <w:numFmt w:val="decimal"/>
      <w:lvlText w:val="%4."/>
      <w:lvlJc w:val="left"/>
      <w:pPr>
        <w:ind w:left="1440" w:hanging="360"/>
      </w:pPr>
    </w:lvl>
    <w:lvl w:ilvl="4" w:tplc="3E84ABEC">
      <w:start w:val="1"/>
      <w:numFmt w:val="decimal"/>
      <w:lvlText w:val="%5."/>
      <w:lvlJc w:val="left"/>
      <w:pPr>
        <w:ind w:left="1440" w:hanging="360"/>
      </w:pPr>
    </w:lvl>
    <w:lvl w:ilvl="5" w:tplc="151051F0">
      <w:start w:val="1"/>
      <w:numFmt w:val="decimal"/>
      <w:lvlText w:val="%6."/>
      <w:lvlJc w:val="left"/>
      <w:pPr>
        <w:ind w:left="1440" w:hanging="360"/>
      </w:pPr>
    </w:lvl>
    <w:lvl w:ilvl="6" w:tplc="E3389362">
      <w:start w:val="1"/>
      <w:numFmt w:val="decimal"/>
      <w:lvlText w:val="%7."/>
      <w:lvlJc w:val="left"/>
      <w:pPr>
        <w:ind w:left="1440" w:hanging="360"/>
      </w:pPr>
    </w:lvl>
    <w:lvl w:ilvl="7" w:tplc="9B3846E2">
      <w:start w:val="1"/>
      <w:numFmt w:val="decimal"/>
      <w:lvlText w:val="%8."/>
      <w:lvlJc w:val="left"/>
      <w:pPr>
        <w:ind w:left="1440" w:hanging="360"/>
      </w:pPr>
    </w:lvl>
    <w:lvl w:ilvl="8" w:tplc="E2B4A2B6">
      <w:start w:val="1"/>
      <w:numFmt w:val="decimal"/>
      <w:lvlText w:val="%9."/>
      <w:lvlJc w:val="left"/>
      <w:pPr>
        <w:ind w:left="1440" w:hanging="360"/>
      </w:pPr>
    </w:lvl>
  </w:abstractNum>
  <w:abstractNum w:abstractNumId="19" w15:restartNumberingAfterBreak="0">
    <w:nsid w:val="4AA26331"/>
    <w:multiLevelType w:val="multilevel"/>
    <w:tmpl w:val="510CC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43716D"/>
    <w:multiLevelType w:val="hybridMultilevel"/>
    <w:tmpl w:val="7F00C926"/>
    <w:lvl w:ilvl="0" w:tplc="7430F2B2">
      <w:start w:val="1"/>
      <w:numFmt w:val="bullet"/>
      <w:lvlText w:val=""/>
      <w:lvlJc w:val="left"/>
      <w:pPr>
        <w:ind w:left="1020" w:hanging="360"/>
      </w:pPr>
      <w:rPr>
        <w:rFonts w:ascii="Symbol" w:hAnsi="Symbol"/>
      </w:rPr>
    </w:lvl>
    <w:lvl w:ilvl="1" w:tplc="4628CFE2">
      <w:start w:val="1"/>
      <w:numFmt w:val="bullet"/>
      <w:lvlText w:val=""/>
      <w:lvlJc w:val="left"/>
      <w:pPr>
        <w:ind w:left="1020" w:hanging="360"/>
      </w:pPr>
      <w:rPr>
        <w:rFonts w:ascii="Symbol" w:hAnsi="Symbol"/>
      </w:rPr>
    </w:lvl>
    <w:lvl w:ilvl="2" w:tplc="B6CA1720">
      <w:start w:val="1"/>
      <w:numFmt w:val="bullet"/>
      <w:lvlText w:val=""/>
      <w:lvlJc w:val="left"/>
      <w:pPr>
        <w:ind w:left="1020" w:hanging="360"/>
      </w:pPr>
      <w:rPr>
        <w:rFonts w:ascii="Symbol" w:hAnsi="Symbol"/>
      </w:rPr>
    </w:lvl>
    <w:lvl w:ilvl="3" w:tplc="84A43162">
      <w:start w:val="1"/>
      <w:numFmt w:val="bullet"/>
      <w:lvlText w:val=""/>
      <w:lvlJc w:val="left"/>
      <w:pPr>
        <w:ind w:left="1020" w:hanging="360"/>
      </w:pPr>
      <w:rPr>
        <w:rFonts w:ascii="Symbol" w:hAnsi="Symbol"/>
      </w:rPr>
    </w:lvl>
    <w:lvl w:ilvl="4" w:tplc="EE26C07A">
      <w:start w:val="1"/>
      <w:numFmt w:val="bullet"/>
      <w:lvlText w:val=""/>
      <w:lvlJc w:val="left"/>
      <w:pPr>
        <w:ind w:left="1020" w:hanging="360"/>
      </w:pPr>
      <w:rPr>
        <w:rFonts w:ascii="Symbol" w:hAnsi="Symbol"/>
      </w:rPr>
    </w:lvl>
    <w:lvl w:ilvl="5" w:tplc="8528C9D4">
      <w:start w:val="1"/>
      <w:numFmt w:val="bullet"/>
      <w:lvlText w:val=""/>
      <w:lvlJc w:val="left"/>
      <w:pPr>
        <w:ind w:left="1020" w:hanging="360"/>
      </w:pPr>
      <w:rPr>
        <w:rFonts w:ascii="Symbol" w:hAnsi="Symbol"/>
      </w:rPr>
    </w:lvl>
    <w:lvl w:ilvl="6" w:tplc="59A6CC1C">
      <w:start w:val="1"/>
      <w:numFmt w:val="bullet"/>
      <w:lvlText w:val=""/>
      <w:lvlJc w:val="left"/>
      <w:pPr>
        <w:ind w:left="1020" w:hanging="360"/>
      </w:pPr>
      <w:rPr>
        <w:rFonts w:ascii="Symbol" w:hAnsi="Symbol"/>
      </w:rPr>
    </w:lvl>
    <w:lvl w:ilvl="7" w:tplc="F9BAE8B0">
      <w:start w:val="1"/>
      <w:numFmt w:val="bullet"/>
      <w:lvlText w:val=""/>
      <w:lvlJc w:val="left"/>
      <w:pPr>
        <w:ind w:left="1020" w:hanging="360"/>
      </w:pPr>
      <w:rPr>
        <w:rFonts w:ascii="Symbol" w:hAnsi="Symbol"/>
      </w:rPr>
    </w:lvl>
    <w:lvl w:ilvl="8" w:tplc="5B6A5106">
      <w:start w:val="1"/>
      <w:numFmt w:val="bullet"/>
      <w:lvlText w:val=""/>
      <w:lvlJc w:val="left"/>
      <w:pPr>
        <w:ind w:left="1020" w:hanging="360"/>
      </w:pPr>
      <w:rPr>
        <w:rFonts w:ascii="Symbol" w:hAnsi="Symbol"/>
      </w:rPr>
    </w:lvl>
  </w:abstractNum>
  <w:abstractNum w:abstractNumId="21" w15:restartNumberingAfterBreak="0">
    <w:nsid w:val="510D2021"/>
    <w:multiLevelType w:val="multilevel"/>
    <w:tmpl w:val="72F8140E"/>
    <w:numStyleLink w:val="OutlineList"/>
  </w:abstractNum>
  <w:abstractNum w:abstractNumId="22" w15:restartNumberingAfterBreak="0">
    <w:nsid w:val="5BB16983"/>
    <w:multiLevelType w:val="hybridMultilevel"/>
    <w:tmpl w:val="80B421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CDB782B"/>
    <w:multiLevelType w:val="hybridMultilevel"/>
    <w:tmpl w:val="6032E9F0"/>
    <w:lvl w:ilvl="0" w:tplc="25ACA502">
      <w:start w:val="1"/>
      <w:numFmt w:val="decimal"/>
      <w:lvlText w:val="%1."/>
      <w:lvlJc w:val="left"/>
      <w:pPr>
        <w:ind w:left="720" w:hanging="360"/>
      </w:pPr>
      <w:rPr>
        <w:rFonts w:asciiTheme="minorHAnsi" w:eastAsiaTheme="minorHAnsi" w:hAnsiTheme="minorHAnsi" w:cstheme="minorBidi"/>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0F97E17"/>
    <w:multiLevelType w:val="hybridMultilevel"/>
    <w:tmpl w:val="2786B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7B54E6B"/>
    <w:multiLevelType w:val="hybridMultilevel"/>
    <w:tmpl w:val="5A829D40"/>
    <w:lvl w:ilvl="0" w:tplc="104EC250">
      <w:start w:val="1"/>
      <w:numFmt w:val="bullet"/>
      <w:lvlText w:val=""/>
      <w:lvlJc w:val="left"/>
      <w:pPr>
        <w:ind w:left="1020" w:hanging="360"/>
      </w:pPr>
      <w:rPr>
        <w:rFonts w:ascii="Symbol" w:hAnsi="Symbol"/>
      </w:rPr>
    </w:lvl>
    <w:lvl w:ilvl="1" w:tplc="19844F78">
      <w:start w:val="1"/>
      <w:numFmt w:val="bullet"/>
      <w:lvlText w:val=""/>
      <w:lvlJc w:val="left"/>
      <w:pPr>
        <w:ind w:left="1020" w:hanging="360"/>
      </w:pPr>
      <w:rPr>
        <w:rFonts w:ascii="Symbol" w:hAnsi="Symbol"/>
      </w:rPr>
    </w:lvl>
    <w:lvl w:ilvl="2" w:tplc="1876AC6E">
      <w:start w:val="1"/>
      <w:numFmt w:val="bullet"/>
      <w:lvlText w:val=""/>
      <w:lvlJc w:val="left"/>
      <w:pPr>
        <w:ind w:left="1020" w:hanging="360"/>
      </w:pPr>
      <w:rPr>
        <w:rFonts w:ascii="Symbol" w:hAnsi="Symbol"/>
      </w:rPr>
    </w:lvl>
    <w:lvl w:ilvl="3" w:tplc="6CF8EEE2">
      <w:start w:val="1"/>
      <w:numFmt w:val="bullet"/>
      <w:lvlText w:val=""/>
      <w:lvlJc w:val="left"/>
      <w:pPr>
        <w:ind w:left="1020" w:hanging="360"/>
      </w:pPr>
      <w:rPr>
        <w:rFonts w:ascii="Symbol" w:hAnsi="Symbol"/>
      </w:rPr>
    </w:lvl>
    <w:lvl w:ilvl="4" w:tplc="1366B058">
      <w:start w:val="1"/>
      <w:numFmt w:val="bullet"/>
      <w:lvlText w:val=""/>
      <w:lvlJc w:val="left"/>
      <w:pPr>
        <w:ind w:left="1020" w:hanging="360"/>
      </w:pPr>
      <w:rPr>
        <w:rFonts w:ascii="Symbol" w:hAnsi="Symbol"/>
      </w:rPr>
    </w:lvl>
    <w:lvl w:ilvl="5" w:tplc="B53A152A">
      <w:start w:val="1"/>
      <w:numFmt w:val="bullet"/>
      <w:lvlText w:val=""/>
      <w:lvlJc w:val="left"/>
      <w:pPr>
        <w:ind w:left="1020" w:hanging="360"/>
      </w:pPr>
      <w:rPr>
        <w:rFonts w:ascii="Symbol" w:hAnsi="Symbol"/>
      </w:rPr>
    </w:lvl>
    <w:lvl w:ilvl="6" w:tplc="2EDE680C">
      <w:start w:val="1"/>
      <w:numFmt w:val="bullet"/>
      <w:lvlText w:val=""/>
      <w:lvlJc w:val="left"/>
      <w:pPr>
        <w:ind w:left="1020" w:hanging="360"/>
      </w:pPr>
      <w:rPr>
        <w:rFonts w:ascii="Symbol" w:hAnsi="Symbol"/>
      </w:rPr>
    </w:lvl>
    <w:lvl w:ilvl="7" w:tplc="EB1669F4">
      <w:start w:val="1"/>
      <w:numFmt w:val="bullet"/>
      <w:lvlText w:val=""/>
      <w:lvlJc w:val="left"/>
      <w:pPr>
        <w:ind w:left="1020" w:hanging="360"/>
      </w:pPr>
      <w:rPr>
        <w:rFonts w:ascii="Symbol" w:hAnsi="Symbol"/>
      </w:rPr>
    </w:lvl>
    <w:lvl w:ilvl="8" w:tplc="30FECEDE">
      <w:start w:val="1"/>
      <w:numFmt w:val="bullet"/>
      <w:lvlText w:val=""/>
      <w:lvlJc w:val="left"/>
      <w:pPr>
        <w:ind w:left="1020" w:hanging="360"/>
      </w:pPr>
      <w:rPr>
        <w:rFonts w:ascii="Symbol" w:hAnsi="Symbol"/>
      </w:rPr>
    </w:lvl>
  </w:abstractNum>
  <w:abstractNum w:abstractNumId="26" w15:restartNumberingAfterBreak="0">
    <w:nsid w:val="67C65207"/>
    <w:multiLevelType w:val="hybridMultilevel"/>
    <w:tmpl w:val="C4D478D8"/>
    <w:lvl w:ilvl="0" w:tplc="0C09000F">
      <w:start w:val="1"/>
      <w:numFmt w:val="decimal"/>
      <w:lvlText w:val="%1."/>
      <w:lvlJc w:val="left"/>
      <w:pPr>
        <w:ind w:left="1440" w:hanging="360"/>
      </w:pPr>
    </w:lvl>
    <w:lvl w:ilvl="1" w:tplc="FFFFFFFF">
      <w:numFmt w:val="decimal"/>
      <w:lvlText w:val="o"/>
      <w:lvlJc w:val="left"/>
      <w:pPr>
        <w:ind w:left="2160" w:hanging="360"/>
      </w:pPr>
      <w:rPr>
        <w:rFonts w:ascii="Courier New" w:hAnsi="Courier New" w:cs="Courier New" w:hint="default"/>
      </w:rPr>
    </w:lvl>
    <w:lvl w:ilvl="2" w:tplc="FFFFFFFF">
      <w:numFmt w:val="decimal"/>
      <w:lvlText w:val=""/>
      <w:lvlJc w:val="left"/>
      <w:pPr>
        <w:ind w:left="2880" w:hanging="360"/>
      </w:pPr>
      <w:rPr>
        <w:rFonts w:ascii="Wingdings" w:hAnsi="Wingdings" w:hint="default"/>
      </w:rPr>
    </w:lvl>
    <w:lvl w:ilvl="3" w:tplc="FFFFFFFF">
      <w:numFmt w:val="decimal"/>
      <w:lvlText w:val=""/>
      <w:lvlJc w:val="left"/>
      <w:pPr>
        <w:ind w:left="3600" w:hanging="360"/>
      </w:pPr>
      <w:rPr>
        <w:rFonts w:ascii="Symbol" w:hAnsi="Symbol" w:hint="default"/>
      </w:rPr>
    </w:lvl>
    <w:lvl w:ilvl="4" w:tplc="FFFFFFFF">
      <w:numFmt w:val="decimal"/>
      <w:lvlText w:val="o"/>
      <w:lvlJc w:val="left"/>
      <w:pPr>
        <w:ind w:left="4320" w:hanging="360"/>
      </w:pPr>
      <w:rPr>
        <w:rFonts w:ascii="Courier New" w:hAnsi="Courier New" w:cs="Courier New" w:hint="default"/>
      </w:rPr>
    </w:lvl>
    <w:lvl w:ilvl="5" w:tplc="FFFFFFFF">
      <w:numFmt w:val="decimal"/>
      <w:lvlText w:val=""/>
      <w:lvlJc w:val="left"/>
      <w:pPr>
        <w:ind w:left="5040" w:hanging="360"/>
      </w:pPr>
      <w:rPr>
        <w:rFonts w:ascii="Wingdings" w:hAnsi="Wingdings" w:hint="default"/>
      </w:rPr>
    </w:lvl>
    <w:lvl w:ilvl="6" w:tplc="FFFFFFFF">
      <w:numFmt w:val="decimal"/>
      <w:lvlText w:val=""/>
      <w:lvlJc w:val="left"/>
      <w:pPr>
        <w:ind w:left="5760" w:hanging="360"/>
      </w:pPr>
      <w:rPr>
        <w:rFonts w:ascii="Symbol" w:hAnsi="Symbol" w:hint="default"/>
      </w:rPr>
    </w:lvl>
    <w:lvl w:ilvl="7" w:tplc="FFFFFFFF">
      <w:numFmt w:val="decimal"/>
      <w:lvlText w:val="o"/>
      <w:lvlJc w:val="left"/>
      <w:pPr>
        <w:ind w:left="6480" w:hanging="360"/>
      </w:pPr>
      <w:rPr>
        <w:rFonts w:ascii="Courier New" w:hAnsi="Courier New" w:cs="Courier New" w:hint="default"/>
      </w:rPr>
    </w:lvl>
    <w:lvl w:ilvl="8" w:tplc="FFFFFFFF">
      <w:numFmt w:val="decimal"/>
      <w:lvlText w:val=""/>
      <w:lvlJc w:val="left"/>
      <w:pPr>
        <w:ind w:left="7200" w:hanging="360"/>
      </w:pPr>
      <w:rPr>
        <w:rFonts w:ascii="Wingdings" w:hAnsi="Wingdings" w:hint="default"/>
      </w:rPr>
    </w:lvl>
  </w:abstractNum>
  <w:abstractNum w:abstractNumId="27" w15:restartNumberingAfterBreak="0">
    <w:nsid w:val="6C181079"/>
    <w:multiLevelType w:val="multilevel"/>
    <w:tmpl w:val="3E362962"/>
    <w:lvl w:ilvl="0">
      <w:start w:val="1"/>
      <w:numFmt w:val="bullet"/>
      <w:pStyle w:val="Bullet"/>
      <w:lvlText w:val=""/>
      <w:lvlJc w:val="left"/>
      <w:pPr>
        <w:ind w:left="644" w:hanging="284"/>
      </w:pPr>
      <w:rPr>
        <w:rFonts w:ascii="Symbol" w:hAnsi="Symbol" w:hint="default"/>
      </w:rPr>
    </w:lvl>
    <w:lvl w:ilvl="1">
      <w:start w:val="1"/>
      <w:numFmt w:val="bullet"/>
      <w:lvlText w:val="–"/>
      <w:lvlJc w:val="left"/>
      <w:pPr>
        <w:ind w:left="928" w:hanging="284"/>
      </w:pPr>
      <w:rPr>
        <w:rFonts w:ascii="Times New Roman" w:hAnsi="Times New Roman" w:cs="Times New Roman" w:hint="default"/>
      </w:rPr>
    </w:lvl>
    <w:lvl w:ilvl="2">
      <w:start w:val="1"/>
      <w:numFmt w:val="bullet"/>
      <w:lvlText w:val=":"/>
      <w:lvlJc w:val="left"/>
      <w:pPr>
        <w:ind w:left="1212" w:hanging="284"/>
      </w:pPr>
      <w:rPr>
        <w:rFonts w:ascii="Calibri" w:hAnsi="Calibri" w:hint="default"/>
      </w:rPr>
    </w:lvl>
    <w:lvl w:ilvl="3">
      <w:start w:val="1"/>
      <w:numFmt w:val="none"/>
      <w:lvlText w:val=""/>
      <w:lvlJc w:val="left"/>
      <w:pPr>
        <w:ind w:left="1496" w:hanging="284"/>
      </w:pPr>
      <w:rPr>
        <w:rFonts w:hint="default"/>
      </w:rPr>
    </w:lvl>
    <w:lvl w:ilvl="4">
      <w:start w:val="1"/>
      <w:numFmt w:val="none"/>
      <w:lvlText w:val=""/>
      <w:lvlJc w:val="left"/>
      <w:pPr>
        <w:ind w:left="1780" w:hanging="284"/>
      </w:pPr>
      <w:rPr>
        <w:rFonts w:hint="default"/>
      </w:rPr>
    </w:lvl>
    <w:lvl w:ilvl="5">
      <w:start w:val="1"/>
      <w:numFmt w:val="none"/>
      <w:lvlText w:val=""/>
      <w:lvlJc w:val="left"/>
      <w:pPr>
        <w:ind w:left="2064" w:hanging="284"/>
      </w:pPr>
      <w:rPr>
        <w:rFonts w:hint="default"/>
      </w:rPr>
    </w:lvl>
    <w:lvl w:ilvl="6">
      <w:start w:val="1"/>
      <w:numFmt w:val="none"/>
      <w:lvlText w:val=""/>
      <w:lvlJc w:val="left"/>
      <w:pPr>
        <w:ind w:left="2348" w:hanging="284"/>
      </w:pPr>
      <w:rPr>
        <w:rFonts w:hint="default"/>
      </w:rPr>
    </w:lvl>
    <w:lvl w:ilvl="7">
      <w:start w:val="1"/>
      <w:numFmt w:val="none"/>
      <w:lvlText w:val=""/>
      <w:lvlJc w:val="left"/>
      <w:pPr>
        <w:ind w:left="2632" w:hanging="284"/>
      </w:pPr>
      <w:rPr>
        <w:rFonts w:hint="default"/>
      </w:rPr>
    </w:lvl>
    <w:lvl w:ilvl="8">
      <w:start w:val="1"/>
      <w:numFmt w:val="none"/>
      <w:lvlText w:val=""/>
      <w:lvlJc w:val="left"/>
      <w:pPr>
        <w:ind w:left="2916" w:hanging="284"/>
      </w:pPr>
      <w:rPr>
        <w:rFonts w:hint="default"/>
      </w:rPr>
    </w:lvl>
  </w:abstractNum>
  <w:abstractNum w:abstractNumId="28" w15:restartNumberingAfterBreak="0">
    <w:nsid w:val="724D37FF"/>
    <w:multiLevelType w:val="multilevel"/>
    <w:tmpl w:val="BC523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107305"/>
    <w:multiLevelType w:val="multilevel"/>
    <w:tmpl w:val="EF82FBFE"/>
    <w:styleLink w:val="BulletsList"/>
    <w:lvl w:ilvl="0">
      <w:start w:val="1"/>
      <w:numFmt w:val="decimal"/>
      <w:pStyle w:val="Bullet1"/>
      <w:lvlText w:val="%1."/>
      <w:lvlJc w:val="left"/>
      <w:pPr>
        <w:ind w:left="284" w:hanging="284"/>
      </w:pPr>
      <w:rPr>
        <w:rFonts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212" w:hanging="360"/>
      </w:p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0"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9C24CC0"/>
    <w:multiLevelType w:val="hybridMultilevel"/>
    <w:tmpl w:val="1274609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D6B5224"/>
    <w:multiLevelType w:val="multilevel"/>
    <w:tmpl w:val="A556676E"/>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09446909">
    <w:abstractNumId w:val="13"/>
  </w:num>
  <w:num w:numId="2" w16cid:durableId="230386874">
    <w:abstractNumId w:val="1"/>
  </w:num>
  <w:num w:numId="3" w16cid:durableId="1716855291">
    <w:abstractNumId w:val="16"/>
  </w:num>
  <w:num w:numId="4" w16cid:durableId="797724066">
    <w:abstractNumId w:val="2"/>
  </w:num>
  <w:num w:numId="5" w16cid:durableId="306596971">
    <w:abstractNumId w:val="21"/>
  </w:num>
  <w:num w:numId="6" w16cid:durableId="1739129519">
    <w:abstractNumId w:val="15"/>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 w16cid:durableId="1043020558">
    <w:abstractNumId w:val="7"/>
  </w:num>
  <w:num w:numId="8" w16cid:durableId="832991063">
    <w:abstractNumId w:val="12"/>
  </w:num>
  <w:num w:numId="9" w16cid:durableId="143200778">
    <w:abstractNumId w:val="15"/>
  </w:num>
  <w:num w:numId="10" w16cid:durableId="1017973052">
    <w:abstractNumId w:val="5"/>
  </w:num>
  <w:num w:numId="11" w16cid:durableId="1534227257">
    <w:abstractNumId w:val="27"/>
  </w:num>
  <w:num w:numId="12" w16cid:durableId="1686519687">
    <w:abstractNumId w:val="28"/>
  </w:num>
  <w:num w:numId="13" w16cid:durableId="99224224">
    <w:abstractNumId w:val="29"/>
  </w:num>
  <w:num w:numId="14" w16cid:durableId="854149821">
    <w:abstractNumId w:val="26"/>
    <w:lvlOverride w:ilvl="0">
      <w:startOverride w:val="1"/>
    </w:lvlOverride>
    <w:lvlOverride w:ilvl="1"/>
    <w:lvlOverride w:ilvl="2"/>
    <w:lvlOverride w:ilvl="3"/>
    <w:lvlOverride w:ilvl="4"/>
    <w:lvlOverride w:ilvl="5"/>
    <w:lvlOverride w:ilvl="6"/>
    <w:lvlOverride w:ilvl="7"/>
    <w:lvlOverride w:ilvl="8"/>
  </w:num>
  <w:num w:numId="15" w16cid:durableId="1463231801">
    <w:abstractNumId w:val="14"/>
  </w:num>
  <w:num w:numId="16" w16cid:durableId="878083477">
    <w:abstractNumId w:val="19"/>
  </w:num>
  <w:num w:numId="17" w16cid:durableId="236132941">
    <w:abstractNumId w:val="9"/>
  </w:num>
  <w:num w:numId="18" w16cid:durableId="1434594968">
    <w:abstractNumId w:val="32"/>
  </w:num>
  <w:num w:numId="19" w16cid:durableId="266742515">
    <w:abstractNumId w:val="24"/>
  </w:num>
  <w:num w:numId="20" w16cid:durableId="82532263">
    <w:abstractNumId w:val="4"/>
  </w:num>
  <w:num w:numId="21" w16cid:durableId="253244337">
    <w:abstractNumId w:val="11"/>
  </w:num>
  <w:num w:numId="22" w16cid:durableId="1692217147">
    <w:abstractNumId w:val="0"/>
  </w:num>
  <w:num w:numId="23" w16cid:durableId="1414550032">
    <w:abstractNumId w:val="20"/>
  </w:num>
  <w:num w:numId="24" w16cid:durableId="1700159291">
    <w:abstractNumId w:val="25"/>
  </w:num>
  <w:num w:numId="25" w16cid:durableId="1275868864">
    <w:abstractNumId w:val="26"/>
  </w:num>
  <w:num w:numId="26" w16cid:durableId="2104178554">
    <w:abstractNumId w:val="3"/>
  </w:num>
  <w:num w:numId="27" w16cid:durableId="1632902477">
    <w:abstractNumId w:val="23"/>
  </w:num>
  <w:num w:numId="28" w16cid:durableId="801843999">
    <w:abstractNumId w:val="31"/>
  </w:num>
  <w:num w:numId="29" w16cid:durableId="665785036">
    <w:abstractNumId w:val="6"/>
  </w:num>
  <w:num w:numId="30" w16cid:durableId="1277785158">
    <w:abstractNumId w:val="18"/>
  </w:num>
  <w:num w:numId="31" w16cid:durableId="1933660094">
    <w:abstractNumId w:val="8"/>
  </w:num>
  <w:num w:numId="32" w16cid:durableId="595138993">
    <w:abstractNumId w:val="22"/>
  </w:num>
  <w:num w:numId="33" w16cid:durableId="489947843">
    <w:abstractNumId w:val="10"/>
  </w:num>
  <w:num w:numId="34" w16cid:durableId="743838972">
    <w:abstractNumId w:val="17"/>
  </w:num>
  <w:num w:numId="35" w16cid:durableId="10540393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107575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824980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630825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61514241">
    <w:abstractNumId w:val="21"/>
  </w:num>
  <w:num w:numId="40" w16cid:durableId="221411266">
    <w:abstractNumId w:val="21"/>
  </w:num>
  <w:num w:numId="41" w16cid:durableId="4758781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97664200">
    <w:abstractNumId w:val="21"/>
  </w:num>
  <w:num w:numId="43" w16cid:durableId="15585856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D17BCA"/>
    <w:rsid w:val="000001F2"/>
    <w:rsid w:val="000006DB"/>
    <w:rsid w:val="00000800"/>
    <w:rsid w:val="00000A94"/>
    <w:rsid w:val="00000D03"/>
    <w:rsid w:val="00000FCE"/>
    <w:rsid w:val="000010B0"/>
    <w:rsid w:val="0000137D"/>
    <w:rsid w:val="0000153F"/>
    <w:rsid w:val="0000164C"/>
    <w:rsid w:val="000017FA"/>
    <w:rsid w:val="0000183B"/>
    <w:rsid w:val="00001A1D"/>
    <w:rsid w:val="00001D4C"/>
    <w:rsid w:val="00001F48"/>
    <w:rsid w:val="0000217C"/>
    <w:rsid w:val="0000239F"/>
    <w:rsid w:val="000029AC"/>
    <w:rsid w:val="00002AB5"/>
    <w:rsid w:val="00002F32"/>
    <w:rsid w:val="000032EE"/>
    <w:rsid w:val="000036E7"/>
    <w:rsid w:val="00003C95"/>
    <w:rsid w:val="00004CCF"/>
    <w:rsid w:val="00004CE1"/>
    <w:rsid w:val="000054B6"/>
    <w:rsid w:val="00005C2D"/>
    <w:rsid w:val="00005F22"/>
    <w:rsid w:val="00006B9D"/>
    <w:rsid w:val="00006C63"/>
    <w:rsid w:val="000071F2"/>
    <w:rsid w:val="0000747C"/>
    <w:rsid w:val="00007F1F"/>
    <w:rsid w:val="00007FE2"/>
    <w:rsid w:val="00010628"/>
    <w:rsid w:val="0001078B"/>
    <w:rsid w:val="0001082C"/>
    <w:rsid w:val="000108D0"/>
    <w:rsid w:val="00010D0C"/>
    <w:rsid w:val="00010EAA"/>
    <w:rsid w:val="000116D7"/>
    <w:rsid w:val="00011725"/>
    <w:rsid w:val="00011831"/>
    <w:rsid w:val="00011845"/>
    <w:rsid w:val="00012574"/>
    <w:rsid w:val="00012BEE"/>
    <w:rsid w:val="00012C62"/>
    <w:rsid w:val="00012E11"/>
    <w:rsid w:val="00012EB9"/>
    <w:rsid w:val="00013100"/>
    <w:rsid w:val="00013623"/>
    <w:rsid w:val="0001396A"/>
    <w:rsid w:val="0001457B"/>
    <w:rsid w:val="00014708"/>
    <w:rsid w:val="00014A89"/>
    <w:rsid w:val="00014EE6"/>
    <w:rsid w:val="00015790"/>
    <w:rsid w:val="00015BC9"/>
    <w:rsid w:val="000161CE"/>
    <w:rsid w:val="000162CB"/>
    <w:rsid w:val="000164F0"/>
    <w:rsid w:val="0001675A"/>
    <w:rsid w:val="00016825"/>
    <w:rsid w:val="00016B8B"/>
    <w:rsid w:val="00016C00"/>
    <w:rsid w:val="00016FF9"/>
    <w:rsid w:val="000173DF"/>
    <w:rsid w:val="00017E7A"/>
    <w:rsid w:val="0002066A"/>
    <w:rsid w:val="00020DFD"/>
    <w:rsid w:val="00020FFB"/>
    <w:rsid w:val="000210E4"/>
    <w:rsid w:val="00021235"/>
    <w:rsid w:val="000212A4"/>
    <w:rsid w:val="0002157B"/>
    <w:rsid w:val="00022196"/>
    <w:rsid w:val="000229A2"/>
    <w:rsid w:val="00022AE3"/>
    <w:rsid w:val="00022C04"/>
    <w:rsid w:val="00023539"/>
    <w:rsid w:val="000235B7"/>
    <w:rsid w:val="00023767"/>
    <w:rsid w:val="000239C3"/>
    <w:rsid w:val="00024440"/>
    <w:rsid w:val="00024895"/>
    <w:rsid w:val="00024AB7"/>
    <w:rsid w:val="00024ACC"/>
    <w:rsid w:val="00024D9F"/>
    <w:rsid w:val="0002544D"/>
    <w:rsid w:val="00025BCF"/>
    <w:rsid w:val="00025C6B"/>
    <w:rsid w:val="00025E52"/>
    <w:rsid w:val="00025E95"/>
    <w:rsid w:val="00026E8E"/>
    <w:rsid w:val="000278FA"/>
    <w:rsid w:val="00027C40"/>
    <w:rsid w:val="00030170"/>
    <w:rsid w:val="0003028C"/>
    <w:rsid w:val="00030365"/>
    <w:rsid w:val="0003074B"/>
    <w:rsid w:val="0003099C"/>
    <w:rsid w:val="00030EEB"/>
    <w:rsid w:val="00031ADD"/>
    <w:rsid w:val="00031CCB"/>
    <w:rsid w:val="000322ED"/>
    <w:rsid w:val="00032DF4"/>
    <w:rsid w:val="00033C99"/>
    <w:rsid w:val="00033CB1"/>
    <w:rsid w:val="00034101"/>
    <w:rsid w:val="00035209"/>
    <w:rsid w:val="00035798"/>
    <w:rsid w:val="00035C22"/>
    <w:rsid w:val="00036032"/>
    <w:rsid w:val="000360F5"/>
    <w:rsid w:val="0003646C"/>
    <w:rsid w:val="00036B8F"/>
    <w:rsid w:val="00036C96"/>
    <w:rsid w:val="000371EE"/>
    <w:rsid w:val="0003761D"/>
    <w:rsid w:val="00037669"/>
    <w:rsid w:val="000408FD"/>
    <w:rsid w:val="000410E1"/>
    <w:rsid w:val="0004144B"/>
    <w:rsid w:val="0004169D"/>
    <w:rsid w:val="0004184F"/>
    <w:rsid w:val="00041E2F"/>
    <w:rsid w:val="0004246A"/>
    <w:rsid w:val="0004274D"/>
    <w:rsid w:val="00042FA6"/>
    <w:rsid w:val="00043348"/>
    <w:rsid w:val="000435A4"/>
    <w:rsid w:val="00043B3F"/>
    <w:rsid w:val="00043E70"/>
    <w:rsid w:val="00043F9D"/>
    <w:rsid w:val="0004423A"/>
    <w:rsid w:val="0004483F"/>
    <w:rsid w:val="00044E2E"/>
    <w:rsid w:val="00044F05"/>
    <w:rsid w:val="000452B8"/>
    <w:rsid w:val="00045923"/>
    <w:rsid w:val="00045B47"/>
    <w:rsid w:val="00046535"/>
    <w:rsid w:val="000465EE"/>
    <w:rsid w:val="00046674"/>
    <w:rsid w:val="0004668A"/>
    <w:rsid w:val="00046CB4"/>
    <w:rsid w:val="00046E5C"/>
    <w:rsid w:val="00047684"/>
    <w:rsid w:val="000504A6"/>
    <w:rsid w:val="0005138B"/>
    <w:rsid w:val="00051CAE"/>
    <w:rsid w:val="00051CC9"/>
    <w:rsid w:val="000521EE"/>
    <w:rsid w:val="000522B7"/>
    <w:rsid w:val="00053340"/>
    <w:rsid w:val="00053717"/>
    <w:rsid w:val="00053B9A"/>
    <w:rsid w:val="00053BC6"/>
    <w:rsid w:val="00053F06"/>
    <w:rsid w:val="00053FDC"/>
    <w:rsid w:val="00054457"/>
    <w:rsid w:val="000545C1"/>
    <w:rsid w:val="000546D1"/>
    <w:rsid w:val="00054B51"/>
    <w:rsid w:val="00055A74"/>
    <w:rsid w:val="00055AFA"/>
    <w:rsid w:val="00055C91"/>
    <w:rsid w:val="00056253"/>
    <w:rsid w:val="000563EF"/>
    <w:rsid w:val="0005648A"/>
    <w:rsid w:val="000564D0"/>
    <w:rsid w:val="00056837"/>
    <w:rsid w:val="00056880"/>
    <w:rsid w:val="00056F12"/>
    <w:rsid w:val="00057213"/>
    <w:rsid w:val="00057819"/>
    <w:rsid w:val="00060327"/>
    <w:rsid w:val="00060A61"/>
    <w:rsid w:val="00060C0B"/>
    <w:rsid w:val="00061546"/>
    <w:rsid w:val="00061E50"/>
    <w:rsid w:val="0006236D"/>
    <w:rsid w:val="00062897"/>
    <w:rsid w:val="0006289C"/>
    <w:rsid w:val="00062A25"/>
    <w:rsid w:val="00062BF2"/>
    <w:rsid w:val="00062D0F"/>
    <w:rsid w:val="00062D7F"/>
    <w:rsid w:val="00063173"/>
    <w:rsid w:val="000633A3"/>
    <w:rsid w:val="00063ADC"/>
    <w:rsid w:val="00063DB3"/>
    <w:rsid w:val="00064239"/>
    <w:rsid w:val="000647C0"/>
    <w:rsid w:val="000648D4"/>
    <w:rsid w:val="00065179"/>
    <w:rsid w:val="00065A98"/>
    <w:rsid w:val="00065F18"/>
    <w:rsid w:val="000661A5"/>
    <w:rsid w:val="00066635"/>
    <w:rsid w:val="000667C9"/>
    <w:rsid w:val="00066D09"/>
    <w:rsid w:val="0006717C"/>
    <w:rsid w:val="00067477"/>
    <w:rsid w:val="000674A5"/>
    <w:rsid w:val="000675D1"/>
    <w:rsid w:val="00067660"/>
    <w:rsid w:val="0006797E"/>
    <w:rsid w:val="00067AA2"/>
    <w:rsid w:val="00070040"/>
    <w:rsid w:val="00070227"/>
    <w:rsid w:val="00070257"/>
    <w:rsid w:val="00070A2B"/>
    <w:rsid w:val="00070E54"/>
    <w:rsid w:val="000710FB"/>
    <w:rsid w:val="0007111F"/>
    <w:rsid w:val="00071263"/>
    <w:rsid w:val="00071D26"/>
    <w:rsid w:val="00072055"/>
    <w:rsid w:val="00072396"/>
    <w:rsid w:val="00072570"/>
    <w:rsid w:val="000727B8"/>
    <w:rsid w:val="00072B2D"/>
    <w:rsid w:val="00072C85"/>
    <w:rsid w:val="00072FE1"/>
    <w:rsid w:val="00073521"/>
    <w:rsid w:val="000739F9"/>
    <w:rsid w:val="00073D50"/>
    <w:rsid w:val="000745FF"/>
    <w:rsid w:val="00074C13"/>
    <w:rsid w:val="00074C70"/>
    <w:rsid w:val="00074C97"/>
    <w:rsid w:val="00075143"/>
    <w:rsid w:val="00075281"/>
    <w:rsid w:val="00075B20"/>
    <w:rsid w:val="00075E66"/>
    <w:rsid w:val="00075EC7"/>
    <w:rsid w:val="00076540"/>
    <w:rsid w:val="00076B4D"/>
    <w:rsid w:val="000772F8"/>
    <w:rsid w:val="000774CA"/>
    <w:rsid w:val="000775DE"/>
    <w:rsid w:val="00077B8B"/>
    <w:rsid w:val="00080063"/>
    <w:rsid w:val="0008096C"/>
    <w:rsid w:val="00080A88"/>
    <w:rsid w:val="0008161A"/>
    <w:rsid w:val="00081631"/>
    <w:rsid w:val="00081A57"/>
    <w:rsid w:val="00081B4A"/>
    <w:rsid w:val="0008215E"/>
    <w:rsid w:val="00082354"/>
    <w:rsid w:val="00082A66"/>
    <w:rsid w:val="00082CB8"/>
    <w:rsid w:val="00082E73"/>
    <w:rsid w:val="000830FD"/>
    <w:rsid w:val="0008322E"/>
    <w:rsid w:val="00083251"/>
    <w:rsid w:val="00083B62"/>
    <w:rsid w:val="00084711"/>
    <w:rsid w:val="000851E7"/>
    <w:rsid w:val="00085424"/>
    <w:rsid w:val="0008552C"/>
    <w:rsid w:val="00085619"/>
    <w:rsid w:val="00085AD2"/>
    <w:rsid w:val="0008618B"/>
    <w:rsid w:val="0008639B"/>
    <w:rsid w:val="000865B7"/>
    <w:rsid w:val="00087DDB"/>
    <w:rsid w:val="00087E08"/>
    <w:rsid w:val="00087F2F"/>
    <w:rsid w:val="00087FAF"/>
    <w:rsid w:val="0009032E"/>
    <w:rsid w:val="000907D5"/>
    <w:rsid w:val="0009087A"/>
    <w:rsid w:val="0009096D"/>
    <w:rsid w:val="00090B4F"/>
    <w:rsid w:val="000914B9"/>
    <w:rsid w:val="00091541"/>
    <w:rsid w:val="00091624"/>
    <w:rsid w:val="0009215F"/>
    <w:rsid w:val="000923C7"/>
    <w:rsid w:val="00092C57"/>
    <w:rsid w:val="00092D48"/>
    <w:rsid w:val="00093284"/>
    <w:rsid w:val="00093323"/>
    <w:rsid w:val="0009334C"/>
    <w:rsid w:val="0009357C"/>
    <w:rsid w:val="00094125"/>
    <w:rsid w:val="0009483D"/>
    <w:rsid w:val="0009503E"/>
    <w:rsid w:val="000950F1"/>
    <w:rsid w:val="00095D88"/>
    <w:rsid w:val="00095DA9"/>
    <w:rsid w:val="00095E52"/>
    <w:rsid w:val="00095FCD"/>
    <w:rsid w:val="00096395"/>
    <w:rsid w:val="0009665D"/>
    <w:rsid w:val="00096898"/>
    <w:rsid w:val="000976D0"/>
    <w:rsid w:val="0009785D"/>
    <w:rsid w:val="00097A4D"/>
    <w:rsid w:val="00097E30"/>
    <w:rsid w:val="000A06C0"/>
    <w:rsid w:val="000A09FF"/>
    <w:rsid w:val="000A0C9D"/>
    <w:rsid w:val="000A0FBD"/>
    <w:rsid w:val="000A143A"/>
    <w:rsid w:val="000A163A"/>
    <w:rsid w:val="000A1F55"/>
    <w:rsid w:val="000A228A"/>
    <w:rsid w:val="000A27D7"/>
    <w:rsid w:val="000A29C2"/>
    <w:rsid w:val="000A30B0"/>
    <w:rsid w:val="000A3721"/>
    <w:rsid w:val="000A37A9"/>
    <w:rsid w:val="000A3FD5"/>
    <w:rsid w:val="000A444A"/>
    <w:rsid w:val="000A46CC"/>
    <w:rsid w:val="000A4805"/>
    <w:rsid w:val="000A4F1C"/>
    <w:rsid w:val="000A5087"/>
    <w:rsid w:val="000A5097"/>
    <w:rsid w:val="000A51A9"/>
    <w:rsid w:val="000A5599"/>
    <w:rsid w:val="000A575C"/>
    <w:rsid w:val="000A5CEB"/>
    <w:rsid w:val="000A6048"/>
    <w:rsid w:val="000A60B0"/>
    <w:rsid w:val="000A626D"/>
    <w:rsid w:val="000A6740"/>
    <w:rsid w:val="000A67DF"/>
    <w:rsid w:val="000A6C88"/>
    <w:rsid w:val="000A700D"/>
    <w:rsid w:val="000A743B"/>
    <w:rsid w:val="000A769C"/>
    <w:rsid w:val="000A78DB"/>
    <w:rsid w:val="000A794B"/>
    <w:rsid w:val="000A7A0D"/>
    <w:rsid w:val="000B0419"/>
    <w:rsid w:val="000B042F"/>
    <w:rsid w:val="000B064C"/>
    <w:rsid w:val="000B093F"/>
    <w:rsid w:val="000B0D0A"/>
    <w:rsid w:val="000B0E73"/>
    <w:rsid w:val="000B0F50"/>
    <w:rsid w:val="000B17CF"/>
    <w:rsid w:val="000B1B7C"/>
    <w:rsid w:val="000B1DF7"/>
    <w:rsid w:val="000B2FF5"/>
    <w:rsid w:val="000B302A"/>
    <w:rsid w:val="000B30EE"/>
    <w:rsid w:val="000B3109"/>
    <w:rsid w:val="000B367C"/>
    <w:rsid w:val="000B3704"/>
    <w:rsid w:val="000B3BF1"/>
    <w:rsid w:val="000B4295"/>
    <w:rsid w:val="000B42E7"/>
    <w:rsid w:val="000B43E5"/>
    <w:rsid w:val="000B4DA9"/>
    <w:rsid w:val="000B559A"/>
    <w:rsid w:val="000B5B7F"/>
    <w:rsid w:val="000B5CED"/>
    <w:rsid w:val="000B5DEC"/>
    <w:rsid w:val="000B5E14"/>
    <w:rsid w:val="000B69DB"/>
    <w:rsid w:val="000B6F96"/>
    <w:rsid w:val="000B71CF"/>
    <w:rsid w:val="000B73C1"/>
    <w:rsid w:val="000B79AB"/>
    <w:rsid w:val="000B79D6"/>
    <w:rsid w:val="000B7C12"/>
    <w:rsid w:val="000C018D"/>
    <w:rsid w:val="000C0284"/>
    <w:rsid w:val="000C03FE"/>
    <w:rsid w:val="000C0953"/>
    <w:rsid w:val="000C098E"/>
    <w:rsid w:val="000C1036"/>
    <w:rsid w:val="000C162B"/>
    <w:rsid w:val="000C17AC"/>
    <w:rsid w:val="000C18AE"/>
    <w:rsid w:val="000C1A2D"/>
    <w:rsid w:val="000C1E7E"/>
    <w:rsid w:val="000C206E"/>
    <w:rsid w:val="000C27C8"/>
    <w:rsid w:val="000C2B3B"/>
    <w:rsid w:val="000C2C55"/>
    <w:rsid w:val="000C32E7"/>
    <w:rsid w:val="000C3E34"/>
    <w:rsid w:val="000C3F2D"/>
    <w:rsid w:val="000C4226"/>
    <w:rsid w:val="000C4277"/>
    <w:rsid w:val="000C434B"/>
    <w:rsid w:val="000C4890"/>
    <w:rsid w:val="000C493E"/>
    <w:rsid w:val="000C4CC1"/>
    <w:rsid w:val="000C5104"/>
    <w:rsid w:val="000C514A"/>
    <w:rsid w:val="000C5496"/>
    <w:rsid w:val="000C571D"/>
    <w:rsid w:val="000C5BB0"/>
    <w:rsid w:val="000C5F40"/>
    <w:rsid w:val="000C6491"/>
    <w:rsid w:val="000C64B3"/>
    <w:rsid w:val="000C7A44"/>
    <w:rsid w:val="000C7A76"/>
    <w:rsid w:val="000C7A83"/>
    <w:rsid w:val="000C7C6F"/>
    <w:rsid w:val="000D0A09"/>
    <w:rsid w:val="000D1142"/>
    <w:rsid w:val="000D1346"/>
    <w:rsid w:val="000D1B1A"/>
    <w:rsid w:val="000D231A"/>
    <w:rsid w:val="000D2803"/>
    <w:rsid w:val="000D297B"/>
    <w:rsid w:val="000D2DDE"/>
    <w:rsid w:val="000D3E8E"/>
    <w:rsid w:val="000D44E3"/>
    <w:rsid w:val="000D481A"/>
    <w:rsid w:val="000D51B9"/>
    <w:rsid w:val="000D53C7"/>
    <w:rsid w:val="000D5DF1"/>
    <w:rsid w:val="000D6525"/>
    <w:rsid w:val="000D680E"/>
    <w:rsid w:val="000D6F48"/>
    <w:rsid w:val="000D6FB8"/>
    <w:rsid w:val="000D73E5"/>
    <w:rsid w:val="000D7B1C"/>
    <w:rsid w:val="000D7DEC"/>
    <w:rsid w:val="000D7E3C"/>
    <w:rsid w:val="000E0013"/>
    <w:rsid w:val="000E05B0"/>
    <w:rsid w:val="000E075C"/>
    <w:rsid w:val="000E099F"/>
    <w:rsid w:val="000E09B4"/>
    <w:rsid w:val="000E0A4F"/>
    <w:rsid w:val="000E0B74"/>
    <w:rsid w:val="000E0C61"/>
    <w:rsid w:val="000E169D"/>
    <w:rsid w:val="000E16B2"/>
    <w:rsid w:val="000E1959"/>
    <w:rsid w:val="000E19BE"/>
    <w:rsid w:val="000E227F"/>
    <w:rsid w:val="000E24A2"/>
    <w:rsid w:val="000E2516"/>
    <w:rsid w:val="000E2533"/>
    <w:rsid w:val="000E297D"/>
    <w:rsid w:val="000E2B4B"/>
    <w:rsid w:val="000E31A2"/>
    <w:rsid w:val="000E3206"/>
    <w:rsid w:val="000E37DD"/>
    <w:rsid w:val="000E38F3"/>
    <w:rsid w:val="000E40CC"/>
    <w:rsid w:val="000E40F1"/>
    <w:rsid w:val="000E454B"/>
    <w:rsid w:val="000E4AE9"/>
    <w:rsid w:val="000E50FC"/>
    <w:rsid w:val="000E540E"/>
    <w:rsid w:val="000E5A32"/>
    <w:rsid w:val="000E5C3B"/>
    <w:rsid w:val="000E5D43"/>
    <w:rsid w:val="000E6117"/>
    <w:rsid w:val="000E6349"/>
    <w:rsid w:val="000E635F"/>
    <w:rsid w:val="000E6456"/>
    <w:rsid w:val="000E7495"/>
    <w:rsid w:val="000E75B8"/>
    <w:rsid w:val="000E75DF"/>
    <w:rsid w:val="000E7687"/>
    <w:rsid w:val="000E7901"/>
    <w:rsid w:val="000E7B44"/>
    <w:rsid w:val="000E7E76"/>
    <w:rsid w:val="000F030B"/>
    <w:rsid w:val="000F0339"/>
    <w:rsid w:val="000F07D3"/>
    <w:rsid w:val="000F0829"/>
    <w:rsid w:val="000F0CA6"/>
    <w:rsid w:val="000F0E46"/>
    <w:rsid w:val="000F118E"/>
    <w:rsid w:val="000F13D9"/>
    <w:rsid w:val="000F13F7"/>
    <w:rsid w:val="000F1667"/>
    <w:rsid w:val="000F1845"/>
    <w:rsid w:val="000F24C1"/>
    <w:rsid w:val="000F2B36"/>
    <w:rsid w:val="000F30C6"/>
    <w:rsid w:val="000F39EE"/>
    <w:rsid w:val="000F3CA1"/>
    <w:rsid w:val="000F4103"/>
    <w:rsid w:val="000F46DD"/>
    <w:rsid w:val="000F4748"/>
    <w:rsid w:val="000F476D"/>
    <w:rsid w:val="000F49E6"/>
    <w:rsid w:val="000F4B76"/>
    <w:rsid w:val="000F4DD7"/>
    <w:rsid w:val="000F4F9A"/>
    <w:rsid w:val="000F5052"/>
    <w:rsid w:val="000F5192"/>
    <w:rsid w:val="000F51A8"/>
    <w:rsid w:val="000F520C"/>
    <w:rsid w:val="000F539C"/>
    <w:rsid w:val="000F57F5"/>
    <w:rsid w:val="000F5A47"/>
    <w:rsid w:val="000F5BA3"/>
    <w:rsid w:val="000F5C48"/>
    <w:rsid w:val="000F5CC8"/>
    <w:rsid w:val="000F5D41"/>
    <w:rsid w:val="000F614E"/>
    <w:rsid w:val="000F61DF"/>
    <w:rsid w:val="000F6233"/>
    <w:rsid w:val="000F630D"/>
    <w:rsid w:val="000F6581"/>
    <w:rsid w:val="000F6794"/>
    <w:rsid w:val="000F6C08"/>
    <w:rsid w:val="000F6C10"/>
    <w:rsid w:val="000F6C31"/>
    <w:rsid w:val="000F6DBB"/>
    <w:rsid w:val="000F722D"/>
    <w:rsid w:val="000F7CC0"/>
    <w:rsid w:val="0010032E"/>
    <w:rsid w:val="001004E1"/>
    <w:rsid w:val="00100506"/>
    <w:rsid w:val="001006BD"/>
    <w:rsid w:val="001008C2"/>
    <w:rsid w:val="00100A2A"/>
    <w:rsid w:val="001016BA"/>
    <w:rsid w:val="0010197C"/>
    <w:rsid w:val="00101F8C"/>
    <w:rsid w:val="0010265E"/>
    <w:rsid w:val="00102BBC"/>
    <w:rsid w:val="00102CB4"/>
    <w:rsid w:val="001033F5"/>
    <w:rsid w:val="001034B3"/>
    <w:rsid w:val="001035FC"/>
    <w:rsid w:val="0010388A"/>
    <w:rsid w:val="00103F3C"/>
    <w:rsid w:val="00104035"/>
    <w:rsid w:val="00104468"/>
    <w:rsid w:val="001044E6"/>
    <w:rsid w:val="0010451B"/>
    <w:rsid w:val="0010557A"/>
    <w:rsid w:val="001056C2"/>
    <w:rsid w:val="00105AB4"/>
    <w:rsid w:val="00105E5E"/>
    <w:rsid w:val="00106573"/>
    <w:rsid w:val="001067A1"/>
    <w:rsid w:val="001067E3"/>
    <w:rsid w:val="00106896"/>
    <w:rsid w:val="00106C98"/>
    <w:rsid w:val="001075F1"/>
    <w:rsid w:val="00107971"/>
    <w:rsid w:val="001079FC"/>
    <w:rsid w:val="001104B9"/>
    <w:rsid w:val="001107DA"/>
    <w:rsid w:val="00110C76"/>
    <w:rsid w:val="00110EDB"/>
    <w:rsid w:val="00111436"/>
    <w:rsid w:val="00111798"/>
    <w:rsid w:val="001117F1"/>
    <w:rsid w:val="001118CB"/>
    <w:rsid w:val="00111D13"/>
    <w:rsid w:val="001120C4"/>
    <w:rsid w:val="00112A7F"/>
    <w:rsid w:val="00112B84"/>
    <w:rsid w:val="00112C82"/>
    <w:rsid w:val="00113153"/>
    <w:rsid w:val="00113AAF"/>
    <w:rsid w:val="00113E2A"/>
    <w:rsid w:val="0011469D"/>
    <w:rsid w:val="00114DDA"/>
    <w:rsid w:val="00114E99"/>
    <w:rsid w:val="001150EC"/>
    <w:rsid w:val="001151F1"/>
    <w:rsid w:val="001152A0"/>
    <w:rsid w:val="001152E4"/>
    <w:rsid w:val="00115498"/>
    <w:rsid w:val="001157C2"/>
    <w:rsid w:val="00115C0F"/>
    <w:rsid w:val="00116283"/>
    <w:rsid w:val="00116410"/>
    <w:rsid w:val="00116683"/>
    <w:rsid w:val="0011698F"/>
    <w:rsid w:val="00116A85"/>
    <w:rsid w:val="00116C6D"/>
    <w:rsid w:val="001171D2"/>
    <w:rsid w:val="001174D8"/>
    <w:rsid w:val="0011781F"/>
    <w:rsid w:val="00117B39"/>
    <w:rsid w:val="00117EAA"/>
    <w:rsid w:val="00120198"/>
    <w:rsid w:val="001201A1"/>
    <w:rsid w:val="00120802"/>
    <w:rsid w:val="00120A0A"/>
    <w:rsid w:val="00120D76"/>
    <w:rsid w:val="001210FC"/>
    <w:rsid w:val="00121696"/>
    <w:rsid w:val="001220F7"/>
    <w:rsid w:val="00122174"/>
    <w:rsid w:val="001225DC"/>
    <w:rsid w:val="001227B2"/>
    <w:rsid w:val="00122F3E"/>
    <w:rsid w:val="00122F62"/>
    <w:rsid w:val="00123E4B"/>
    <w:rsid w:val="00123E83"/>
    <w:rsid w:val="0012412C"/>
    <w:rsid w:val="00124C57"/>
    <w:rsid w:val="00124C77"/>
    <w:rsid w:val="001251B2"/>
    <w:rsid w:val="00125364"/>
    <w:rsid w:val="00125651"/>
    <w:rsid w:val="001256E2"/>
    <w:rsid w:val="00125B05"/>
    <w:rsid w:val="00125DB4"/>
    <w:rsid w:val="00126088"/>
    <w:rsid w:val="00126C7E"/>
    <w:rsid w:val="00126EB5"/>
    <w:rsid w:val="00126EDD"/>
    <w:rsid w:val="001272E5"/>
    <w:rsid w:val="00127727"/>
    <w:rsid w:val="00127D96"/>
    <w:rsid w:val="00127E0E"/>
    <w:rsid w:val="001302E6"/>
    <w:rsid w:val="0013089A"/>
    <w:rsid w:val="00130CDE"/>
    <w:rsid w:val="0013115E"/>
    <w:rsid w:val="001311BE"/>
    <w:rsid w:val="00131447"/>
    <w:rsid w:val="00131A77"/>
    <w:rsid w:val="00131DC3"/>
    <w:rsid w:val="00131E0B"/>
    <w:rsid w:val="001323FD"/>
    <w:rsid w:val="00132A15"/>
    <w:rsid w:val="00132D8C"/>
    <w:rsid w:val="001337CE"/>
    <w:rsid w:val="0013395F"/>
    <w:rsid w:val="00133D3A"/>
    <w:rsid w:val="00133E70"/>
    <w:rsid w:val="00134246"/>
    <w:rsid w:val="0013447D"/>
    <w:rsid w:val="001344C6"/>
    <w:rsid w:val="00134EDD"/>
    <w:rsid w:val="001350D1"/>
    <w:rsid w:val="00135111"/>
    <w:rsid w:val="00135122"/>
    <w:rsid w:val="0013587B"/>
    <w:rsid w:val="00135A7F"/>
    <w:rsid w:val="00135AC2"/>
    <w:rsid w:val="00135D16"/>
    <w:rsid w:val="00135E4C"/>
    <w:rsid w:val="00135E54"/>
    <w:rsid w:val="00135E99"/>
    <w:rsid w:val="00136210"/>
    <w:rsid w:val="00136313"/>
    <w:rsid w:val="00136558"/>
    <w:rsid w:val="001365CE"/>
    <w:rsid w:val="001366C2"/>
    <w:rsid w:val="00136954"/>
    <w:rsid w:val="00136974"/>
    <w:rsid w:val="00136EDD"/>
    <w:rsid w:val="00137172"/>
    <w:rsid w:val="0013725B"/>
    <w:rsid w:val="001373F5"/>
    <w:rsid w:val="00137C4A"/>
    <w:rsid w:val="00137D4B"/>
    <w:rsid w:val="00140080"/>
    <w:rsid w:val="00140E1A"/>
    <w:rsid w:val="0014166C"/>
    <w:rsid w:val="0014292E"/>
    <w:rsid w:val="00142CD7"/>
    <w:rsid w:val="0014367F"/>
    <w:rsid w:val="0014397F"/>
    <w:rsid w:val="00143DCF"/>
    <w:rsid w:val="00144292"/>
    <w:rsid w:val="001443D5"/>
    <w:rsid w:val="001447EA"/>
    <w:rsid w:val="00144BE0"/>
    <w:rsid w:val="0014583F"/>
    <w:rsid w:val="00145BAC"/>
    <w:rsid w:val="0014672E"/>
    <w:rsid w:val="00146A11"/>
    <w:rsid w:val="00146B8D"/>
    <w:rsid w:val="00147192"/>
    <w:rsid w:val="0014720A"/>
    <w:rsid w:val="00147274"/>
    <w:rsid w:val="00147781"/>
    <w:rsid w:val="001478CC"/>
    <w:rsid w:val="00147D57"/>
    <w:rsid w:val="001501ED"/>
    <w:rsid w:val="001507E9"/>
    <w:rsid w:val="00150C0A"/>
    <w:rsid w:val="00151260"/>
    <w:rsid w:val="001513DF"/>
    <w:rsid w:val="00151620"/>
    <w:rsid w:val="0015222D"/>
    <w:rsid w:val="00152DF5"/>
    <w:rsid w:val="001532EA"/>
    <w:rsid w:val="00153621"/>
    <w:rsid w:val="0015362C"/>
    <w:rsid w:val="00153678"/>
    <w:rsid w:val="001539D1"/>
    <w:rsid w:val="00153AD1"/>
    <w:rsid w:val="00153DCB"/>
    <w:rsid w:val="00154B35"/>
    <w:rsid w:val="00154B71"/>
    <w:rsid w:val="00154C46"/>
    <w:rsid w:val="00154C70"/>
    <w:rsid w:val="00154DB9"/>
    <w:rsid w:val="00155060"/>
    <w:rsid w:val="001566E7"/>
    <w:rsid w:val="00156A0B"/>
    <w:rsid w:val="0015746F"/>
    <w:rsid w:val="001574C0"/>
    <w:rsid w:val="00157637"/>
    <w:rsid w:val="00157B74"/>
    <w:rsid w:val="00157DD6"/>
    <w:rsid w:val="00157E42"/>
    <w:rsid w:val="00160576"/>
    <w:rsid w:val="001606CF"/>
    <w:rsid w:val="0016128D"/>
    <w:rsid w:val="00161711"/>
    <w:rsid w:val="00161789"/>
    <w:rsid w:val="00161791"/>
    <w:rsid w:val="0016193D"/>
    <w:rsid w:val="001625F4"/>
    <w:rsid w:val="00162A4B"/>
    <w:rsid w:val="001633CF"/>
    <w:rsid w:val="00163919"/>
    <w:rsid w:val="00164599"/>
    <w:rsid w:val="0016481D"/>
    <w:rsid w:val="00164973"/>
    <w:rsid w:val="00164F68"/>
    <w:rsid w:val="00164F81"/>
    <w:rsid w:val="00165130"/>
    <w:rsid w:val="00165B93"/>
    <w:rsid w:val="0016652D"/>
    <w:rsid w:val="0016653E"/>
    <w:rsid w:val="001665A1"/>
    <w:rsid w:val="001665CC"/>
    <w:rsid w:val="0016662E"/>
    <w:rsid w:val="001670E5"/>
    <w:rsid w:val="00167656"/>
    <w:rsid w:val="001676FE"/>
    <w:rsid w:val="00167A0E"/>
    <w:rsid w:val="00167AED"/>
    <w:rsid w:val="00167C40"/>
    <w:rsid w:val="0017009A"/>
    <w:rsid w:val="001702A3"/>
    <w:rsid w:val="001702AB"/>
    <w:rsid w:val="00170771"/>
    <w:rsid w:val="001707C7"/>
    <w:rsid w:val="0017089D"/>
    <w:rsid w:val="001708E8"/>
    <w:rsid w:val="0017187B"/>
    <w:rsid w:val="001722CE"/>
    <w:rsid w:val="00172435"/>
    <w:rsid w:val="0017246D"/>
    <w:rsid w:val="00172648"/>
    <w:rsid w:val="001728B8"/>
    <w:rsid w:val="00172A53"/>
    <w:rsid w:val="00172B48"/>
    <w:rsid w:val="00172F5C"/>
    <w:rsid w:val="001737C6"/>
    <w:rsid w:val="00173ACD"/>
    <w:rsid w:val="00173B1C"/>
    <w:rsid w:val="0017565E"/>
    <w:rsid w:val="00175B28"/>
    <w:rsid w:val="001766A5"/>
    <w:rsid w:val="001769C9"/>
    <w:rsid w:val="00176C51"/>
    <w:rsid w:val="00176DB8"/>
    <w:rsid w:val="001776D2"/>
    <w:rsid w:val="00177792"/>
    <w:rsid w:val="001779A4"/>
    <w:rsid w:val="00177D31"/>
    <w:rsid w:val="001805A8"/>
    <w:rsid w:val="00180746"/>
    <w:rsid w:val="00180B57"/>
    <w:rsid w:val="001810A9"/>
    <w:rsid w:val="0018145A"/>
    <w:rsid w:val="00181535"/>
    <w:rsid w:val="0018167B"/>
    <w:rsid w:val="00181721"/>
    <w:rsid w:val="001817DA"/>
    <w:rsid w:val="0018189C"/>
    <w:rsid w:val="00181AE3"/>
    <w:rsid w:val="00181D1A"/>
    <w:rsid w:val="00181EEF"/>
    <w:rsid w:val="0018285B"/>
    <w:rsid w:val="00182B75"/>
    <w:rsid w:val="00182D98"/>
    <w:rsid w:val="00182E82"/>
    <w:rsid w:val="00183730"/>
    <w:rsid w:val="001838C5"/>
    <w:rsid w:val="00183975"/>
    <w:rsid w:val="001839DC"/>
    <w:rsid w:val="00183F5B"/>
    <w:rsid w:val="00184083"/>
    <w:rsid w:val="00184120"/>
    <w:rsid w:val="001845E2"/>
    <w:rsid w:val="00184A8B"/>
    <w:rsid w:val="00184D54"/>
    <w:rsid w:val="00185272"/>
    <w:rsid w:val="00185F8C"/>
    <w:rsid w:val="00186196"/>
    <w:rsid w:val="001864C6"/>
    <w:rsid w:val="00187045"/>
    <w:rsid w:val="00187C52"/>
    <w:rsid w:val="00187E62"/>
    <w:rsid w:val="00187EB4"/>
    <w:rsid w:val="001905C9"/>
    <w:rsid w:val="0019077D"/>
    <w:rsid w:val="00190951"/>
    <w:rsid w:val="00190B0B"/>
    <w:rsid w:val="00190B8B"/>
    <w:rsid w:val="0019101A"/>
    <w:rsid w:val="0019127D"/>
    <w:rsid w:val="001913D5"/>
    <w:rsid w:val="001914A0"/>
    <w:rsid w:val="00191F91"/>
    <w:rsid w:val="00192156"/>
    <w:rsid w:val="001929F6"/>
    <w:rsid w:val="00192C84"/>
    <w:rsid w:val="001934BC"/>
    <w:rsid w:val="0019364D"/>
    <w:rsid w:val="00193764"/>
    <w:rsid w:val="00193771"/>
    <w:rsid w:val="00193A79"/>
    <w:rsid w:val="00193BBE"/>
    <w:rsid w:val="00193D73"/>
    <w:rsid w:val="00193E1D"/>
    <w:rsid w:val="00193E42"/>
    <w:rsid w:val="00193F11"/>
    <w:rsid w:val="001941F5"/>
    <w:rsid w:val="0019446F"/>
    <w:rsid w:val="001955BF"/>
    <w:rsid w:val="001955D8"/>
    <w:rsid w:val="00195C8E"/>
    <w:rsid w:val="00195FF2"/>
    <w:rsid w:val="0019635D"/>
    <w:rsid w:val="001964BE"/>
    <w:rsid w:val="001969F5"/>
    <w:rsid w:val="00196B7C"/>
    <w:rsid w:val="00196F1A"/>
    <w:rsid w:val="00197024"/>
    <w:rsid w:val="001970F2"/>
    <w:rsid w:val="001972D2"/>
    <w:rsid w:val="00197AE3"/>
    <w:rsid w:val="001A062E"/>
    <w:rsid w:val="001A0755"/>
    <w:rsid w:val="001A09AB"/>
    <w:rsid w:val="001A0F12"/>
    <w:rsid w:val="001A121A"/>
    <w:rsid w:val="001A1EA7"/>
    <w:rsid w:val="001A2809"/>
    <w:rsid w:val="001A3470"/>
    <w:rsid w:val="001A3B86"/>
    <w:rsid w:val="001A3F0C"/>
    <w:rsid w:val="001A411B"/>
    <w:rsid w:val="001A416D"/>
    <w:rsid w:val="001A41D1"/>
    <w:rsid w:val="001A4C46"/>
    <w:rsid w:val="001A5962"/>
    <w:rsid w:val="001A5AF4"/>
    <w:rsid w:val="001A6107"/>
    <w:rsid w:val="001A68BA"/>
    <w:rsid w:val="001A6992"/>
    <w:rsid w:val="001A6DAF"/>
    <w:rsid w:val="001A6F44"/>
    <w:rsid w:val="001A6F90"/>
    <w:rsid w:val="001A71A0"/>
    <w:rsid w:val="001B122D"/>
    <w:rsid w:val="001B1781"/>
    <w:rsid w:val="001B1CDB"/>
    <w:rsid w:val="001B1E3E"/>
    <w:rsid w:val="001B1EEA"/>
    <w:rsid w:val="001B2278"/>
    <w:rsid w:val="001B23DF"/>
    <w:rsid w:val="001B2DF1"/>
    <w:rsid w:val="001B2E30"/>
    <w:rsid w:val="001B2FC9"/>
    <w:rsid w:val="001B3432"/>
    <w:rsid w:val="001B3C32"/>
    <w:rsid w:val="001B3EBA"/>
    <w:rsid w:val="001B40C0"/>
    <w:rsid w:val="001B47FF"/>
    <w:rsid w:val="001B5090"/>
    <w:rsid w:val="001B55B6"/>
    <w:rsid w:val="001B57E5"/>
    <w:rsid w:val="001B5C20"/>
    <w:rsid w:val="001B6712"/>
    <w:rsid w:val="001B6A0F"/>
    <w:rsid w:val="001C0284"/>
    <w:rsid w:val="001C030D"/>
    <w:rsid w:val="001C049D"/>
    <w:rsid w:val="001C0518"/>
    <w:rsid w:val="001C0EE0"/>
    <w:rsid w:val="001C13C4"/>
    <w:rsid w:val="001C1442"/>
    <w:rsid w:val="001C158C"/>
    <w:rsid w:val="001C1E0C"/>
    <w:rsid w:val="001C1E58"/>
    <w:rsid w:val="001C1EC5"/>
    <w:rsid w:val="001C2381"/>
    <w:rsid w:val="001C238B"/>
    <w:rsid w:val="001C262B"/>
    <w:rsid w:val="001C2D9D"/>
    <w:rsid w:val="001C300F"/>
    <w:rsid w:val="001C3317"/>
    <w:rsid w:val="001C358D"/>
    <w:rsid w:val="001C3C78"/>
    <w:rsid w:val="001C40A0"/>
    <w:rsid w:val="001C419B"/>
    <w:rsid w:val="001C451C"/>
    <w:rsid w:val="001C45E0"/>
    <w:rsid w:val="001C475C"/>
    <w:rsid w:val="001C4B2D"/>
    <w:rsid w:val="001C590A"/>
    <w:rsid w:val="001C5F0C"/>
    <w:rsid w:val="001C6384"/>
    <w:rsid w:val="001C639C"/>
    <w:rsid w:val="001C6489"/>
    <w:rsid w:val="001C68A9"/>
    <w:rsid w:val="001C69AC"/>
    <w:rsid w:val="001C6B6A"/>
    <w:rsid w:val="001C6C64"/>
    <w:rsid w:val="001C6CC9"/>
    <w:rsid w:val="001C7820"/>
    <w:rsid w:val="001C7C4C"/>
    <w:rsid w:val="001D0617"/>
    <w:rsid w:val="001D0B05"/>
    <w:rsid w:val="001D0B0F"/>
    <w:rsid w:val="001D1417"/>
    <w:rsid w:val="001D1C17"/>
    <w:rsid w:val="001D1E76"/>
    <w:rsid w:val="001D2F78"/>
    <w:rsid w:val="001D3131"/>
    <w:rsid w:val="001D3324"/>
    <w:rsid w:val="001D35AA"/>
    <w:rsid w:val="001D3669"/>
    <w:rsid w:val="001D377F"/>
    <w:rsid w:val="001D3814"/>
    <w:rsid w:val="001D3BF0"/>
    <w:rsid w:val="001D4431"/>
    <w:rsid w:val="001D47DF"/>
    <w:rsid w:val="001D56A3"/>
    <w:rsid w:val="001D5C7B"/>
    <w:rsid w:val="001D5DEC"/>
    <w:rsid w:val="001D6304"/>
    <w:rsid w:val="001D66D4"/>
    <w:rsid w:val="001D6912"/>
    <w:rsid w:val="001D6921"/>
    <w:rsid w:val="001D6B3D"/>
    <w:rsid w:val="001D7174"/>
    <w:rsid w:val="001D78CD"/>
    <w:rsid w:val="001E0759"/>
    <w:rsid w:val="001E0D54"/>
    <w:rsid w:val="001E0E15"/>
    <w:rsid w:val="001E0E68"/>
    <w:rsid w:val="001E0F10"/>
    <w:rsid w:val="001E12B3"/>
    <w:rsid w:val="001E1460"/>
    <w:rsid w:val="001E170E"/>
    <w:rsid w:val="001E1894"/>
    <w:rsid w:val="001E1A53"/>
    <w:rsid w:val="001E1D50"/>
    <w:rsid w:val="001E1E0D"/>
    <w:rsid w:val="001E1EAE"/>
    <w:rsid w:val="001E2154"/>
    <w:rsid w:val="001E24ED"/>
    <w:rsid w:val="001E277C"/>
    <w:rsid w:val="001E2896"/>
    <w:rsid w:val="001E2C6D"/>
    <w:rsid w:val="001E2FA6"/>
    <w:rsid w:val="001E319F"/>
    <w:rsid w:val="001E3B3D"/>
    <w:rsid w:val="001E3BA5"/>
    <w:rsid w:val="001E3D74"/>
    <w:rsid w:val="001E3FF0"/>
    <w:rsid w:val="001E434B"/>
    <w:rsid w:val="001E4A39"/>
    <w:rsid w:val="001E4FDB"/>
    <w:rsid w:val="001E581F"/>
    <w:rsid w:val="001E5AA4"/>
    <w:rsid w:val="001E60EF"/>
    <w:rsid w:val="001E665B"/>
    <w:rsid w:val="001E69ED"/>
    <w:rsid w:val="001E6A5C"/>
    <w:rsid w:val="001E6CE2"/>
    <w:rsid w:val="001E70F7"/>
    <w:rsid w:val="001E74F4"/>
    <w:rsid w:val="001E758B"/>
    <w:rsid w:val="001F0D25"/>
    <w:rsid w:val="001F0ED2"/>
    <w:rsid w:val="001F182F"/>
    <w:rsid w:val="001F1B27"/>
    <w:rsid w:val="001F1F71"/>
    <w:rsid w:val="001F224B"/>
    <w:rsid w:val="001F232F"/>
    <w:rsid w:val="001F23BE"/>
    <w:rsid w:val="001F2601"/>
    <w:rsid w:val="001F260C"/>
    <w:rsid w:val="001F272D"/>
    <w:rsid w:val="001F2890"/>
    <w:rsid w:val="001F2AFC"/>
    <w:rsid w:val="001F2DB9"/>
    <w:rsid w:val="001F2E41"/>
    <w:rsid w:val="001F2FB6"/>
    <w:rsid w:val="001F3145"/>
    <w:rsid w:val="001F317B"/>
    <w:rsid w:val="001F32A5"/>
    <w:rsid w:val="001F3B43"/>
    <w:rsid w:val="001F3C65"/>
    <w:rsid w:val="001F420B"/>
    <w:rsid w:val="001F5466"/>
    <w:rsid w:val="001F562A"/>
    <w:rsid w:val="001F6056"/>
    <w:rsid w:val="001F6600"/>
    <w:rsid w:val="001F6BAC"/>
    <w:rsid w:val="001F6C1A"/>
    <w:rsid w:val="001F7121"/>
    <w:rsid w:val="001F73C1"/>
    <w:rsid w:val="001F76A7"/>
    <w:rsid w:val="001F79B4"/>
    <w:rsid w:val="001F7B1F"/>
    <w:rsid w:val="001F7F8A"/>
    <w:rsid w:val="0020052B"/>
    <w:rsid w:val="00200A2B"/>
    <w:rsid w:val="00200DC3"/>
    <w:rsid w:val="00200E14"/>
    <w:rsid w:val="00201315"/>
    <w:rsid w:val="002014F7"/>
    <w:rsid w:val="002018AC"/>
    <w:rsid w:val="00201C41"/>
    <w:rsid w:val="002022FF"/>
    <w:rsid w:val="00202392"/>
    <w:rsid w:val="002028E3"/>
    <w:rsid w:val="00202DD0"/>
    <w:rsid w:val="00203270"/>
    <w:rsid w:val="002036C7"/>
    <w:rsid w:val="002037B3"/>
    <w:rsid w:val="00203A05"/>
    <w:rsid w:val="00203ED5"/>
    <w:rsid w:val="00203F4C"/>
    <w:rsid w:val="00204322"/>
    <w:rsid w:val="00204508"/>
    <w:rsid w:val="00204571"/>
    <w:rsid w:val="00204B0C"/>
    <w:rsid w:val="0020567C"/>
    <w:rsid w:val="002058B7"/>
    <w:rsid w:val="00205AC0"/>
    <w:rsid w:val="00205C24"/>
    <w:rsid w:val="002060C6"/>
    <w:rsid w:val="00206A82"/>
    <w:rsid w:val="00206D22"/>
    <w:rsid w:val="00207200"/>
    <w:rsid w:val="00207886"/>
    <w:rsid w:val="00207B9D"/>
    <w:rsid w:val="00207EAC"/>
    <w:rsid w:val="00210060"/>
    <w:rsid w:val="002100AF"/>
    <w:rsid w:val="002109AB"/>
    <w:rsid w:val="00210B6F"/>
    <w:rsid w:val="00211B1C"/>
    <w:rsid w:val="00212CFD"/>
    <w:rsid w:val="00213374"/>
    <w:rsid w:val="002137C1"/>
    <w:rsid w:val="00213B59"/>
    <w:rsid w:val="00213D57"/>
    <w:rsid w:val="002141F4"/>
    <w:rsid w:val="0021420C"/>
    <w:rsid w:val="002144B5"/>
    <w:rsid w:val="002146E0"/>
    <w:rsid w:val="002147AE"/>
    <w:rsid w:val="00214C27"/>
    <w:rsid w:val="00215442"/>
    <w:rsid w:val="0021547B"/>
    <w:rsid w:val="00215C6C"/>
    <w:rsid w:val="0021627F"/>
    <w:rsid w:val="00216697"/>
    <w:rsid w:val="00216B57"/>
    <w:rsid w:val="00216CBA"/>
    <w:rsid w:val="0021792B"/>
    <w:rsid w:val="00217CB7"/>
    <w:rsid w:val="00217D4F"/>
    <w:rsid w:val="0022024C"/>
    <w:rsid w:val="00220AF7"/>
    <w:rsid w:val="00220B74"/>
    <w:rsid w:val="00220D99"/>
    <w:rsid w:val="00220F83"/>
    <w:rsid w:val="00221001"/>
    <w:rsid w:val="0022117C"/>
    <w:rsid w:val="002214E5"/>
    <w:rsid w:val="00221BFF"/>
    <w:rsid w:val="00221EC0"/>
    <w:rsid w:val="00222430"/>
    <w:rsid w:val="0022258A"/>
    <w:rsid w:val="00222D91"/>
    <w:rsid w:val="00222E33"/>
    <w:rsid w:val="00222F34"/>
    <w:rsid w:val="002230B4"/>
    <w:rsid w:val="00223865"/>
    <w:rsid w:val="0022397B"/>
    <w:rsid w:val="00223BBD"/>
    <w:rsid w:val="00223DCC"/>
    <w:rsid w:val="00224125"/>
    <w:rsid w:val="00224E8E"/>
    <w:rsid w:val="0022506B"/>
    <w:rsid w:val="0022515B"/>
    <w:rsid w:val="0022542F"/>
    <w:rsid w:val="00225EF2"/>
    <w:rsid w:val="00226737"/>
    <w:rsid w:val="00226747"/>
    <w:rsid w:val="00226AC3"/>
    <w:rsid w:val="00226B88"/>
    <w:rsid w:val="00227036"/>
    <w:rsid w:val="002273B9"/>
    <w:rsid w:val="00227EC8"/>
    <w:rsid w:val="0023000A"/>
    <w:rsid w:val="00230285"/>
    <w:rsid w:val="0023090E"/>
    <w:rsid w:val="00230B13"/>
    <w:rsid w:val="00231049"/>
    <w:rsid w:val="002312E7"/>
    <w:rsid w:val="002314D2"/>
    <w:rsid w:val="00231542"/>
    <w:rsid w:val="002315C4"/>
    <w:rsid w:val="002320F9"/>
    <w:rsid w:val="00232F5A"/>
    <w:rsid w:val="0023305C"/>
    <w:rsid w:val="00233158"/>
    <w:rsid w:val="002337F9"/>
    <w:rsid w:val="002338B4"/>
    <w:rsid w:val="00233C41"/>
    <w:rsid w:val="00234272"/>
    <w:rsid w:val="0023488C"/>
    <w:rsid w:val="00234C5E"/>
    <w:rsid w:val="00234E15"/>
    <w:rsid w:val="00234FAF"/>
    <w:rsid w:val="00234FE0"/>
    <w:rsid w:val="00235225"/>
    <w:rsid w:val="0023527D"/>
    <w:rsid w:val="00235858"/>
    <w:rsid w:val="00235E72"/>
    <w:rsid w:val="00235FAF"/>
    <w:rsid w:val="00236319"/>
    <w:rsid w:val="00236990"/>
    <w:rsid w:val="00236E6A"/>
    <w:rsid w:val="00236E87"/>
    <w:rsid w:val="0023778B"/>
    <w:rsid w:val="0023795B"/>
    <w:rsid w:val="002379DD"/>
    <w:rsid w:val="00240013"/>
    <w:rsid w:val="00240191"/>
    <w:rsid w:val="002403F0"/>
    <w:rsid w:val="00240F7C"/>
    <w:rsid w:val="00241419"/>
    <w:rsid w:val="002414A0"/>
    <w:rsid w:val="00241743"/>
    <w:rsid w:val="00241881"/>
    <w:rsid w:val="00241916"/>
    <w:rsid w:val="00241BD3"/>
    <w:rsid w:val="00241D91"/>
    <w:rsid w:val="00241FAC"/>
    <w:rsid w:val="0024294C"/>
    <w:rsid w:val="00242B19"/>
    <w:rsid w:val="00242DFC"/>
    <w:rsid w:val="0024345B"/>
    <w:rsid w:val="00243B5B"/>
    <w:rsid w:val="002440E8"/>
    <w:rsid w:val="00244138"/>
    <w:rsid w:val="002445F0"/>
    <w:rsid w:val="00244F23"/>
    <w:rsid w:val="002451C6"/>
    <w:rsid w:val="00245CA2"/>
    <w:rsid w:val="00246088"/>
    <w:rsid w:val="002461BA"/>
    <w:rsid w:val="00246574"/>
    <w:rsid w:val="002465AF"/>
    <w:rsid w:val="00246987"/>
    <w:rsid w:val="002469F1"/>
    <w:rsid w:val="00246D9C"/>
    <w:rsid w:val="002470C2"/>
    <w:rsid w:val="00247263"/>
    <w:rsid w:val="0024768B"/>
    <w:rsid w:val="00247A4F"/>
    <w:rsid w:val="00247D1A"/>
    <w:rsid w:val="002505D4"/>
    <w:rsid w:val="002506C6"/>
    <w:rsid w:val="00250F91"/>
    <w:rsid w:val="00250FBA"/>
    <w:rsid w:val="002516DA"/>
    <w:rsid w:val="0025178A"/>
    <w:rsid w:val="00251F1A"/>
    <w:rsid w:val="002524DC"/>
    <w:rsid w:val="00252802"/>
    <w:rsid w:val="00252E3D"/>
    <w:rsid w:val="00253012"/>
    <w:rsid w:val="0025303F"/>
    <w:rsid w:val="002530ED"/>
    <w:rsid w:val="002531A2"/>
    <w:rsid w:val="00253382"/>
    <w:rsid w:val="00253C15"/>
    <w:rsid w:val="00253E36"/>
    <w:rsid w:val="00253E81"/>
    <w:rsid w:val="002543D8"/>
    <w:rsid w:val="00254883"/>
    <w:rsid w:val="00254F9A"/>
    <w:rsid w:val="0025536A"/>
    <w:rsid w:val="00255A2D"/>
    <w:rsid w:val="00255DBF"/>
    <w:rsid w:val="00255DD3"/>
    <w:rsid w:val="00255FB3"/>
    <w:rsid w:val="0025652F"/>
    <w:rsid w:val="002565BF"/>
    <w:rsid w:val="00256913"/>
    <w:rsid w:val="00256CD3"/>
    <w:rsid w:val="00256D60"/>
    <w:rsid w:val="00256DEF"/>
    <w:rsid w:val="00256F89"/>
    <w:rsid w:val="0025717E"/>
    <w:rsid w:val="00257554"/>
    <w:rsid w:val="00260129"/>
    <w:rsid w:val="002603B8"/>
    <w:rsid w:val="00260A6E"/>
    <w:rsid w:val="0026142A"/>
    <w:rsid w:val="002616E7"/>
    <w:rsid w:val="00261CBF"/>
    <w:rsid w:val="00261E1B"/>
    <w:rsid w:val="00262133"/>
    <w:rsid w:val="00262330"/>
    <w:rsid w:val="0026253B"/>
    <w:rsid w:val="00262A08"/>
    <w:rsid w:val="00262EA8"/>
    <w:rsid w:val="002632CA"/>
    <w:rsid w:val="00263B6C"/>
    <w:rsid w:val="00264612"/>
    <w:rsid w:val="002654EE"/>
    <w:rsid w:val="002655D7"/>
    <w:rsid w:val="00265A76"/>
    <w:rsid w:val="00265D26"/>
    <w:rsid w:val="00266086"/>
    <w:rsid w:val="002662C2"/>
    <w:rsid w:val="002665B2"/>
    <w:rsid w:val="002669A5"/>
    <w:rsid w:val="00266A91"/>
    <w:rsid w:val="00266DAB"/>
    <w:rsid w:val="0026738B"/>
    <w:rsid w:val="002678B4"/>
    <w:rsid w:val="002679CB"/>
    <w:rsid w:val="00267C3E"/>
    <w:rsid w:val="00267E2D"/>
    <w:rsid w:val="002707FB"/>
    <w:rsid w:val="0027145C"/>
    <w:rsid w:val="00271C60"/>
    <w:rsid w:val="00271F1F"/>
    <w:rsid w:val="002724C8"/>
    <w:rsid w:val="0027276B"/>
    <w:rsid w:val="00272857"/>
    <w:rsid w:val="00272939"/>
    <w:rsid w:val="002739BB"/>
    <w:rsid w:val="002739E3"/>
    <w:rsid w:val="00273A0C"/>
    <w:rsid w:val="00273DFF"/>
    <w:rsid w:val="002741A4"/>
    <w:rsid w:val="0027460B"/>
    <w:rsid w:val="00274BB3"/>
    <w:rsid w:val="00275539"/>
    <w:rsid w:val="0027590B"/>
    <w:rsid w:val="00275C3C"/>
    <w:rsid w:val="00276DB8"/>
    <w:rsid w:val="0027708C"/>
    <w:rsid w:val="002808D0"/>
    <w:rsid w:val="00280C0D"/>
    <w:rsid w:val="00280F50"/>
    <w:rsid w:val="002818DE"/>
    <w:rsid w:val="00281B2E"/>
    <w:rsid w:val="00281C39"/>
    <w:rsid w:val="00282BCA"/>
    <w:rsid w:val="00282D26"/>
    <w:rsid w:val="00282E3A"/>
    <w:rsid w:val="00283089"/>
    <w:rsid w:val="00283204"/>
    <w:rsid w:val="002833A8"/>
    <w:rsid w:val="00283458"/>
    <w:rsid w:val="002835A0"/>
    <w:rsid w:val="002835FB"/>
    <w:rsid w:val="00283D90"/>
    <w:rsid w:val="002841A1"/>
    <w:rsid w:val="0028434F"/>
    <w:rsid w:val="0028577F"/>
    <w:rsid w:val="00285969"/>
    <w:rsid w:val="00285A76"/>
    <w:rsid w:val="00286013"/>
    <w:rsid w:val="00286110"/>
    <w:rsid w:val="002861BB"/>
    <w:rsid w:val="0028628C"/>
    <w:rsid w:val="00286345"/>
    <w:rsid w:val="0028634C"/>
    <w:rsid w:val="002863DC"/>
    <w:rsid w:val="00286C63"/>
    <w:rsid w:val="0028750D"/>
    <w:rsid w:val="002876DA"/>
    <w:rsid w:val="0028782C"/>
    <w:rsid w:val="0029042E"/>
    <w:rsid w:val="002904B7"/>
    <w:rsid w:val="0029141C"/>
    <w:rsid w:val="002915A6"/>
    <w:rsid w:val="0029205C"/>
    <w:rsid w:val="00292142"/>
    <w:rsid w:val="00292450"/>
    <w:rsid w:val="00292892"/>
    <w:rsid w:val="0029315C"/>
    <w:rsid w:val="00293232"/>
    <w:rsid w:val="002942A2"/>
    <w:rsid w:val="002942A9"/>
    <w:rsid w:val="0029461F"/>
    <w:rsid w:val="002947F6"/>
    <w:rsid w:val="00294C46"/>
    <w:rsid w:val="00294FD3"/>
    <w:rsid w:val="002950AC"/>
    <w:rsid w:val="002955B6"/>
    <w:rsid w:val="00295B2F"/>
    <w:rsid w:val="00295B30"/>
    <w:rsid w:val="00295D3F"/>
    <w:rsid w:val="002963F0"/>
    <w:rsid w:val="00296C5D"/>
    <w:rsid w:val="00297569"/>
    <w:rsid w:val="00297666"/>
    <w:rsid w:val="00297942"/>
    <w:rsid w:val="0029794C"/>
    <w:rsid w:val="00297D41"/>
    <w:rsid w:val="002A0837"/>
    <w:rsid w:val="002A0CD8"/>
    <w:rsid w:val="002A0CED"/>
    <w:rsid w:val="002A1269"/>
    <w:rsid w:val="002A1488"/>
    <w:rsid w:val="002A16A5"/>
    <w:rsid w:val="002A20B8"/>
    <w:rsid w:val="002A211E"/>
    <w:rsid w:val="002A2207"/>
    <w:rsid w:val="002A230A"/>
    <w:rsid w:val="002A2689"/>
    <w:rsid w:val="002A3170"/>
    <w:rsid w:val="002A319B"/>
    <w:rsid w:val="002A3395"/>
    <w:rsid w:val="002A3559"/>
    <w:rsid w:val="002A367E"/>
    <w:rsid w:val="002A3B26"/>
    <w:rsid w:val="002A3CCA"/>
    <w:rsid w:val="002A421C"/>
    <w:rsid w:val="002A43D7"/>
    <w:rsid w:val="002A44FF"/>
    <w:rsid w:val="002A4690"/>
    <w:rsid w:val="002A4CEA"/>
    <w:rsid w:val="002A4FDE"/>
    <w:rsid w:val="002A56F5"/>
    <w:rsid w:val="002A580B"/>
    <w:rsid w:val="002A5AA1"/>
    <w:rsid w:val="002A5B32"/>
    <w:rsid w:val="002A607C"/>
    <w:rsid w:val="002A6521"/>
    <w:rsid w:val="002A65DE"/>
    <w:rsid w:val="002A6787"/>
    <w:rsid w:val="002A6B65"/>
    <w:rsid w:val="002A74EF"/>
    <w:rsid w:val="002A77E5"/>
    <w:rsid w:val="002A79CB"/>
    <w:rsid w:val="002A7A31"/>
    <w:rsid w:val="002A7A49"/>
    <w:rsid w:val="002A7D98"/>
    <w:rsid w:val="002B064E"/>
    <w:rsid w:val="002B0746"/>
    <w:rsid w:val="002B0A2A"/>
    <w:rsid w:val="002B0BAF"/>
    <w:rsid w:val="002B1210"/>
    <w:rsid w:val="002B161C"/>
    <w:rsid w:val="002B1A1E"/>
    <w:rsid w:val="002B2655"/>
    <w:rsid w:val="002B26D2"/>
    <w:rsid w:val="002B2783"/>
    <w:rsid w:val="002B2C18"/>
    <w:rsid w:val="002B2F50"/>
    <w:rsid w:val="002B3160"/>
    <w:rsid w:val="002B3829"/>
    <w:rsid w:val="002B386C"/>
    <w:rsid w:val="002B3F1A"/>
    <w:rsid w:val="002B4741"/>
    <w:rsid w:val="002B4EEE"/>
    <w:rsid w:val="002B51C7"/>
    <w:rsid w:val="002B5A9F"/>
    <w:rsid w:val="002B60A6"/>
    <w:rsid w:val="002B60DE"/>
    <w:rsid w:val="002B64E0"/>
    <w:rsid w:val="002B67AE"/>
    <w:rsid w:val="002B6DB6"/>
    <w:rsid w:val="002B6E52"/>
    <w:rsid w:val="002B7103"/>
    <w:rsid w:val="002B74DD"/>
    <w:rsid w:val="002B7F87"/>
    <w:rsid w:val="002C031C"/>
    <w:rsid w:val="002C0370"/>
    <w:rsid w:val="002C0440"/>
    <w:rsid w:val="002C1208"/>
    <w:rsid w:val="002C162B"/>
    <w:rsid w:val="002C1A2A"/>
    <w:rsid w:val="002C20CC"/>
    <w:rsid w:val="002C22EF"/>
    <w:rsid w:val="002C25C6"/>
    <w:rsid w:val="002C2866"/>
    <w:rsid w:val="002C2A58"/>
    <w:rsid w:val="002C2C2A"/>
    <w:rsid w:val="002C360E"/>
    <w:rsid w:val="002C3B8E"/>
    <w:rsid w:val="002C437A"/>
    <w:rsid w:val="002C4833"/>
    <w:rsid w:val="002C4C12"/>
    <w:rsid w:val="002C51D4"/>
    <w:rsid w:val="002C5216"/>
    <w:rsid w:val="002C54D0"/>
    <w:rsid w:val="002C585D"/>
    <w:rsid w:val="002C5E3F"/>
    <w:rsid w:val="002C5EFE"/>
    <w:rsid w:val="002C6014"/>
    <w:rsid w:val="002C6331"/>
    <w:rsid w:val="002C6709"/>
    <w:rsid w:val="002C6A62"/>
    <w:rsid w:val="002C6BFB"/>
    <w:rsid w:val="002C6EA6"/>
    <w:rsid w:val="002C6EF9"/>
    <w:rsid w:val="002C7113"/>
    <w:rsid w:val="002C7803"/>
    <w:rsid w:val="002C7EFE"/>
    <w:rsid w:val="002C7F4F"/>
    <w:rsid w:val="002D0F51"/>
    <w:rsid w:val="002D1494"/>
    <w:rsid w:val="002D159A"/>
    <w:rsid w:val="002D1775"/>
    <w:rsid w:val="002D1953"/>
    <w:rsid w:val="002D1D50"/>
    <w:rsid w:val="002D2000"/>
    <w:rsid w:val="002D24B1"/>
    <w:rsid w:val="002D2FAA"/>
    <w:rsid w:val="002D326F"/>
    <w:rsid w:val="002D3335"/>
    <w:rsid w:val="002D3B7B"/>
    <w:rsid w:val="002D3EBE"/>
    <w:rsid w:val="002D3F1B"/>
    <w:rsid w:val="002D3F73"/>
    <w:rsid w:val="002D43B9"/>
    <w:rsid w:val="002D4461"/>
    <w:rsid w:val="002D4468"/>
    <w:rsid w:val="002D5141"/>
    <w:rsid w:val="002D51C7"/>
    <w:rsid w:val="002D520C"/>
    <w:rsid w:val="002D559E"/>
    <w:rsid w:val="002D55B2"/>
    <w:rsid w:val="002D572B"/>
    <w:rsid w:val="002D57FE"/>
    <w:rsid w:val="002D58D8"/>
    <w:rsid w:val="002D5922"/>
    <w:rsid w:val="002D5B6B"/>
    <w:rsid w:val="002D5C15"/>
    <w:rsid w:val="002D778C"/>
    <w:rsid w:val="002D7B49"/>
    <w:rsid w:val="002D7B81"/>
    <w:rsid w:val="002D7FA5"/>
    <w:rsid w:val="002E034F"/>
    <w:rsid w:val="002E0D1D"/>
    <w:rsid w:val="002E0EC6"/>
    <w:rsid w:val="002E1837"/>
    <w:rsid w:val="002E1CF4"/>
    <w:rsid w:val="002E1FB6"/>
    <w:rsid w:val="002E222C"/>
    <w:rsid w:val="002E24D6"/>
    <w:rsid w:val="002E26B7"/>
    <w:rsid w:val="002E27FC"/>
    <w:rsid w:val="002E28FC"/>
    <w:rsid w:val="002E2C97"/>
    <w:rsid w:val="002E2D3C"/>
    <w:rsid w:val="002E3281"/>
    <w:rsid w:val="002E38C3"/>
    <w:rsid w:val="002E38FD"/>
    <w:rsid w:val="002E3CE1"/>
    <w:rsid w:val="002E40B1"/>
    <w:rsid w:val="002E4374"/>
    <w:rsid w:val="002E454C"/>
    <w:rsid w:val="002E57ED"/>
    <w:rsid w:val="002E5C06"/>
    <w:rsid w:val="002E5DB1"/>
    <w:rsid w:val="002E5F37"/>
    <w:rsid w:val="002E6083"/>
    <w:rsid w:val="002E66B2"/>
    <w:rsid w:val="002E6F28"/>
    <w:rsid w:val="002E7B57"/>
    <w:rsid w:val="002E7E0C"/>
    <w:rsid w:val="002F00DA"/>
    <w:rsid w:val="002F095A"/>
    <w:rsid w:val="002F0AD7"/>
    <w:rsid w:val="002F0F1B"/>
    <w:rsid w:val="002F1485"/>
    <w:rsid w:val="002F2264"/>
    <w:rsid w:val="002F253A"/>
    <w:rsid w:val="002F2603"/>
    <w:rsid w:val="002F2BCA"/>
    <w:rsid w:val="002F2F80"/>
    <w:rsid w:val="002F3B9B"/>
    <w:rsid w:val="002F3C91"/>
    <w:rsid w:val="002F4045"/>
    <w:rsid w:val="002F4613"/>
    <w:rsid w:val="002F4872"/>
    <w:rsid w:val="002F5191"/>
    <w:rsid w:val="002F51BC"/>
    <w:rsid w:val="002F5458"/>
    <w:rsid w:val="002F5503"/>
    <w:rsid w:val="002F555A"/>
    <w:rsid w:val="002F60A2"/>
    <w:rsid w:val="002F6173"/>
    <w:rsid w:val="002F617F"/>
    <w:rsid w:val="002F620D"/>
    <w:rsid w:val="002F626A"/>
    <w:rsid w:val="002F68A2"/>
    <w:rsid w:val="002F7851"/>
    <w:rsid w:val="002F7D9D"/>
    <w:rsid w:val="00300109"/>
    <w:rsid w:val="003001C8"/>
    <w:rsid w:val="003003D4"/>
    <w:rsid w:val="00300597"/>
    <w:rsid w:val="0030071E"/>
    <w:rsid w:val="00300821"/>
    <w:rsid w:val="003009F9"/>
    <w:rsid w:val="00300B04"/>
    <w:rsid w:val="00300B94"/>
    <w:rsid w:val="00300E5A"/>
    <w:rsid w:val="0030118F"/>
    <w:rsid w:val="003011BD"/>
    <w:rsid w:val="0030167A"/>
    <w:rsid w:val="00301755"/>
    <w:rsid w:val="00301F77"/>
    <w:rsid w:val="003020AB"/>
    <w:rsid w:val="0030211E"/>
    <w:rsid w:val="00302229"/>
    <w:rsid w:val="00302652"/>
    <w:rsid w:val="00302773"/>
    <w:rsid w:val="0030292E"/>
    <w:rsid w:val="00302BD8"/>
    <w:rsid w:val="00302F17"/>
    <w:rsid w:val="00303099"/>
    <w:rsid w:val="003036B8"/>
    <w:rsid w:val="0030470A"/>
    <w:rsid w:val="003047DD"/>
    <w:rsid w:val="00304CC1"/>
    <w:rsid w:val="0030512B"/>
    <w:rsid w:val="00305D5C"/>
    <w:rsid w:val="00305FBD"/>
    <w:rsid w:val="00306082"/>
    <w:rsid w:val="0030623A"/>
    <w:rsid w:val="0030665E"/>
    <w:rsid w:val="00306894"/>
    <w:rsid w:val="00306B90"/>
    <w:rsid w:val="00306DC3"/>
    <w:rsid w:val="00306F76"/>
    <w:rsid w:val="0030748D"/>
    <w:rsid w:val="00307530"/>
    <w:rsid w:val="0031026C"/>
    <w:rsid w:val="00310484"/>
    <w:rsid w:val="0031051E"/>
    <w:rsid w:val="003105CD"/>
    <w:rsid w:val="0031074D"/>
    <w:rsid w:val="00310C25"/>
    <w:rsid w:val="003111A7"/>
    <w:rsid w:val="00311267"/>
    <w:rsid w:val="003112D7"/>
    <w:rsid w:val="003113C5"/>
    <w:rsid w:val="003114E9"/>
    <w:rsid w:val="003115CB"/>
    <w:rsid w:val="00311B6C"/>
    <w:rsid w:val="00311C39"/>
    <w:rsid w:val="003122F4"/>
    <w:rsid w:val="00312570"/>
    <w:rsid w:val="00312702"/>
    <w:rsid w:val="00312C12"/>
    <w:rsid w:val="00313144"/>
    <w:rsid w:val="003135B3"/>
    <w:rsid w:val="003137A4"/>
    <w:rsid w:val="00313A5D"/>
    <w:rsid w:val="00314033"/>
    <w:rsid w:val="0031466F"/>
    <w:rsid w:val="0031492B"/>
    <w:rsid w:val="00314FB0"/>
    <w:rsid w:val="00315219"/>
    <w:rsid w:val="0031572B"/>
    <w:rsid w:val="0031572F"/>
    <w:rsid w:val="00316378"/>
    <w:rsid w:val="0031693A"/>
    <w:rsid w:val="00316B96"/>
    <w:rsid w:val="00316CA6"/>
    <w:rsid w:val="00316E91"/>
    <w:rsid w:val="00316F4B"/>
    <w:rsid w:val="00316FB1"/>
    <w:rsid w:val="003173F8"/>
    <w:rsid w:val="0031777A"/>
    <w:rsid w:val="00317BAD"/>
    <w:rsid w:val="0032006B"/>
    <w:rsid w:val="00320625"/>
    <w:rsid w:val="0032065C"/>
    <w:rsid w:val="00320C65"/>
    <w:rsid w:val="00320D8A"/>
    <w:rsid w:val="0032148B"/>
    <w:rsid w:val="0032172C"/>
    <w:rsid w:val="003217FF"/>
    <w:rsid w:val="0032186B"/>
    <w:rsid w:val="00321FF5"/>
    <w:rsid w:val="00322029"/>
    <w:rsid w:val="00322228"/>
    <w:rsid w:val="00322421"/>
    <w:rsid w:val="00322567"/>
    <w:rsid w:val="00323155"/>
    <w:rsid w:val="00323E7A"/>
    <w:rsid w:val="003242B4"/>
    <w:rsid w:val="003247F3"/>
    <w:rsid w:val="00324A0F"/>
    <w:rsid w:val="00324B89"/>
    <w:rsid w:val="00324D08"/>
    <w:rsid w:val="00324F7A"/>
    <w:rsid w:val="00325127"/>
    <w:rsid w:val="00325570"/>
    <w:rsid w:val="003258FF"/>
    <w:rsid w:val="00325DE1"/>
    <w:rsid w:val="003268D5"/>
    <w:rsid w:val="00326DE6"/>
    <w:rsid w:val="00326FEB"/>
    <w:rsid w:val="00327C20"/>
    <w:rsid w:val="00327F92"/>
    <w:rsid w:val="003303AB"/>
    <w:rsid w:val="003308CE"/>
    <w:rsid w:val="00331441"/>
    <w:rsid w:val="00331910"/>
    <w:rsid w:val="003319FE"/>
    <w:rsid w:val="00331C04"/>
    <w:rsid w:val="00331CCE"/>
    <w:rsid w:val="003321FB"/>
    <w:rsid w:val="00332620"/>
    <w:rsid w:val="00333BE6"/>
    <w:rsid w:val="00333EE7"/>
    <w:rsid w:val="003340BF"/>
    <w:rsid w:val="00334422"/>
    <w:rsid w:val="003349BF"/>
    <w:rsid w:val="00334B07"/>
    <w:rsid w:val="00334B35"/>
    <w:rsid w:val="00335937"/>
    <w:rsid w:val="00336333"/>
    <w:rsid w:val="00336857"/>
    <w:rsid w:val="003368B4"/>
    <w:rsid w:val="00336F1F"/>
    <w:rsid w:val="0033755F"/>
    <w:rsid w:val="00337C42"/>
    <w:rsid w:val="00337FAC"/>
    <w:rsid w:val="00340027"/>
    <w:rsid w:val="00340356"/>
    <w:rsid w:val="0034086C"/>
    <w:rsid w:val="00340938"/>
    <w:rsid w:val="00340DED"/>
    <w:rsid w:val="00341128"/>
    <w:rsid w:val="003413C0"/>
    <w:rsid w:val="00341A18"/>
    <w:rsid w:val="00341C88"/>
    <w:rsid w:val="00341FB6"/>
    <w:rsid w:val="003420CE"/>
    <w:rsid w:val="003425AD"/>
    <w:rsid w:val="00342B5B"/>
    <w:rsid w:val="0034306F"/>
    <w:rsid w:val="00343396"/>
    <w:rsid w:val="00343520"/>
    <w:rsid w:val="003435A2"/>
    <w:rsid w:val="0034362B"/>
    <w:rsid w:val="00343630"/>
    <w:rsid w:val="00344723"/>
    <w:rsid w:val="003448F6"/>
    <w:rsid w:val="00344E24"/>
    <w:rsid w:val="003452BC"/>
    <w:rsid w:val="00345656"/>
    <w:rsid w:val="00345D15"/>
    <w:rsid w:val="00346DA1"/>
    <w:rsid w:val="003473FC"/>
    <w:rsid w:val="0034758A"/>
    <w:rsid w:val="0034777E"/>
    <w:rsid w:val="00347E19"/>
    <w:rsid w:val="0035009E"/>
    <w:rsid w:val="00350759"/>
    <w:rsid w:val="003509C4"/>
    <w:rsid w:val="00350D44"/>
    <w:rsid w:val="00350DEE"/>
    <w:rsid w:val="00351053"/>
    <w:rsid w:val="003512C0"/>
    <w:rsid w:val="0035134D"/>
    <w:rsid w:val="003517C7"/>
    <w:rsid w:val="00351BAD"/>
    <w:rsid w:val="00351BE4"/>
    <w:rsid w:val="00352019"/>
    <w:rsid w:val="00352071"/>
    <w:rsid w:val="00352112"/>
    <w:rsid w:val="00352137"/>
    <w:rsid w:val="003523B9"/>
    <w:rsid w:val="003524DA"/>
    <w:rsid w:val="00352527"/>
    <w:rsid w:val="003525CA"/>
    <w:rsid w:val="00352657"/>
    <w:rsid w:val="00352B8D"/>
    <w:rsid w:val="00352BD2"/>
    <w:rsid w:val="00352CED"/>
    <w:rsid w:val="003531FF"/>
    <w:rsid w:val="0035329C"/>
    <w:rsid w:val="00353608"/>
    <w:rsid w:val="0035369D"/>
    <w:rsid w:val="00353B76"/>
    <w:rsid w:val="00353D36"/>
    <w:rsid w:val="00354027"/>
    <w:rsid w:val="00354061"/>
    <w:rsid w:val="00354110"/>
    <w:rsid w:val="00354116"/>
    <w:rsid w:val="00354182"/>
    <w:rsid w:val="0035464C"/>
    <w:rsid w:val="0035482B"/>
    <w:rsid w:val="00354C8B"/>
    <w:rsid w:val="00354D27"/>
    <w:rsid w:val="00354D4E"/>
    <w:rsid w:val="0035503E"/>
    <w:rsid w:val="00355A8B"/>
    <w:rsid w:val="00355AFD"/>
    <w:rsid w:val="00355DB0"/>
    <w:rsid w:val="003560BB"/>
    <w:rsid w:val="003563DB"/>
    <w:rsid w:val="003563F7"/>
    <w:rsid w:val="003563FF"/>
    <w:rsid w:val="00356B00"/>
    <w:rsid w:val="00356C0E"/>
    <w:rsid w:val="00356C69"/>
    <w:rsid w:val="00356E4A"/>
    <w:rsid w:val="0035705F"/>
    <w:rsid w:val="00357287"/>
    <w:rsid w:val="0035738A"/>
    <w:rsid w:val="00357752"/>
    <w:rsid w:val="00357784"/>
    <w:rsid w:val="003577D9"/>
    <w:rsid w:val="0036057C"/>
    <w:rsid w:val="003610EF"/>
    <w:rsid w:val="00361467"/>
    <w:rsid w:val="0036187E"/>
    <w:rsid w:val="00361A96"/>
    <w:rsid w:val="00362650"/>
    <w:rsid w:val="00362693"/>
    <w:rsid w:val="00362C90"/>
    <w:rsid w:val="00362DA8"/>
    <w:rsid w:val="003639E9"/>
    <w:rsid w:val="00363B1B"/>
    <w:rsid w:val="00363B43"/>
    <w:rsid w:val="00364C24"/>
    <w:rsid w:val="00364DEB"/>
    <w:rsid w:val="00364E68"/>
    <w:rsid w:val="00364F3C"/>
    <w:rsid w:val="00364F87"/>
    <w:rsid w:val="003650BB"/>
    <w:rsid w:val="003651EF"/>
    <w:rsid w:val="003651F2"/>
    <w:rsid w:val="00365BDA"/>
    <w:rsid w:val="0036629C"/>
    <w:rsid w:val="003667CE"/>
    <w:rsid w:val="00366981"/>
    <w:rsid w:val="00366B58"/>
    <w:rsid w:val="00366B59"/>
    <w:rsid w:val="0036762D"/>
    <w:rsid w:val="003679B9"/>
    <w:rsid w:val="00367A2B"/>
    <w:rsid w:val="00367AF5"/>
    <w:rsid w:val="00367FF8"/>
    <w:rsid w:val="0037014C"/>
    <w:rsid w:val="00370470"/>
    <w:rsid w:val="00371321"/>
    <w:rsid w:val="0037178F"/>
    <w:rsid w:val="0037193B"/>
    <w:rsid w:val="0037256B"/>
    <w:rsid w:val="0037260A"/>
    <w:rsid w:val="003727EB"/>
    <w:rsid w:val="003728EC"/>
    <w:rsid w:val="00372AA0"/>
    <w:rsid w:val="00372CE9"/>
    <w:rsid w:val="0037339D"/>
    <w:rsid w:val="00373649"/>
    <w:rsid w:val="003739B3"/>
    <w:rsid w:val="00373A79"/>
    <w:rsid w:val="00373B7B"/>
    <w:rsid w:val="00373B7D"/>
    <w:rsid w:val="00373C59"/>
    <w:rsid w:val="00374008"/>
    <w:rsid w:val="0037476E"/>
    <w:rsid w:val="0037496D"/>
    <w:rsid w:val="00374B66"/>
    <w:rsid w:val="00374CBF"/>
    <w:rsid w:val="00375060"/>
    <w:rsid w:val="0037548D"/>
    <w:rsid w:val="00375655"/>
    <w:rsid w:val="0037569B"/>
    <w:rsid w:val="003757C9"/>
    <w:rsid w:val="00375B9F"/>
    <w:rsid w:val="003769A0"/>
    <w:rsid w:val="003769BB"/>
    <w:rsid w:val="003769FF"/>
    <w:rsid w:val="00377328"/>
    <w:rsid w:val="0038096D"/>
    <w:rsid w:val="00380EBB"/>
    <w:rsid w:val="003815C7"/>
    <w:rsid w:val="0038166F"/>
    <w:rsid w:val="003817DC"/>
    <w:rsid w:val="00381BCB"/>
    <w:rsid w:val="00381F5D"/>
    <w:rsid w:val="0038362F"/>
    <w:rsid w:val="00383A1A"/>
    <w:rsid w:val="00383A2D"/>
    <w:rsid w:val="00383FD1"/>
    <w:rsid w:val="003842A2"/>
    <w:rsid w:val="00384BD3"/>
    <w:rsid w:val="00384F9D"/>
    <w:rsid w:val="00385564"/>
    <w:rsid w:val="003858A6"/>
    <w:rsid w:val="00385E52"/>
    <w:rsid w:val="00385F45"/>
    <w:rsid w:val="00386297"/>
    <w:rsid w:val="003865A1"/>
    <w:rsid w:val="003868AF"/>
    <w:rsid w:val="00386E03"/>
    <w:rsid w:val="00386F3A"/>
    <w:rsid w:val="003878B8"/>
    <w:rsid w:val="00390760"/>
    <w:rsid w:val="00390AB5"/>
    <w:rsid w:val="0039132B"/>
    <w:rsid w:val="003915A2"/>
    <w:rsid w:val="003915EE"/>
    <w:rsid w:val="0039191E"/>
    <w:rsid w:val="00392909"/>
    <w:rsid w:val="00392D35"/>
    <w:rsid w:val="00392DCC"/>
    <w:rsid w:val="0039303E"/>
    <w:rsid w:val="00393637"/>
    <w:rsid w:val="00393723"/>
    <w:rsid w:val="0039381C"/>
    <w:rsid w:val="00393C94"/>
    <w:rsid w:val="003940E6"/>
    <w:rsid w:val="00394494"/>
    <w:rsid w:val="00394663"/>
    <w:rsid w:val="00394856"/>
    <w:rsid w:val="00394EAC"/>
    <w:rsid w:val="00394ED3"/>
    <w:rsid w:val="00395115"/>
    <w:rsid w:val="00395249"/>
    <w:rsid w:val="00395316"/>
    <w:rsid w:val="00395356"/>
    <w:rsid w:val="003956FE"/>
    <w:rsid w:val="00395963"/>
    <w:rsid w:val="00395D6E"/>
    <w:rsid w:val="00395F17"/>
    <w:rsid w:val="00396205"/>
    <w:rsid w:val="003963E1"/>
    <w:rsid w:val="00396458"/>
    <w:rsid w:val="00396EC7"/>
    <w:rsid w:val="00396FB0"/>
    <w:rsid w:val="00397697"/>
    <w:rsid w:val="003978B0"/>
    <w:rsid w:val="00397BB5"/>
    <w:rsid w:val="00397D31"/>
    <w:rsid w:val="00397D46"/>
    <w:rsid w:val="003A0007"/>
    <w:rsid w:val="003A0133"/>
    <w:rsid w:val="003A01BD"/>
    <w:rsid w:val="003A0203"/>
    <w:rsid w:val="003A0BCA"/>
    <w:rsid w:val="003A1022"/>
    <w:rsid w:val="003A1059"/>
    <w:rsid w:val="003A1557"/>
    <w:rsid w:val="003A1653"/>
    <w:rsid w:val="003A1B40"/>
    <w:rsid w:val="003A1F4F"/>
    <w:rsid w:val="003A23A6"/>
    <w:rsid w:val="003A2711"/>
    <w:rsid w:val="003A27D6"/>
    <w:rsid w:val="003A296D"/>
    <w:rsid w:val="003A2E35"/>
    <w:rsid w:val="003A2F0F"/>
    <w:rsid w:val="003A3412"/>
    <w:rsid w:val="003A3479"/>
    <w:rsid w:val="003A3B93"/>
    <w:rsid w:val="003A3FD0"/>
    <w:rsid w:val="003A44BF"/>
    <w:rsid w:val="003A4B83"/>
    <w:rsid w:val="003A4C2F"/>
    <w:rsid w:val="003A4C50"/>
    <w:rsid w:val="003A4C58"/>
    <w:rsid w:val="003A4CC7"/>
    <w:rsid w:val="003A4E81"/>
    <w:rsid w:val="003A4EF9"/>
    <w:rsid w:val="003A50F6"/>
    <w:rsid w:val="003A5B36"/>
    <w:rsid w:val="003A6469"/>
    <w:rsid w:val="003A68C1"/>
    <w:rsid w:val="003A692F"/>
    <w:rsid w:val="003A6B52"/>
    <w:rsid w:val="003A748B"/>
    <w:rsid w:val="003A7510"/>
    <w:rsid w:val="003A7639"/>
    <w:rsid w:val="003A7678"/>
    <w:rsid w:val="003A7782"/>
    <w:rsid w:val="003A78AF"/>
    <w:rsid w:val="003A7A53"/>
    <w:rsid w:val="003A7EE8"/>
    <w:rsid w:val="003B0421"/>
    <w:rsid w:val="003B0513"/>
    <w:rsid w:val="003B0A6C"/>
    <w:rsid w:val="003B0C44"/>
    <w:rsid w:val="003B0E4C"/>
    <w:rsid w:val="003B0FCC"/>
    <w:rsid w:val="003B1BD7"/>
    <w:rsid w:val="003B1D31"/>
    <w:rsid w:val="003B202A"/>
    <w:rsid w:val="003B391B"/>
    <w:rsid w:val="003B4681"/>
    <w:rsid w:val="003B497C"/>
    <w:rsid w:val="003B4ABC"/>
    <w:rsid w:val="003B4D01"/>
    <w:rsid w:val="003B4DA2"/>
    <w:rsid w:val="003B4E08"/>
    <w:rsid w:val="003B5056"/>
    <w:rsid w:val="003B5112"/>
    <w:rsid w:val="003B534C"/>
    <w:rsid w:val="003B5EEF"/>
    <w:rsid w:val="003B6206"/>
    <w:rsid w:val="003B7FAF"/>
    <w:rsid w:val="003B7FDE"/>
    <w:rsid w:val="003C016F"/>
    <w:rsid w:val="003C02C7"/>
    <w:rsid w:val="003C02CE"/>
    <w:rsid w:val="003C04F9"/>
    <w:rsid w:val="003C064D"/>
    <w:rsid w:val="003C0915"/>
    <w:rsid w:val="003C0A30"/>
    <w:rsid w:val="003C0D31"/>
    <w:rsid w:val="003C0DE1"/>
    <w:rsid w:val="003C14F7"/>
    <w:rsid w:val="003C1AC0"/>
    <w:rsid w:val="003C1AEE"/>
    <w:rsid w:val="003C1FE2"/>
    <w:rsid w:val="003C247F"/>
    <w:rsid w:val="003C24B4"/>
    <w:rsid w:val="003C27DB"/>
    <w:rsid w:val="003C2908"/>
    <w:rsid w:val="003C29D6"/>
    <w:rsid w:val="003C2D99"/>
    <w:rsid w:val="003C2EBA"/>
    <w:rsid w:val="003C332A"/>
    <w:rsid w:val="003C36E5"/>
    <w:rsid w:val="003C3A33"/>
    <w:rsid w:val="003C3B4A"/>
    <w:rsid w:val="003C3B84"/>
    <w:rsid w:val="003C3D72"/>
    <w:rsid w:val="003C3E82"/>
    <w:rsid w:val="003C3FF9"/>
    <w:rsid w:val="003C5110"/>
    <w:rsid w:val="003C5444"/>
    <w:rsid w:val="003C554B"/>
    <w:rsid w:val="003C557A"/>
    <w:rsid w:val="003C588F"/>
    <w:rsid w:val="003C5F88"/>
    <w:rsid w:val="003C615C"/>
    <w:rsid w:val="003C6384"/>
    <w:rsid w:val="003C65B0"/>
    <w:rsid w:val="003C67EE"/>
    <w:rsid w:val="003C6AE7"/>
    <w:rsid w:val="003C6F57"/>
    <w:rsid w:val="003C7E4B"/>
    <w:rsid w:val="003C7E60"/>
    <w:rsid w:val="003C7EC6"/>
    <w:rsid w:val="003D0379"/>
    <w:rsid w:val="003D0976"/>
    <w:rsid w:val="003D0985"/>
    <w:rsid w:val="003D0C3B"/>
    <w:rsid w:val="003D174E"/>
    <w:rsid w:val="003D19CC"/>
    <w:rsid w:val="003D1AEB"/>
    <w:rsid w:val="003D229F"/>
    <w:rsid w:val="003D2AD2"/>
    <w:rsid w:val="003D2DA8"/>
    <w:rsid w:val="003D2E68"/>
    <w:rsid w:val="003D35CC"/>
    <w:rsid w:val="003D3800"/>
    <w:rsid w:val="003D389D"/>
    <w:rsid w:val="003D3F0E"/>
    <w:rsid w:val="003D401F"/>
    <w:rsid w:val="003D4039"/>
    <w:rsid w:val="003D406C"/>
    <w:rsid w:val="003D4BC0"/>
    <w:rsid w:val="003D4CF7"/>
    <w:rsid w:val="003D4ED1"/>
    <w:rsid w:val="003D5409"/>
    <w:rsid w:val="003D5699"/>
    <w:rsid w:val="003D5AAD"/>
    <w:rsid w:val="003D5B89"/>
    <w:rsid w:val="003D5F20"/>
    <w:rsid w:val="003D6034"/>
    <w:rsid w:val="003D60DB"/>
    <w:rsid w:val="003D643A"/>
    <w:rsid w:val="003D65CA"/>
    <w:rsid w:val="003D6D11"/>
    <w:rsid w:val="003D6EC4"/>
    <w:rsid w:val="003D7670"/>
    <w:rsid w:val="003D7C23"/>
    <w:rsid w:val="003D7E9E"/>
    <w:rsid w:val="003E056D"/>
    <w:rsid w:val="003E0972"/>
    <w:rsid w:val="003E0C73"/>
    <w:rsid w:val="003E153C"/>
    <w:rsid w:val="003E1B3F"/>
    <w:rsid w:val="003E20D6"/>
    <w:rsid w:val="003E214E"/>
    <w:rsid w:val="003E2810"/>
    <w:rsid w:val="003E2973"/>
    <w:rsid w:val="003E2B05"/>
    <w:rsid w:val="003E3946"/>
    <w:rsid w:val="003E4056"/>
    <w:rsid w:val="003E4069"/>
    <w:rsid w:val="003E40A6"/>
    <w:rsid w:val="003E4288"/>
    <w:rsid w:val="003E4538"/>
    <w:rsid w:val="003E47D5"/>
    <w:rsid w:val="003E4C6D"/>
    <w:rsid w:val="003E4CF9"/>
    <w:rsid w:val="003E4D04"/>
    <w:rsid w:val="003E4D87"/>
    <w:rsid w:val="003E52FD"/>
    <w:rsid w:val="003E5711"/>
    <w:rsid w:val="003E5A7A"/>
    <w:rsid w:val="003E6791"/>
    <w:rsid w:val="003E682F"/>
    <w:rsid w:val="003E685C"/>
    <w:rsid w:val="003E6ACD"/>
    <w:rsid w:val="003E6EFA"/>
    <w:rsid w:val="003E7306"/>
    <w:rsid w:val="003E7F51"/>
    <w:rsid w:val="003F02FA"/>
    <w:rsid w:val="003F06AD"/>
    <w:rsid w:val="003F07C5"/>
    <w:rsid w:val="003F09D7"/>
    <w:rsid w:val="003F0AB3"/>
    <w:rsid w:val="003F0D3D"/>
    <w:rsid w:val="003F1235"/>
    <w:rsid w:val="003F16B0"/>
    <w:rsid w:val="003F176D"/>
    <w:rsid w:val="003F2515"/>
    <w:rsid w:val="003F2F84"/>
    <w:rsid w:val="003F306D"/>
    <w:rsid w:val="003F3441"/>
    <w:rsid w:val="003F3AB7"/>
    <w:rsid w:val="003F45D7"/>
    <w:rsid w:val="003F465D"/>
    <w:rsid w:val="003F4BB8"/>
    <w:rsid w:val="003F5387"/>
    <w:rsid w:val="003F5411"/>
    <w:rsid w:val="003F634A"/>
    <w:rsid w:val="003F69C9"/>
    <w:rsid w:val="003F6A96"/>
    <w:rsid w:val="003F6BE7"/>
    <w:rsid w:val="003F6CB1"/>
    <w:rsid w:val="003F6E3F"/>
    <w:rsid w:val="003F7024"/>
    <w:rsid w:val="003F78FE"/>
    <w:rsid w:val="003F7AEC"/>
    <w:rsid w:val="003F7B2D"/>
    <w:rsid w:val="003F7F01"/>
    <w:rsid w:val="004000D4"/>
    <w:rsid w:val="00400455"/>
    <w:rsid w:val="0040089C"/>
    <w:rsid w:val="00400A3F"/>
    <w:rsid w:val="00400AB1"/>
    <w:rsid w:val="00400DDC"/>
    <w:rsid w:val="00401082"/>
    <w:rsid w:val="00401112"/>
    <w:rsid w:val="0040154D"/>
    <w:rsid w:val="00401923"/>
    <w:rsid w:val="00401CB8"/>
    <w:rsid w:val="00402131"/>
    <w:rsid w:val="00402620"/>
    <w:rsid w:val="0040274F"/>
    <w:rsid w:val="00402B61"/>
    <w:rsid w:val="00402C7F"/>
    <w:rsid w:val="00402EA0"/>
    <w:rsid w:val="004033DC"/>
    <w:rsid w:val="00403EAD"/>
    <w:rsid w:val="00404055"/>
    <w:rsid w:val="0040408A"/>
    <w:rsid w:val="0040480B"/>
    <w:rsid w:val="00404A11"/>
    <w:rsid w:val="00404BE9"/>
    <w:rsid w:val="00404E23"/>
    <w:rsid w:val="00404F93"/>
    <w:rsid w:val="00405900"/>
    <w:rsid w:val="0040604A"/>
    <w:rsid w:val="004067DE"/>
    <w:rsid w:val="00406802"/>
    <w:rsid w:val="00406830"/>
    <w:rsid w:val="00406873"/>
    <w:rsid w:val="00406C64"/>
    <w:rsid w:val="00406CD6"/>
    <w:rsid w:val="004070A0"/>
    <w:rsid w:val="0040763D"/>
    <w:rsid w:val="00407E09"/>
    <w:rsid w:val="0041000D"/>
    <w:rsid w:val="00410055"/>
    <w:rsid w:val="00410347"/>
    <w:rsid w:val="004104E3"/>
    <w:rsid w:val="00410640"/>
    <w:rsid w:val="00410663"/>
    <w:rsid w:val="00410819"/>
    <w:rsid w:val="00410932"/>
    <w:rsid w:val="00410B90"/>
    <w:rsid w:val="00410C59"/>
    <w:rsid w:val="00411147"/>
    <w:rsid w:val="0041135C"/>
    <w:rsid w:val="00411B52"/>
    <w:rsid w:val="00411DF2"/>
    <w:rsid w:val="00412396"/>
    <w:rsid w:val="00412D56"/>
    <w:rsid w:val="004133DD"/>
    <w:rsid w:val="004139AC"/>
    <w:rsid w:val="00413B5D"/>
    <w:rsid w:val="00413CB4"/>
    <w:rsid w:val="00413E13"/>
    <w:rsid w:val="004152F3"/>
    <w:rsid w:val="00415C3D"/>
    <w:rsid w:val="00415D99"/>
    <w:rsid w:val="00416375"/>
    <w:rsid w:val="0041653D"/>
    <w:rsid w:val="00416762"/>
    <w:rsid w:val="00416A16"/>
    <w:rsid w:val="00416A50"/>
    <w:rsid w:val="00416E55"/>
    <w:rsid w:val="004172D5"/>
    <w:rsid w:val="00417CEB"/>
    <w:rsid w:val="00417D7C"/>
    <w:rsid w:val="0042045B"/>
    <w:rsid w:val="00420B08"/>
    <w:rsid w:val="00420BDA"/>
    <w:rsid w:val="00420CFC"/>
    <w:rsid w:val="00420D04"/>
    <w:rsid w:val="00420D90"/>
    <w:rsid w:val="00421689"/>
    <w:rsid w:val="00421955"/>
    <w:rsid w:val="00421D68"/>
    <w:rsid w:val="00421E3A"/>
    <w:rsid w:val="00421E4D"/>
    <w:rsid w:val="0042246E"/>
    <w:rsid w:val="00422859"/>
    <w:rsid w:val="00422CFF"/>
    <w:rsid w:val="00422DD1"/>
    <w:rsid w:val="00422E0D"/>
    <w:rsid w:val="00422EEC"/>
    <w:rsid w:val="00422FF1"/>
    <w:rsid w:val="004230E3"/>
    <w:rsid w:val="0042326A"/>
    <w:rsid w:val="0042339C"/>
    <w:rsid w:val="00423C0B"/>
    <w:rsid w:val="004240FE"/>
    <w:rsid w:val="004242F5"/>
    <w:rsid w:val="00424683"/>
    <w:rsid w:val="0042469C"/>
    <w:rsid w:val="004247C6"/>
    <w:rsid w:val="0042493F"/>
    <w:rsid w:val="004250F1"/>
    <w:rsid w:val="0042518A"/>
    <w:rsid w:val="0042535D"/>
    <w:rsid w:val="004254FF"/>
    <w:rsid w:val="00425734"/>
    <w:rsid w:val="004259A6"/>
    <w:rsid w:val="004259EE"/>
    <w:rsid w:val="004263CA"/>
    <w:rsid w:val="00426AF2"/>
    <w:rsid w:val="00426D39"/>
    <w:rsid w:val="00426D40"/>
    <w:rsid w:val="00426D42"/>
    <w:rsid w:val="004276A0"/>
    <w:rsid w:val="0043035D"/>
    <w:rsid w:val="00430633"/>
    <w:rsid w:val="004306F8"/>
    <w:rsid w:val="004309A1"/>
    <w:rsid w:val="004309EB"/>
    <w:rsid w:val="00430ACE"/>
    <w:rsid w:val="00430EDD"/>
    <w:rsid w:val="004311B6"/>
    <w:rsid w:val="0043161F"/>
    <w:rsid w:val="004318D0"/>
    <w:rsid w:val="00431A13"/>
    <w:rsid w:val="00431ECD"/>
    <w:rsid w:val="004327AA"/>
    <w:rsid w:val="00432AE7"/>
    <w:rsid w:val="004330B0"/>
    <w:rsid w:val="00433274"/>
    <w:rsid w:val="00433536"/>
    <w:rsid w:val="004341D0"/>
    <w:rsid w:val="00434BB3"/>
    <w:rsid w:val="00434E71"/>
    <w:rsid w:val="00435659"/>
    <w:rsid w:val="004359F9"/>
    <w:rsid w:val="00435DEF"/>
    <w:rsid w:val="00435EC0"/>
    <w:rsid w:val="00436E42"/>
    <w:rsid w:val="004370A9"/>
    <w:rsid w:val="0043757B"/>
    <w:rsid w:val="00437B6A"/>
    <w:rsid w:val="00440259"/>
    <w:rsid w:val="00440579"/>
    <w:rsid w:val="0044066D"/>
    <w:rsid w:val="0044104F"/>
    <w:rsid w:val="00441308"/>
    <w:rsid w:val="00441BDB"/>
    <w:rsid w:val="0044219C"/>
    <w:rsid w:val="004425DC"/>
    <w:rsid w:val="0044299B"/>
    <w:rsid w:val="00442AEC"/>
    <w:rsid w:val="00443359"/>
    <w:rsid w:val="00443453"/>
    <w:rsid w:val="00443928"/>
    <w:rsid w:val="00443AE4"/>
    <w:rsid w:val="00443B17"/>
    <w:rsid w:val="00443B73"/>
    <w:rsid w:val="00443FFE"/>
    <w:rsid w:val="0044422E"/>
    <w:rsid w:val="0044455D"/>
    <w:rsid w:val="00444A63"/>
    <w:rsid w:val="00444EB3"/>
    <w:rsid w:val="00445265"/>
    <w:rsid w:val="004452D9"/>
    <w:rsid w:val="00445CC8"/>
    <w:rsid w:val="00445E79"/>
    <w:rsid w:val="004460FE"/>
    <w:rsid w:val="004460FF"/>
    <w:rsid w:val="004461B8"/>
    <w:rsid w:val="00446E23"/>
    <w:rsid w:val="00446EE8"/>
    <w:rsid w:val="00446F4C"/>
    <w:rsid w:val="004470B6"/>
    <w:rsid w:val="004471D9"/>
    <w:rsid w:val="0044728D"/>
    <w:rsid w:val="00447521"/>
    <w:rsid w:val="0044766B"/>
    <w:rsid w:val="00450007"/>
    <w:rsid w:val="00450303"/>
    <w:rsid w:val="00450434"/>
    <w:rsid w:val="00451B4C"/>
    <w:rsid w:val="00451C00"/>
    <w:rsid w:val="00451E2F"/>
    <w:rsid w:val="0045203F"/>
    <w:rsid w:val="0045298C"/>
    <w:rsid w:val="00452A48"/>
    <w:rsid w:val="004532C0"/>
    <w:rsid w:val="004539C5"/>
    <w:rsid w:val="004542F1"/>
    <w:rsid w:val="004545C8"/>
    <w:rsid w:val="004547E2"/>
    <w:rsid w:val="004549C3"/>
    <w:rsid w:val="0045511C"/>
    <w:rsid w:val="004554E3"/>
    <w:rsid w:val="004559CE"/>
    <w:rsid w:val="00456C37"/>
    <w:rsid w:val="00456FF3"/>
    <w:rsid w:val="00457452"/>
    <w:rsid w:val="00457CC3"/>
    <w:rsid w:val="00457E24"/>
    <w:rsid w:val="004602D6"/>
    <w:rsid w:val="00460358"/>
    <w:rsid w:val="004603BD"/>
    <w:rsid w:val="00460458"/>
    <w:rsid w:val="004607E3"/>
    <w:rsid w:val="00460E1A"/>
    <w:rsid w:val="004610D5"/>
    <w:rsid w:val="0046172E"/>
    <w:rsid w:val="0046178E"/>
    <w:rsid w:val="00461BB8"/>
    <w:rsid w:val="0046206D"/>
    <w:rsid w:val="0046248D"/>
    <w:rsid w:val="004625CC"/>
    <w:rsid w:val="00462FE5"/>
    <w:rsid w:val="0046302B"/>
    <w:rsid w:val="00463065"/>
    <w:rsid w:val="00463DF8"/>
    <w:rsid w:val="00464574"/>
    <w:rsid w:val="004645FB"/>
    <w:rsid w:val="0046492D"/>
    <w:rsid w:val="00464BE9"/>
    <w:rsid w:val="00464DFB"/>
    <w:rsid w:val="004653F7"/>
    <w:rsid w:val="004657C0"/>
    <w:rsid w:val="0046623C"/>
    <w:rsid w:val="004664F8"/>
    <w:rsid w:val="00466621"/>
    <w:rsid w:val="004670DE"/>
    <w:rsid w:val="00467331"/>
    <w:rsid w:val="0046744E"/>
    <w:rsid w:val="004678F7"/>
    <w:rsid w:val="00467D14"/>
    <w:rsid w:val="00467DCB"/>
    <w:rsid w:val="00470C9A"/>
    <w:rsid w:val="0047142D"/>
    <w:rsid w:val="00471A48"/>
    <w:rsid w:val="00471D4B"/>
    <w:rsid w:val="00472060"/>
    <w:rsid w:val="00472366"/>
    <w:rsid w:val="00472772"/>
    <w:rsid w:val="00472C17"/>
    <w:rsid w:val="00473058"/>
    <w:rsid w:val="0047408C"/>
    <w:rsid w:val="0047465F"/>
    <w:rsid w:val="00474B00"/>
    <w:rsid w:val="00474B16"/>
    <w:rsid w:val="00474F31"/>
    <w:rsid w:val="00475085"/>
    <w:rsid w:val="00475E76"/>
    <w:rsid w:val="00475F7B"/>
    <w:rsid w:val="00476644"/>
    <w:rsid w:val="00476CF6"/>
    <w:rsid w:val="00476F65"/>
    <w:rsid w:val="004770DD"/>
    <w:rsid w:val="00477252"/>
    <w:rsid w:val="004775FA"/>
    <w:rsid w:val="00477AA8"/>
    <w:rsid w:val="00477BBC"/>
    <w:rsid w:val="00477D5A"/>
    <w:rsid w:val="004802B5"/>
    <w:rsid w:val="0048042D"/>
    <w:rsid w:val="00480924"/>
    <w:rsid w:val="00480943"/>
    <w:rsid w:val="00480BDF"/>
    <w:rsid w:val="004816AF"/>
    <w:rsid w:val="00481731"/>
    <w:rsid w:val="00481C1B"/>
    <w:rsid w:val="00481D99"/>
    <w:rsid w:val="0048200D"/>
    <w:rsid w:val="00482109"/>
    <w:rsid w:val="004823B1"/>
    <w:rsid w:val="004823BD"/>
    <w:rsid w:val="004826D5"/>
    <w:rsid w:val="00482D56"/>
    <w:rsid w:val="00482DB9"/>
    <w:rsid w:val="0048379E"/>
    <w:rsid w:val="004839FF"/>
    <w:rsid w:val="00484747"/>
    <w:rsid w:val="00484C5C"/>
    <w:rsid w:val="0048510D"/>
    <w:rsid w:val="00485790"/>
    <w:rsid w:val="00485B65"/>
    <w:rsid w:val="0048629E"/>
    <w:rsid w:val="00486422"/>
    <w:rsid w:val="004864BD"/>
    <w:rsid w:val="0048668D"/>
    <w:rsid w:val="004875BE"/>
    <w:rsid w:val="00487ADC"/>
    <w:rsid w:val="00487B46"/>
    <w:rsid w:val="00487EF6"/>
    <w:rsid w:val="00490374"/>
    <w:rsid w:val="00491248"/>
    <w:rsid w:val="004913FD"/>
    <w:rsid w:val="00491582"/>
    <w:rsid w:val="004918A9"/>
    <w:rsid w:val="00491BF5"/>
    <w:rsid w:val="004924DA"/>
    <w:rsid w:val="00492645"/>
    <w:rsid w:val="00492733"/>
    <w:rsid w:val="00492E29"/>
    <w:rsid w:val="00492FCB"/>
    <w:rsid w:val="00493311"/>
    <w:rsid w:val="0049338C"/>
    <w:rsid w:val="00493EF9"/>
    <w:rsid w:val="00494221"/>
    <w:rsid w:val="004944BF"/>
    <w:rsid w:val="004945C7"/>
    <w:rsid w:val="0049490F"/>
    <w:rsid w:val="00495107"/>
    <w:rsid w:val="0049516C"/>
    <w:rsid w:val="0049516E"/>
    <w:rsid w:val="00495D54"/>
    <w:rsid w:val="00495D86"/>
    <w:rsid w:val="00495DAE"/>
    <w:rsid w:val="00495F3C"/>
    <w:rsid w:val="0049610F"/>
    <w:rsid w:val="0049694E"/>
    <w:rsid w:val="00496A43"/>
    <w:rsid w:val="004971B1"/>
    <w:rsid w:val="00497439"/>
    <w:rsid w:val="0049743B"/>
    <w:rsid w:val="004975A7"/>
    <w:rsid w:val="00497BFF"/>
    <w:rsid w:val="004A05C2"/>
    <w:rsid w:val="004A08B9"/>
    <w:rsid w:val="004A0DF4"/>
    <w:rsid w:val="004A0F11"/>
    <w:rsid w:val="004A12BC"/>
    <w:rsid w:val="004A1326"/>
    <w:rsid w:val="004A134F"/>
    <w:rsid w:val="004A17D5"/>
    <w:rsid w:val="004A1C4B"/>
    <w:rsid w:val="004A1F0B"/>
    <w:rsid w:val="004A27B3"/>
    <w:rsid w:val="004A2CBA"/>
    <w:rsid w:val="004A2D6B"/>
    <w:rsid w:val="004A314B"/>
    <w:rsid w:val="004A3179"/>
    <w:rsid w:val="004A3291"/>
    <w:rsid w:val="004A338B"/>
    <w:rsid w:val="004A3467"/>
    <w:rsid w:val="004A351A"/>
    <w:rsid w:val="004A37E2"/>
    <w:rsid w:val="004A3A23"/>
    <w:rsid w:val="004A3EAA"/>
    <w:rsid w:val="004A43B6"/>
    <w:rsid w:val="004A45BD"/>
    <w:rsid w:val="004A4738"/>
    <w:rsid w:val="004A4C83"/>
    <w:rsid w:val="004A4F09"/>
    <w:rsid w:val="004A4F39"/>
    <w:rsid w:val="004A5296"/>
    <w:rsid w:val="004A57E1"/>
    <w:rsid w:val="004A5D25"/>
    <w:rsid w:val="004A5E6B"/>
    <w:rsid w:val="004A5ED7"/>
    <w:rsid w:val="004A6265"/>
    <w:rsid w:val="004A6817"/>
    <w:rsid w:val="004A6D0C"/>
    <w:rsid w:val="004A6D93"/>
    <w:rsid w:val="004A6F55"/>
    <w:rsid w:val="004A7397"/>
    <w:rsid w:val="004A749D"/>
    <w:rsid w:val="004A79E6"/>
    <w:rsid w:val="004A7D97"/>
    <w:rsid w:val="004B020B"/>
    <w:rsid w:val="004B096E"/>
    <w:rsid w:val="004B0A0A"/>
    <w:rsid w:val="004B0C1D"/>
    <w:rsid w:val="004B1698"/>
    <w:rsid w:val="004B1988"/>
    <w:rsid w:val="004B19F2"/>
    <w:rsid w:val="004B1BDA"/>
    <w:rsid w:val="004B1BFE"/>
    <w:rsid w:val="004B1D3C"/>
    <w:rsid w:val="004B1DDD"/>
    <w:rsid w:val="004B21C8"/>
    <w:rsid w:val="004B27DE"/>
    <w:rsid w:val="004B2935"/>
    <w:rsid w:val="004B29B2"/>
    <w:rsid w:val="004B2D22"/>
    <w:rsid w:val="004B2D2B"/>
    <w:rsid w:val="004B34DD"/>
    <w:rsid w:val="004B39E6"/>
    <w:rsid w:val="004B3D77"/>
    <w:rsid w:val="004B42B6"/>
    <w:rsid w:val="004B43F5"/>
    <w:rsid w:val="004B453A"/>
    <w:rsid w:val="004B4A82"/>
    <w:rsid w:val="004B4AC5"/>
    <w:rsid w:val="004B4D90"/>
    <w:rsid w:val="004B500E"/>
    <w:rsid w:val="004B5133"/>
    <w:rsid w:val="004B5147"/>
    <w:rsid w:val="004B57A6"/>
    <w:rsid w:val="004B58A1"/>
    <w:rsid w:val="004B5CD6"/>
    <w:rsid w:val="004B5E77"/>
    <w:rsid w:val="004B5FE0"/>
    <w:rsid w:val="004B5FEF"/>
    <w:rsid w:val="004B6743"/>
    <w:rsid w:val="004B7735"/>
    <w:rsid w:val="004C043B"/>
    <w:rsid w:val="004C05A8"/>
    <w:rsid w:val="004C0ECC"/>
    <w:rsid w:val="004C1141"/>
    <w:rsid w:val="004C123E"/>
    <w:rsid w:val="004C12E8"/>
    <w:rsid w:val="004C19FF"/>
    <w:rsid w:val="004C1A0D"/>
    <w:rsid w:val="004C1E8E"/>
    <w:rsid w:val="004C2296"/>
    <w:rsid w:val="004C24FA"/>
    <w:rsid w:val="004C2625"/>
    <w:rsid w:val="004C282B"/>
    <w:rsid w:val="004C2902"/>
    <w:rsid w:val="004C3059"/>
    <w:rsid w:val="004C30A1"/>
    <w:rsid w:val="004C34E7"/>
    <w:rsid w:val="004C3530"/>
    <w:rsid w:val="004C3706"/>
    <w:rsid w:val="004C3D67"/>
    <w:rsid w:val="004C41B6"/>
    <w:rsid w:val="004C42D6"/>
    <w:rsid w:val="004C5021"/>
    <w:rsid w:val="004C506A"/>
    <w:rsid w:val="004C52F8"/>
    <w:rsid w:val="004C54F2"/>
    <w:rsid w:val="004C5691"/>
    <w:rsid w:val="004C5887"/>
    <w:rsid w:val="004C61C7"/>
    <w:rsid w:val="004C651B"/>
    <w:rsid w:val="004C66C5"/>
    <w:rsid w:val="004C6B82"/>
    <w:rsid w:val="004C6BB9"/>
    <w:rsid w:val="004C6EB1"/>
    <w:rsid w:val="004C6EBF"/>
    <w:rsid w:val="004C6F72"/>
    <w:rsid w:val="004C76CF"/>
    <w:rsid w:val="004C79DF"/>
    <w:rsid w:val="004C7FE8"/>
    <w:rsid w:val="004D0036"/>
    <w:rsid w:val="004D0493"/>
    <w:rsid w:val="004D09E7"/>
    <w:rsid w:val="004D10FF"/>
    <w:rsid w:val="004D2EFA"/>
    <w:rsid w:val="004D3328"/>
    <w:rsid w:val="004D3504"/>
    <w:rsid w:val="004D37D5"/>
    <w:rsid w:val="004D3C90"/>
    <w:rsid w:val="004D3D5F"/>
    <w:rsid w:val="004D3DF7"/>
    <w:rsid w:val="004D3E53"/>
    <w:rsid w:val="004D3F9B"/>
    <w:rsid w:val="004D44D0"/>
    <w:rsid w:val="004D45F1"/>
    <w:rsid w:val="004D5242"/>
    <w:rsid w:val="004D6221"/>
    <w:rsid w:val="004D6540"/>
    <w:rsid w:val="004D6A38"/>
    <w:rsid w:val="004D6D6A"/>
    <w:rsid w:val="004D6E37"/>
    <w:rsid w:val="004D76DB"/>
    <w:rsid w:val="004D79B1"/>
    <w:rsid w:val="004D7F7C"/>
    <w:rsid w:val="004E00EA"/>
    <w:rsid w:val="004E099B"/>
    <w:rsid w:val="004E0DC1"/>
    <w:rsid w:val="004E11F7"/>
    <w:rsid w:val="004E16F2"/>
    <w:rsid w:val="004E176A"/>
    <w:rsid w:val="004E1B26"/>
    <w:rsid w:val="004E1F12"/>
    <w:rsid w:val="004E2661"/>
    <w:rsid w:val="004E277A"/>
    <w:rsid w:val="004E2932"/>
    <w:rsid w:val="004E2ACF"/>
    <w:rsid w:val="004E327E"/>
    <w:rsid w:val="004E334F"/>
    <w:rsid w:val="004E3A09"/>
    <w:rsid w:val="004E3A70"/>
    <w:rsid w:val="004E3BC8"/>
    <w:rsid w:val="004E4F1C"/>
    <w:rsid w:val="004E5194"/>
    <w:rsid w:val="004E5BA0"/>
    <w:rsid w:val="004E65E8"/>
    <w:rsid w:val="004E6B14"/>
    <w:rsid w:val="004E6E6A"/>
    <w:rsid w:val="004E6EA5"/>
    <w:rsid w:val="004E70A2"/>
    <w:rsid w:val="004E758F"/>
    <w:rsid w:val="004E77B1"/>
    <w:rsid w:val="004E7850"/>
    <w:rsid w:val="004E7D80"/>
    <w:rsid w:val="004F054A"/>
    <w:rsid w:val="004F0708"/>
    <w:rsid w:val="004F070F"/>
    <w:rsid w:val="004F0A9C"/>
    <w:rsid w:val="004F1362"/>
    <w:rsid w:val="004F13E8"/>
    <w:rsid w:val="004F1574"/>
    <w:rsid w:val="004F17E3"/>
    <w:rsid w:val="004F1DE0"/>
    <w:rsid w:val="004F3218"/>
    <w:rsid w:val="004F3291"/>
    <w:rsid w:val="004F4160"/>
    <w:rsid w:val="004F4244"/>
    <w:rsid w:val="004F4360"/>
    <w:rsid w:val="004F478E"/>
    <w:rsid w:val="004F4B92"/>
    <w:rsid w:val="004F4C62"/>
    <w:rsid w:val="004F4FEE"/>
    <w:rsid w:val="004F50D5"/>
    <w:rsid w:val="004F572A"/>
    <w:rsid w:val="004F57DA"/>
    <w:rsid w:val="004F5930"/>
    <w:rsid w:val="004F596E"/>
    <w:rsid w:val="004F59F1"/>
    <w:rsid w:val="004F5E22"/>
    <w:rsid w:val="004F6257"/>
    <w:rsid w:val="004F65A9"/>
    <w:rsid w:val="004F6AF5"/>
    <w:rsid w:val="004F7197"/>
    <w:rsid w:val="004F742A"/>
    <w:rsid w:val="005002CA"/>
    <w:rsid w:val="005003C0"/>
    <w:rsid w:val="0050055F"/>
    <w:rsid w:val="00500AD9"/>
    <w:rsid w:val="00500C1F"/>
    <w:rsid w:val="00501562"/>
    <w:rsid w:val="005018BF"/>
    <w:rsid w:val="00501AC5"/>
    <w:rsid w:val="00501B6C"/>
    <w:rsid w:val="00501B8A"/>
    <w:rsid w:val="00501CB6"/>
    <w:rsid w:val="00501D47"/>
    <w:rsid w:val="00501EDA"/>
    <w:rsid w:val="0050285E"/>
    <w:rsid w:val="00502A9D"/>
    <w:rsid w:val="00502C78"/>
    <w:rsid w:val="00502DAE"/>
    <w:rsid w:val="00502F0E"/>
    <w:rsid w:val="00503179"/>
    <w:rsid w:val="00503596"/>
    <w:rsid w:val="005039F8"/>
    <w:rsid w:val="0050408F"/>
    <w:rsid w:val="005040D4"/>
    <w:rsid w:val="005057BC"/>
    <w:rsid w:val="00505FA0"/>
    <w:rsid w:val="00506A17"/>
    <w:rsid w:val="00506BCB"/>
    <w:rsid w:val="00506DA9"/>
    <w:rsid w:val="00506DBD"/>
    <w:rsid w:val="0050734E"/>
    <w:rsid w:val="005074EB"/>
    <w:rsid w:val="00507793"/>
    <w:rsid w:val="00507AF0"/>
    <w:rsid w:val="00510042"/>
    <w:rsid w:val="00510F1A"/>
    <w:rsid w:val="00510FFF"/>
    <w:rsid w:val="00511E39"/>
    <w:rsid w:val="00512940"/>
    <w:rsid w:val="00512AF6"/>
    <w:rsid w:val="00513601"/>
    <w:rsid w:val="00514057"/>
    <w:rsid w:val="0051468E"/>
    <w:rsid w:val="00514956"/>
    <w:rsid w:val="00514E56"/>
    <w:rsid w:val="0051556B"/>
    <w:rsid w:val="00515F33"/>
    <w:rsid w:val="00515F5B"/>
    <w:rsid w:val="00516272"/>
    <w:rsid w:val="0051641E"/>
    <w:rsid w:val="005164AE"/>
    <w:rsid w:val="00516785"/>
    <w:rsid w:val="0051697A"/>
    <w:rsid w:val="00516984"/>
    <w:rsid w:val="00516B43"/>
    <w:rsid w:val="005171E9"/>
    <w:rsid w:val="005177DE"/>
    <w:rsid w:val="00517997"/>
    <w:rsid w:val="00517B01"/>
    <w:rsid w:val="00517C0E"/>
    <w:rsid w:val="00517E78"/>
    <w:rsid w:val="00520070"/>
    <w:rsid w:val="00520D07"/>
    <w:rsid w:val="0052161A"/>
    <w:rsid w:val="00521D78"/>
    <w:rsid w:val="00522BA5"/>
    <w:rsid w:val="005232F9"/>
    <w:rsid w:val="00523586"/>
    <w:rsid w:val="005235D5"/>
    <w:rsid w:val="00523B21"/>
    <w:rsid w:val="00523D0C"/>
    <w:rsid w:val="00523D2E"/>
    <w:rsid w:val="0052419D"/>
    <w:rsid w:val="00524436"/>
    <w:rsid w:val="00524473"/>
    <w:rsid w:val="0052460C"/>
    <w:rsid w:val="00524D74"/>
    <w:rsid w:val="00525419"/>
    <w:rsid w:val="0052594C"/>
    <w:rsid w:val="0052595D"/>
    <w:rsid w:val="00526079"/>
    <w:rsid w:val="00526684"/>
    <w:rsid w:val="005266B2"/>
    <w:rsid w:val="00526723"/>
    <w:rsid w:val="005269BD"/>
    <w:rsid w:val="0053001B"/>
    <w:rsid w:val="005301F8"/>
    <w:rsid w:val="0053048F"/>
    <w:rsid w:val="00530701"/>
    <w:rsid w:val="00530A32"/>
    <w:rsid w:val="00530EEC"/>
    <w:rsid w:val="00530F3D"/>
    <w:rsid w:val="00530FAA"/>
    <w:rsid w:val="005310D2"/>
    <w:rsid w:val="00531178"/>
    <w:rsid w:val="005312FC"/>
    <w:rsid w:val="005314D3"/>
    <w:rsid w:val="005315FA"/>
    <w:rsid w:val="00531615"/>
    <w:rsid w:val="00531D1F"/>
    <w:rsid w:val="00531EC1"/>
    <w:rsid w:val="005320E2"/>
    <w:rsid w:val="005327B3"/>
    <w:rsid w:val="00532B8C"/>
    <w:rsid w:val="00532C6D"/>
    <w:rsid w:val="00532E87"/>
    <w:rsid w:val="00532FAF"/>
    <w:rsid w:val="005336DE"/>
    <w:rsid w:val="005338D2"/>
    <w:rsid w:val="00533B8A"/>
    <w:rsid w:val="00533C32"/>
    <w:rsid w:val="005340D0"/>
    <w:rsid w:val="00534106"/>
    <w:rsid w:val="0053424B"/>
    <w:rsid w:val="005344C7"/>
    <w:rsid w:val="00534582"/>
    <w:rsid w:val="005347F9"/>
    <w:rsid w:val="00534C2E"/>
    <w:rsid w:val="005351CE"/>
    <w:rsid w:val="0053528F"/>
    <w:rsid w:val="0053569E"/>
    <w:rsid w:val="00535D23"/>
    <w:rsid w:val="0053603D"/>
    <w:rsid w:val="005367ED"/>
    <w:rsid w:val="0053742A"/>
    <w:rsid w:val="0053765E"/>
    <w:rsid w:val="005378A2"/>
    <w:rsid w:val="00537C85"/>
    <w:rsid w:val="00537CCD"/>
    <w:rsid w:val="00540035"/>
    <w:rsid w:val="00540127"/>
    <w:rsid w:val="00540907"/>
    <w:rsid w:val="00540A3E"/>
    <w:rsid w:val="00540C2C"/>
    <w:rsid w:val="00541970"/>
    <w:rsid w:val="00541C31"/>
    <w:rsid w:val="00541D29"/>
    <w:rsid w:val="0054215D"/>
    <w:rsid w:val="005422B5"/>
    <w:rsid w:val="005422D6"/>
    <w:rsid w:val="00542C57"/>
    <w:rsid w:val="00542C80"/>
    <w:rsid w:val="00542CDC"/>
    <w:rsid w:val="00542FE6"/>
    <w:rsid w:val="005435AF"/>
    <w:rsid w:val="00543704"/>
    <w:rsid w:val="0054380C"/>
    <w:rsid w:val="00543EA7"/>
    <w:rsid w:val="00543F23"/>
    <w:rsid w:val="00543F2B"/>
    <w:rsid w:val="0054480A"/>
    <w:rsid w:val="00545470"/>
    <w:rsid w:val="0054567E"/>
    <w:rsid w:val="00545B93"/>
    <w:rsid w:val="00545CC5"/>
    <w:rsid w:val="00546171"/>
    <w:rsid w:val="00546831"/>
    <w:rsid w:val="005468AE"/>
    <w:rsid w:val="0054709F"/>
    <w:rsid w:val="005471FA"/>
    <w:rsid w:val="005477A7"/>
    <w:rsid w:val="00547953"/>
    <w:rsid w:val="005479C2"/>
    <w:rsid w:val="00547BEC"/>
    <w:rsid w:val="005503B3"/>
    <w:rsid w:val="00550A26"/>
    <w:rsid w:val="00550EEB"/>
    <w:rsid w:val="0055113D"/>
    <w:rsid w:val="00551522"/>
    <w:rsid w:val="00551867"/>
    <w:rsid w:val="00551F17"/>
    <w:rsid w:val="005523F0"/>
    <w:rsid w:val="005526BD"/>
    <w:rsid w:val="0055283E"/>
    <w:rsid w:val="005529E6"/>
    <w:rsid w:val="00552ACB"/>
    <w:rsid w:val="00553128"/>
    <w:rsid w:val="00553233"/>
    <w:rsid w:val="00553536"/>
    <w:rsid w:val="0055398B"/>
    <w:rsid w:val="00553C7A"/>
    <w:rsid w:val="00554199"/>
    <w:rsid w:val="005541F2"/>
    <w:rsid w:val="00554455"/>
    <w:rsid w:val="00554552"/>
    <w:rsid w:val="00554766"/>
    <w:rsid w:val="00554862"/>
    <w:rsid w:val="00554938"/>
    <w:rsid w:val="00554A20"/>
    <w:rsid w:val="00554AA7"/>
    <w:rsid w:val="00554E68"/>
    <w:rsid w:val="00555017"/>
    <w:rsid w:val="0055525B"/>
    <w:rsid w:val="005555DB"/>
    <w:rsid w:val="00555B08"/>
    <w:rsid w:val="00555B4E"/>
    <w:rsid w:val="00555B95"/>
    <w:rsid w:val="00555F93"/>
    <w:rsid w:val="0055624A"/>
    <w:rsid w:val="00556476"/>
    <w:rsid w:val="005568AC"/>
    <w:rsid w:val="00557416"/>
    <w:rsid w:val="0055766E"/>
    <w:rsid w:val="005578FB"/>
    <w:rsid w:val="00560074"/>
    <w:rsid w:val="005607A0"/>
    <w:rsid w:val="005607E0"/>
    <w:rsid w:val="00560B84"/>
    <w:rsid w:val="00560F9A"/>
    <w:rsid w:val="0056141B"/>
    <w:rsid w:val="005614EF"/>
    <w:rsid w:val="005617BF"/>
    <w:rsid w:val="00561D23"/>
    <w:rsid w:val="0056261B"/>
    <w:rsid w:val="00562B1B"/>
    <w:rsid w:val="00562CE4"/>
    <w:rsid w:val="00562F17"/>
    <w:rsid w:val="0056325F"/>
    <w:rsid w:val="00563DB6"/>
    <w:rsid w:val="00564274"/>
    <w:rsid w:val="005647BC"/>
    <w:rsid w:val="00564AF0"/>
    <w:rsid w:val="00564E1A"/>
    <w:rsid w:val="00564E2B"/>
    <w:rsid w:val="00564F5B"/>
    <w:rsid w:val="00564F70"/>
    <w:rsid w:val="005655F9"/>
    <w:rsid w:val="0056582C"/>
    <w:rsid w:val="00565A81"/>
    <w:rsid w:val="00565A92"/>
    <w:rsid w:val="00566748"/>
    <w:rsid w:val="00566E31"/>
    <w:rsid w:val="00566F5F"/>
    <w:rsid w:val="00566F74"/>
    <w:rsid w:val="0056719F"/>
    <w:rsid w:val="0056732D"/>
    <w:rsid w:val="005674B4"/>
    <w:rsid w:val="005678E8"/>
    <w:rsid w:val="00567F8F"/>
    <w:rsid w:val="00570C4C"/>
    <w:rsid w:val="0057127A"/>
    <w:rsid w:val="00571292"/>
    <w:rsid w:val="0057143B"/>
    <w:rsid w:val="0057156E"/>
    <w:rsid w:val="00571CCA"/>
    <w:rsid w:val="005724D4"/>
    <w:rsid w:val="0057299F"/>
    <w:rsid w:val="005736AA"/>
    <w:rsid w:val="00574535"/>
    <w:rsid w:val="0057484E"/>
    <w:rsid w:val="00574ABF"/>
    <w:rsid w:val="00574BE4"/>
    <w:rsid w:val="00575203"/>
    <w:rsid w:val="0057576C"/>
    <w:rsid w:val="0057620C"/>
    <w:rsid w:val="00576285"/>
    <w:rsid w:val="0057648D"/>
    <w:rsid w:val="00576816"/>
    <w:rsid w:val="00576940"/>
    <w:rsid w:val="005769B7"/>
    <w:rsid w:val="00576AFE"/>
    <w:rsid w:val="00576CD8"/>
    <w:rsid w:val="00576D86"/>
    <w:rsid w:val="00576E89"/>
    <w:rsid w:val="005770FF"/>
    <w:rsid w:val="005776B2"/>
    <w:rsid w:val="00577B4A"/>
    <w:rsid w:val="00577D8A"/>
    <w:rsid w:val="0058053B"/>
    <w:rsid w:val="00580A59"/>
    <w:rsid w:val="00580C07"/>
    <w:rsid w:val="00580C48"/>
    <w:rsid w:val="00580D3A"/>
    <w:rsid w:val="00580E18"/>
    <w:rsid w:val="00581310"/>
    <w:rsid w:val="005819FD"/>
    <w:rsid w:val="00581BE6"/>
    <w:rsid w:val="0058203A"/>
    <w:rsid w:val="0058211A"/>
    <w:rsid w:val="00582296"/>
    <w:rsid w:val="005826E6"/>
    <w:rsid w:val="00582858"/>
    <w:rsid w:val="0058287C"/>
    <w:rsid w:val="00582F15"/>
    <w:rsid w:val="005830F9"/>
    <w:rsid w:val="00583234"/>
    <w:rsid w:val="005835B6"/>
    <w:rsid w:val="005835CD"/>
    <w:rsid w:val="0058364F"/>
    <w:rsid w:val="0058371B"/>
    <w:rsid w:val="00583746"/>
    <w:rsid w:val="0058377B"/>
    <w:rsid w:val="0058493C"/>
    <w:rsid w:val="00584AAA"/>
    <w:rsid w:val="00584F43"/>
    <w:rsid w:val="0058559A"/>
    <w:rsid w:val="00585B79"/>
    <w:rsid w:val="00585D4C"/>
    <w:rsid w:val="00585D9B"/>
    <w:rsid w:val="00586297"/>
    <w:rsid w:val="00586591"/>
    <w:rsid w:val="00586605"/>
    <w:rsid w:val="005866BC"/>
    <w:rsid w:val="00586882"/>
    <w:rsid w:val="005868DE"/>
    <w:rsid w:val="00586AA0"/>
    <w:rsid w:val="005876BD"/>
    <w:rsid w:val="005877AC"/>
    <w:rsid w:val="00587857"/>
    <w:rsid w:val="00587A21"/>
    <w:rsid w:val="00587BF1"/>
    <w:rsid w:val="00587C2D"/>
    <w:rsid w:val="005900F2"/>
    <w:rsid w:val="00590D7A"/>
    <w:rsid w:val="005915BE"/>
    <w:rsid w:val="005916B7"/>
    <w:rsid w:val="00591EE7"/>
    <w:rsid w:val="0059223A"/>
    <w:rsid w:val="0059252A"/>
    <w:rsid w:val="00593160"/>
    <w:rsid w:val="005931A6"/>
    <w:rsid w:val="00594394"/>
    <w:rsid w:val="005943B2"/>
    <w:rsid w:val="005945E1"/>
    <w:rsid w:val="0059482A"/>
    <w:rsid w:val="00594CEB"/>
    <w:rsid w:val="00594E01"/>
    <w:rsid w:val="00594F24"/>
    <w:rsid w:val="005959A2"/>
    <w:rsid w:val="00595A43"/>
    <w:rsid w:val="00595AFA"/>
    <w:rsid w:val="00595F7B"/>
    <w:rsid w:val="00595FE1"/>
    <w:rsid w:val="0059663D"/>
    <w:rsid w:val="005966B7"/>
    <w:rsid w:val="00596924"/>
    <w:rsid w:val="00596A3E"/>
    <w:rsid w:val="00596A5D"/>
    <w:rsid w:val="00596F07"/>
    <w:rsid w:val="00596F4F"/>
    <w:rsid w:val="0059734D"/>
    <w:rsid w:val="0059735A"/>
    <w:rsid w:val="005973A8"/>
    <w:rsid w:val="00597A2E"/>
    <w:rsid w:val="005A06C6"/>
    <w:rsid w:val="005A0A8D"/>
    <w:rsid w:val="005A0B0C"/>
    <w:rsid w:val="005A0C2D"/>
    <w:rsid w:val="005A1288"/>
    <w:rsid w:val="005A1A19"/>
    <w:rsid w:val="005A1A4C"/>
    <w:rsid w:val="005A2367"/>
    <w:rsid w:val="005A2432"/>
    <w:rsid w:val="005A2D21"/>
    <w:rsid w:val="005A3997"/>
    <w:rsid w:val="005A3D0E"/>
    <w:rsid w:val="005A3DA4"/>
    <w:rsid w:val="005A40C6"/>
    <w:rsid w:val="005A41C9"/>
    <w:rsid w:val="005A4503"/>
    <w:rsid w:val="005A4CF5"/>
    <w:rsid w:val="005A4E25"/>
    <w:rsid w:val="005A4E96"/>
    <w:rsid w:val="005A4F3E"/>
    <w:rsid w:val="005A5019"/>
    <w:rsid w:val="005A5A35"/>
    <w:rsid w:val="005A5DC5"/>
    <w:rsid w:val="005A5F98"/>
    <w:rsid w:val="005A5FC5"/>
    <w:rsid w:val="005A60B2"/>
    <w:rsid w:val="005A66CD"/>
    <w:rsid w:val="005A7C49"/>
    <w:rsid w:val="005A7EEE"/>
    <w:rsid w:val="005B13DF"/>
    <w:rsid w:val="005B308E"/>
    <w:rsid w:val="005B3411"/>
    <w:rsid w:val="005B383F"/>
    <w:rsid w:val="005B48DD"/>
    <w:rsid w:val="005B4A78"/>
    <w:rsid w:val="005B5426"/>
    <w:rsid w:val="005B5547"/>
    <w:rsid w:val="005B5A23"/>
    <w:rsid w:val="005B5ABC"/>
    <w:rsid w:val="005B5DA0"/>
    <w:rsid w:val="005B5DE6"/>
    <w:rsid w:val="005B5E0C"/>
    <w:rsid w:val="005B5E2A"/>
    <w:rsid w:val="005B5FDA"/>
    <w:rsid w:val="005B63C3"/>
    <w:rsid w:val="005B6CA4"/>
    <w:rsid w:val="005B6D1C"/>
    <w:rsid w:val="005B6E05"/>
    <w:rsid w:val="005B7386"/>
    <w:rsid w:val="005B7538"/>
    <w:rsid w:val="005B75C6"/>
    <w:rsid w:val="005B79B3"/>
    <w:rsid w:val="005B7AE0"/>
    <w:rsid w:val="005B7BA8"/>
    <w:rsid w:val="005C02A4"/>
    <w:rsid w:val="005C0697"/>
    <w:rsid w:val="005C1081"/>
    <w:rsid w:val="005C1459"/>
    <w:rsid w:val="005C1497"/>
    <w:rsid w:val="005C1637"/>
    <w:rsid w:val="005C1C43"/>
    <w:rsid w:val="005C1FCF"/>
    <w:rsid w:val="005C20D2"/>
    <w:rsid w:val="005C22BC"/>
    <w:rsid w:val="005C23D0"/>
    <w:rsid w:val="005C2900"/>
    <w:rsid w:val="005C29D2"/>
    <w:rsid w:val="005C2BC6"/>
    <w:rsid w:val="005C30E7"/>
    <w:rsid w:val="005C32FE"/>
    <w:rsid w:val="005C3585"/>
    <w:rsid w:val="005C3783"/>
    <w:rsid w:val="005C3946"/>
    <w:rsid w:val="005C3979"/>
    <w:rsid w:val="005C3EE4"/>
    <w:rsid w:val="005C413E"/>
    <w:rsid w:val="005C465F"/>
    <w:rsid w:val="005C4D4B"/>
    <w:rsid w:val="005C4EEC"/>
    <w:rsid w:val="005C4F74"/>
    <w:rsid w:val="005C503A"/>
    <w:rsid w:val="005C5145"/>
    <w:rsid w:val="005C52C2"/>
    <w:rsid w:val="005C57B2"/>
    <w:rsid w:val="005C6C6F"/>
    <w:rsid w:val="005C6C8A"/>
    <w:rsid w:val="005C70B3"/>
    <w:rsid w:val="005C70D9"/>
    <w:rsid w:val="005C7352"/>
    <w:rsid w:val="005C7497"/>
    <w:rsid w:val="005C750B"/>
    <w:rsid w:val="005C7CF2"/>
    <w:rsid w:val="005D01A6"/>
    <w:rsid w:val="005D024A"/>
    <w:rsid w:val="005D0451"/>
    <w:rsid w:val="005D04F3"/>
    <w:rsid w:val="005D0A36"/>
    <w:rsid w:val="005D0F4C"/>
    <w:rsid w:val="005D0FB7"/>
    <w:rsid w:val="005D1171"/>
    <w:rsid w:val="005D12C5"/>
    <w:rsid w:val="005D186C"/>
    <w:rsid w:val="005D1AD2"/>
    <w:rsid w:val="005D1FBE"/>
    <w:rsid w:val="005D27D0"/>
    <w:rsid w:val="005D29F1"/>
    <w:rsid w:val="005D2E34"/>
    <w:rsid w:val="005D2E9C"/>
    <w:rsid w:val="005D2F6C"/>
    <w:rsid w:val="005D3567"/>
    <w:rsid w:val="005D3654"/>
    <w:rsid w:val="005D3884"/>
    <w:rsid w:val="005D3AD7"/>
    <w:rsid w:val="005D40DA"/>
    <w:rsid w:val="005D44BF"/>
    <w:rsid w:val="005D45DF"/>
    <w:rsid w:val="005D4E31"/>
    <w:rsid w:val="005D4F54"/>
    <w:rsid w:val="005D4FD4"/>
    <w:rsid w:val="005D531F"/>
    <w:rsid w:val="005D53F8"/>
    <w:rsid w:val="005D5507"/>
    <w:rsid w:val="005D5A35"/>
    <w:rsid w:val="005D5A7E"/>
    <w:rsid w:val="005D5CBA"/>
    <w:rsid w:val="005D5DBA"/>
    <w:rsid w:val="005D5E47"/>
    <w:rsid w:val="005D6701"/>
    <w:rsid w:val="005D69FC"/>
    <w:rsid w:val="005D6D64"/>
    <w:rsid w:val="005D6F76"/>
    <w:rsid w:val="005D70C9"/>
    <w:rsid w:val="005D767B"/>
    <w:rsid w:val="005D77D0"/>
    <w:rsid w:val="005D7A59"/>
    <w:rsid w:val="005E00A9"/>
    <w:rsid w:val="005E0273"/>
    <w:rsid w:val="005E02BF"/>
    <w:rsid w:val="005E0ADF"/>
    <w:rsid w:val="005E138C"/>
    <w:rsid w:val="005E1D38"/>
    <w:rsid w:val="005E1D43"/>
    <w:rsid w:val="005E1E0F"/>
    <w:rsid w:val="005E236C"/>
    <w:rsid w:val="005E249D"/>
    <w:rsid w:val="005E2798"/>
    <w:rsid w:val="005E2813"/>
    <w:rsid w:val="005E2913"/>
    <w:rsid w:val="005E2D36"/>
    <w:rsid w:val="005E2D48"/>
    <w:rsid w:val="005E32B7"/>
    <w:rsid w:val="005E378C"/>
    <w:rsid w:val="005E38DA"/>
    <w:rsid w:val="005E3B98"/>
    <w:rsid w:val="005E4F2E"/>
    <w:rsid w:val="005E5691"/>
    <w:rsid w:val="005E5733"/>
    <w:rsid w:val="005E5B36"/>
    <w:rsid w:val="005E60C9"/>
    <w:rsid w:val="005E67BA"/>
    <w:rsid w:val="005E6EB9"/>
    <w:rsid w:val="005E6F9C"/>
    <w:rsid w:val="005E7225"/>
    <w:rsid w:val="005F0241"/>
    <w:rsid w:val="005F045F"/>
    <w:rsid w:val="005F074A"/>
    <w:rsid w:val="005F1358"/>
    <w:rsid w:val="005F202F"/>
    <w:rsid w:val="005F20AF"/>
    <w:rsid w:val="005F28CF"/>
    <w:rsid w:val="005F302C"/>
    <w:rsid w:val="005F31F5"/>
    <w:rsid w:val="005F33C1"/>
    <w:rsid w:val="005F368C"/>
    <w:rsid w:val="005F37C6"/>
    <w:rsid w:val="005F3ABA"/>
    <w:rsid w:val="005F3D01"/>
    <w:rsid w:val="005F3E7F"/>
    <w:rsid w:val="005F3FB7"/>
    <w:rsid w:val="005F4281"/>
    <w:rsid w:val="005F4671"/>
    <w:rsid w:val="005F47B3"/>
    <w:rsid w:val="005F4A88"/>
    <w:rsid w:val="005F4C7B"/>
    <w:rsid w:val="005F50E5"/>
    <w:rsid w:val="005F5963"/>
    <w:rsid w:val="005F5BB4"/>
    <w:rsid w:val="005F5E53"/>
    <w:rsid w:val="005F5F17"/>
    <w:rsid w:val="005F6468"/>
    <w:rsid w:val="005F6D98"/>
    <w:rsid w:val="005F7664"/>
    <w:rsid w:val="005F792A"/>
    <w:rsid w:val="005F7D3F"/>
    <w:rsid w:val="00600087"/>
    <w:rsid w:val="00600370"/>
    <w:rsid w:val="006005E6"/>
    <w:rsid w:val="00600B75"/>
    <w:rsid w:val="00600D7D"/>
    <w:rsid w:val="00600DA8"/>
    <w:rsid w:val="006011D9"/>
    <w:rsid w:val="006015C1"/>
    <w:rsid w:val="00601624"/>
    <w:rsid w:val="00601650"/>
    <w:rsid w:val="0060191B"/>
    <w:rsid w:val="006019E3"/>
    <w:rsid w:val="00601B1E"/>
    <w:rsid w:val="00602177"/>
    <w:rsid w:val="006022C8"/>
    <w:rsid w:val="00602355"/>
    <w:rsid w:val="006027DD"/>
    <w:rsid w:val="006029F5"/>
    <w:rsid w:val="00602B12"/>
    <w:rsid w:val="00602CB9"/>
    <w:rsid w:val="00602DF3"/>
    <w:rsid w:val="00603A4C"/>
    <w:rsid w:val="00603C5E"/>
    <w:rsid w:val="00603CB4"/>
    <w:rsid w:val="00603D57"/>
    <w:rsid w:val="00603DFB"/>
    <w:rsid w:val="006041C4"/>
    <w:rsid w:val="0060493C"/>
    <w:rsid w:val="00604BD1"/>
    <w:rsid w:val="00604DD6"/>
    <w:rsid w:val="00604EEF"/>
    <w:rsid w:val="006051D1"/>
    <w:rsid w:val="006053EC"/>
    <w:rsid w:val="00605AFD"/>
    <w:rsid w:val="00605B97"/>
    <w:rsid w:val="00605C5E"/>
    <w:rsid w:val="006062B4"/>
    <w:rsid w:val="00606E1A"/>
    <w:rsid w:val="00606FEA"/>
    <w:rsid w:val="00607455"/>
    <w:rsid w:val="0060758C"/>
    <w:rsid w:val="00607A89"/>
    <w:rsid w:val="00607CFA"/>
    <w:rsid w:val="00607EAA"/>
    <w:rsid w:val="006102A2"/>
    <w:rsid w:val="006103C5"/>
    <w:rsid w:val="00610C84"/>
    <w:rsid w:val="00610FA4"/>
    <w:rsid w:val="006114EF"/>
    <w:rsid w:val="006119E3"/>
    <w:rsid w:val="00611BE9"/>
    <w:rsid w:val="00611EBF"/>
    <w:rsid w:val="006123D4"/>
    <w:rsid w:val="00612C31"/>
    <w:rsid w:val="00613502"/>
    <w:rsid w:val="006136D5"/>
    <w:rsid w:val="00613732"/>
    <w:rsid w:val="006139BB"/>
    <w:rsid w:val="00613A9D"/>
    <w:rsid w:val="00614050"/>
    <w:rsid w:val="0061445B"/>
    <w:rsid w:val="0061460B"/>
    <w:rsid w:val="00615B7E"/>
    <w:rsid w:val="00615CEA"/>
    <w:rsid w:val="00615CEE"/>
    <w:rsid w:val="00615D84"/>
    <w:rsid w:val="00615F3A"/>
    <w:rsid w:val="00616017"/>
    <w:rsid w:val="0061664B"/>
    <w:rsid w:val="00616AA9"/>
    <w:rsid w:val="00616B66"/>
    <w:rsid w:val="00616D6A"/>
    <w:rsid w:val="00616DE6"/>
    <w:rsid w:val="00616E7B"/>
    <w:rsid w:val="0061706F"/>
    <w:rsid w:val="0061727C"/>
    <w:rsid w:val="0061778C"/>
    <w:rsid w:val="006178D9"/>
    <w:rsid w:val="00617F6C"/>
    <w:rsid w:val="00620170"/>
    <w:rsid w:val="00620791"/>
    <w:rsid w:val="00620E20"/>
    <w:rsid w:val="006212C9"/>
    <w:rsid w:val="006213FA"/>
    <w:rsid w:val="006219F6"/>
    <w:rsid w:val="00621C46"/>
    <w:rsid w:val="00622A68"/>
    <w:rsid w:val="00622D1A"/>
    <w:rsid w:val="00622EBE"/>
    <w:rsid w:val="00623026"/>
    <w:rsid w:val="0062332C"/>
    <w:rsid w:val="00623331"/>
    <w:rsid w:val="006236E0"/>
    <w:rsid w:val="00623B03"/>
    <w:rsid w:val="006240CB"/>
    <w:rsid w:val="006244D7"/>
    <w:rsid w:val="00624BD1"/>
    <w:rsid w:val="00624C4B"/>
    <w:rsid w:val="0062525F"/>
    <w:rsid w:val="006259CF"/>
    <w:rsid w:val="00625A19"/>
    <w:rsid w:val="00625A8F"/>
    <w:rsid w:val="00625A97"/>
    <w:rsid w:val="00625AB6"/>
    <w:rsid w:val="00625B28"/>
    <w:rsid w:val="0062670D"/>
    <w:rsid w:val="00626913"/>
    <w:rsid w:val="0062709F"/>
    <w:rsid w:val="006270CB"/>
    <w:rsid w:val="006273DE"/>
    <w:rsid w:val="006278B3"/>
    <w:rsid w:val="00627AE4"/>
    <w:rsid w:val="00627AF9"/>
    <w:rsid w:val="00627C4B"/>
    <w:rsid w:val="00627E62"/>
    <w:rsid w:val="00630426"/>
    <w:rsid w:val="006305F0"/>
    <w:rsid w:val="00630763"/>
    <w:rsid w:val="00630D0B"/>
    <w:rsid w:val="00631DD7"/>
    <w:rsid w:val="00631ED5"/>
    <w:rsid w:val="0063222A"/>
    <w:rsid w:val="00632340"/>
    <w:rsid w:val="006323C1"/>
    <w:rsid w:val="00632EBB"/>
    <w:rsid w:val="00633CB4"/>
    <w:rsid w:val="00633D09"/>
    <w:rsid w:val="00633E44"/>
    <w:rsid w:val="006344F4"/>
    <w:rsid w:val="00634C81"/>
    <w:rsid w:val="00634CFE"/>
    <w:rsid w:val="00634E2E"/>
    <w:rsid w:val="00635060"/>
    <w:rsid w:val="006350E3"/>
    <w:rsid w:val="00635459"/>
    <w:rsid w:val="00635527"/>
    <w:rsid w:val="00635611"/>
    <w:rsid w:val="00635B15"/>
    <w:rsid w:val="0063640B"/>
    <w:rsid w:val="0063679A"/>
    <w:rsid w:val="00636C74"/>
    <w:rsid w:val="00636F74"/>
    <w:rsid w:val="006373E6"/>
    <w:rsid w:val="00637693"/>
    <w:rsid w:val="00637949"/>
    <w:rsid w:val="00640254"/>
    <w:rsid w:val="00640375"/>
    <w:rsid w:val="006406F3"/>
    <w:rsid w:val="006408E9"/>
    <w:rsid w:val="00640908"/>
    <w:rsid w:val="00640915"/>
    <w:rsid w:val="00640A81"/>
    <w:rsid w:val="00641034"/>
    <w:rsid w:val="0064106E"/>
    <w:rsid w:val="006419AF"/>
    <w:rsid w:val="00641AA7"/>
    <w:rsid w:val="006420A4"/>
    <w:rsid w:val="006420B6"/>
    <w:rsid w:val="00642B4A"/>
    <w:rsid w:val="006436C0"/>
    <w:rsid w:val="006438C9"/>
    <w:rsid w:val="00644030"/>
    <w:rsid w:val="006444FF"/>
    <w:rsid w:val="00644548"/>
    <w:rsid w:val="0064470A"/>
    <w:rsid w:val="0064496E"/>
    <w:rsid w:val="00644C68"/>
    <w:rsid w:val="00644C70"/>
    <w:rsid w:val="00644E43"/>
    <w:rsid w:val="006454FD"/>
    <w:rsid w:val="006456BF"/>
    <w:rsid w:val="00645C8B"/>
    <w:rsid w:val="006462A4"/>
    <w:rsid w:val="006469CC"/>
    <w:rsid w:val="00646C36"/>
    <w:rsid w:val="00646DD1"/>
    <w:rsid w:val="00646DE2"/>
    <w:rsid w:val="0064726B"/>
    <w:rsid w:val="006472C6"/>
    <w:rsid w:val="006475A5"/>
    <w:rsid w:val="006479E2"/>
    <w:rsid w:val="00647A5B"/>
    <w:rsid w:val="00647C3F"/>
    <w:rsid w:val="00650037"/>
    <w:rsid w:val="00650272"/>
    <w:rsid w:val="006507B1"/>
    <w:rsid w:val="006509A7"/>
    <w:rsid w:val="00650B9C"/>
    <w:rsid w:val="006514C7"/>
    <w:rsid w:val="00651BD5"/>
    <w:rsid w:val="00652097"/>
    <w:rsid w:val="00652380"/>
    <w:rsid w:val="00652412"/>
    <w:rsid w:val="00652D63"/>
    <w:rsid w:val="00653609"/>
    <w:rsid w:val="00653E89"/>
    <w:rsid w:val="0065420E"/>
    <w:rsid w:val="00654330"/>
    <w:rsid w:val="006547DE"/>
    <w:rsid w:val="00654C83"/>
    <w:rsid w:val="006552E4"/>
    <w:rsid w:val="00655353"/>
    <w:rsid w:val="006553A1"/>
    <w:rsid w:val="00655418"/>
    <w:rsid w:val="006554F1"/>
    <w:rsid w:val="00655BAE"/>
    <w:rsid w:val="00655D5D"/>
    <w:rsid w:val="00655E65"/>
    <w:rsid w:val="006565B2"/>
    <w:rsid w:val="00656E3D"/>
    <w:rsid w:val="00656E54"/>
    <w:rsid w:val="00656F59"/>
    <w:rsid w:val="00656F82"/>
    <w:rsid w:val="00657088"/>
    <w:rsid w:val="006570AC"/>
    <w:rsid w:val="00657224"/>
    <w:rsid w:val="0065722E"/>
    <w:rsid w:val="006572BD"/>
    <w:rsid w:val="00657380"/>
    <w:rsid w:val="00657DD5"/>
    <w:rsid w:val="0066019A"/>
    <w:rsid w:val="0066046B"/>
    <w:rsid w:val="006604F6"/>
    <w:rsid w:val="00660DE8"/>
    <w:rsid w:val="0066101A"/>
    <w:rsid w:val="00661231"/>
    <w:rsid w:val="0066155A"/>
    <w:rsid w:val="0066157E"/>
    <w:rsid w:val="0066175E"/>
    <w:rsid w:val="00661859"/>
    <w:rsid w:val="00661E5B"/>
    <w:rsid w:val="00661E5E"/>
    <w:rsid w:val="006623DA"/>
    <w:rsid w:val="00662885"/>
    <w:rsid w:val="00663109"/>
    <w:rsid w:val="0066397E"/>
    <w:rsid w:val="006639D4"/>
    <w:rsid w:val="006639FB"/>
    <w:rsid w:val="00663FAA"/>
    <w:rsid w:val="006642A5"/>
    <w:rsid w:val="00664521"/>
    <w:rsid w:val="00664657"/>
    <w:rsid w:val="00664F35"/>
    <w:rsid w:val="006654F4"/>
    <w:rsid w:val="00665DA7"/>
    <w:rsid w:val="00665FB1"/>
    <w:rsid w:val="00666391"/>
    <w:rsid w:val="00666FE9"/>
    <w:rsid w:val="00667109"/>
    <w:rsid w:val="006708BA"/>
    <w:rsid w:val="00671319"/>
    <w:rsid w:val="00671517"/>
    <w:rsid w:val="00671A12"/>
    <w:rsid w:val="00671DB1"/>
    <w:rsid w:val="00671F15"/>
    <w:rsid w:val="006728F1"/>
    <w:rsid w:val="00672B5D"/>
    <w:rsid w:val="00672BF0"/>
    <w:rsid w:val="00673189"/>
    <w:rsid w:val="00673686"/>
    <w:rsid w:val="0067368F"/>
    <w:rsid w:val="00673AF5"/>
    <w:rsid w:val="00673FC0"/>
    <w:rsid w:val="00674900"/>
    <w:rsid w:val="00674C08"/>
    <w:rsid w:val="00675167"/>
    <w:rsid w:val="00675699"/>
    <w:rsid w:val="006756C7"/>
    <w:rsid w:val="00675CC1"/>
    <w:rsid w:val="0067622C"/>
    <w:rsid w:val="0067632A"/>
    <w:rsid w:val="00676498"/>
    <w:rsid w:val="00676A6D"/>
    <w:rsid w:val="00676BDD"/>
    <w:rsid w:val="0067718F"/>
    <w:rsid w:val="00677FD1"/>
    <w:rsid w:val="0068090C"/>
    <w:rsid w:val="00680BB2"/>
    <w:rsid w:val="00680CA0"/>
    <w:rsid w:val="00680D05"/>
    <w:rsid w:val="0068169F"/>
    <w:rsid w:val="00681775"/>
    <w:rsid w:val="006818B7"/>
    <w:rsid w:val="00681980"/>
    <w:rsid w:val="00681BFD"/>
    <w:rsid w:val="00682249"/>
    <w:rsid w:val="0068282D"/>
    <w:rsid w:val="00682F05"/>
    <w:rsid w:val="006831CF"/>
    <w:rsid w:val="00683E46"/>
    <w:rsid w:val="00683EA8"/>
    <w:rsid w:val="00683ED7"/>
    <w:rsid w:val="00684277"/>
    <w:rsid w:val="006842B0"/>
    <w:rsid w:val="0068467E"/>
    <w:rsid w:val="0068497E"/>
    <w:rsid w:val="00684AE3"/>
    <w:rsid w:val="00684BE2"/>
    <w:rsid w:val="00684C2D"/>
    <w:rsid w:val="00684F88"/>
    <w:rsid w:val="00685B52"/>
    <w:rsid w:val="00685CF7"/>
    <w:rsid w:val="00685D78"/>
    <w:rsid w:val="006860E8"/>
    <w:rsid w:val="00686165"/>
    <w:rsid w:val="0068672F"/>
    <w:rsid w:val="00686FB0"/>
    <w:rsid w:val="00687CC2"/>
    <w:rsid w:val="00687E56"/>
    <w:rsid w:val="00690424"/>
    <w:rsid w:val="006909A9"/>
    <w:rsid w:val="006909F6"/>
    <w:rsid w:val="006909FA"/>
    <w:rsid w:val="00690A49"/>
    <w:rsid w:val="00691015"/>
    <w:rsid w:val="00691108"/>
    <w:rsid w:val="006911DC"/>
    <w:rsid w:val="00691BF5"/>
    <w:rsid w:val="00691CB5"/>
    <w:rsid w:val="00691E94"/>
    <w:rsid w:val="0069207F"/>
    <w:rsid w:val="006923DF"/>
    <w:rsid w:val="00692517"/>
    <w:rsid w:val="0069343E"/>
    <w:rsid w:val="006936B8"/>
    <w:rsid w:val="0069386F"/>
    <w:rsid w:val="00693CD0"/>
    <w:rsid w:val="00694D79"/>
    <w:rsid w:val="00694EDD"/>
    <w:rsid w:val="006957BB"/>
    <w:rsid w:val="006961C5"/>
    <w:rsid w:val="006969CE"/>
    <w:rsid w:val="00696AFC"/>
    <w:rsid w:val="0069732F"/>
    <w:rsid w:val="0069760E"/>
    <w:rsid w:val="006A00D0"/>
    <w:rsid w:val="006A01C4"/>
    <w:rsid w:val="006A0917"/>
    <w:rsid w:val="006A0C1C"/>
    <w:rsid w:val="006A0CDC"/>
    <w:rsid w:val="006A1471"/>
    <w:rsid w:val="006A15F8"/>
    <w:rsid w:val="006A163E"/>
    <w:rsid w:val="006A170B"/>
    <w:rsid w:val="006A220B"/>
    <w:rsid w:val="006A23C9"/>
    <w:rsid w:val="006A24D2"/>
    <w:rsid w:val="006A2819"/>
    <w:rsid w:val="006A28A6"/>
    <w:rsid w:val="006A377D"/>
    <w:rsid w:val="006A37F5"/>
    <w:rsid w:val="006A425D"/>
    <w:rsid w:val="006A4275"/>
    <w:rsid w:val="006A4548"/>
    <w:rsid w:val="006A46A9"/>
    <w:rsid w:val="006A4BF1"/>
    <w:rsid w:val="006A5159"/>
    <w:rsid w:val="006A57C6"/>
    <w:rsid w:val="006A5978"/>
    <w:rsid w:val="006A5B37"/>
    <w:rsid w:val="006A5B92"/>
    <w:rsid w:val="006A5EC3"/>
    <w:rsid w:val="006A7034"/>
    <w:rsid w:val="006A7230"/>
    <w:rsid w:val="006B026E"/>
    <w:rsid w:val="006B087B"/>
    <w:rsid w:val="006B0B12"/>
    <w:rsid w:val="006B0B2A"/>
    <w:rsid w:val="006B127E"/>
    <w:rsid w:val="006B1380"/>
    <w:rsid w:val="006B1E07"/>
    <w:rsid w:val="006B1E26"/>
    <w:rsid w:val="006B1F15"/>
    <w:rsid w:val="006B20C1"/>
    <w:rsid w:val="006B2CAC"/>
    <w:rsid w:val="006B3355"/>
    <w:rsid w:val="006B348A"/>
    <w:rsid w:val="006B364F"/>
    <w:rsid w:val="006B3809"/>
    <w:rsid w:val="006B38FF"/>
    <w:rsid w:val="006B3DE6"/>
    <w:rsid w:val="006B3F79"/>
    <w:rsid w:val="006B41A9"/>
    <w:rsid w:val="006B45F6"/>
    <w:rsid w:val="006B47A6"/>
    <w:rsid w:val="006B47D1"/>
    <w:rsid w:val="006B487C"/>
    <w:rsid w:val="006B4AA8"/>
    <w:rsid w:val="006B5444"/>
    <w:rsid w:val="006B554B"/>
    <w:rsid w:val="006B5929"/>
    <w:rsid w:val="006B5F34"/>
    <w:rsid w:val="006B6799"/>
    <w:rsid w:val="006B6988"/>
    <w:rsid w:val="006B6FD3"/>
    <w:rsid w:val="006B7D04"/>
    <w:rsid w:val="006C0446"/>
    <w:rsid w:val="006C0560"/>
    <w:rsid w:val="006C071F"/>
    <w:rsid w:val="006C0921"/>
    <w:rsid w:val="006C0AE4"/>
    <w:rsid w:val="006C0EE0"/>
    <w:rsid w:val="006C107E"/>
    <w:rsid w:val="006C12D0"/>
    <w:rsid w:val="006C1892"/>
    <w:rsid w:val="006C1F08"/>
    <w:rsid w:val="006C239E"/>
    <w:rsid w:val="006C26F7"/>
    <w:rsid w:val="006C2A28"/>
    <w:rsid w:val="006C2CD2"/>
    <w:rsid w:val="006C2F5B"/>
    <w:rsid w:val="006C308B"/>
    <w:rsid w:val="006C3291"/>
    <w:rsid w:val="006C336B"/>
    <w:rsid w:val="006C33C1"/>
    <w:rsid w:val="006C346A"/>
    <w:rsid w:val="006C422C"/>
    <w:rsid w:val="006C4323"/>
    <w:rsid w:val="006C4856"/>
    <w:rsid w:val="006C4C8B"/>
    <w:rsid w:val="006C579B"/>
    <w:rsid w:val="006C5B19"/>
    <w:rsid w:val="006C5B73"/>
    <w:rsid w:val="006C5EDF"/>
    <w:rsid w:val="006C6049"/>
    <w:rsid w:val="006C645D"/>
    <w:rsid w:val="006C65AA"/>
    <w:rsid w:val="006C6B31"/>
    <w:rsid w:val="006C78EA"/>
    <w:rsid w:val="006C7979"/>
    <w:rsid w:val="006C79E2"/>
    <w:rsid w:val="006C7B54"/>
    <w:rsid w:val="006D0108"/>
    <w:rsid w:val="006D087E"/>
    <w:rsid w:val="006D12A8"/>
    <w:rsid w:val="006D13F7"/>
    <w:rsid w:val="006D1CDE"/>
    <w:rsid w:val="006D253A"/>
    <w:rsid w:val="006D2FD4"/>
    <w:rsid w:val="006D3AB9"/>
    <w:rsid w:val="006D41CA"/>
    <w:rsid w:val="006D49C3"/>
    <w:rsid w:val="006D4D04"/>
    <w:rsid w:val="006D50CD"/>
    <w:rsid w:val="006D5550"/>
    <w:rsid w:val="006D55C0"/>
    <w:rsid w:val="006D56DA"/>
    <w:rsid w:val="006D5A9C"/>
    <w:rsid w:val="006D5B01"/>
    <w:rsid w:val="006D5DB2"/>
    <w:rsid w:val="006D6847"/>
    <w:rsid w:val="006D68B0"/>
    <w:rsid w:val="006D697C"/>
    <w:rsid w:val="006D699D"/>
    <w:rsid w:val="006D6C6A"/>
    <w:rsid w:val="006D6F0E"/>
    <w:rsid w:val="006D7661"/>
    <w:rsid w:val="006D7723"/>
    <w:rsid w:val="006D77E6"/>
    <w:rsid w:val="006E00FB"/>
    <w:rsid w:val="006E03F0"/>
    <w:rsid w:val="006E06D4"/>
    <w:rsid w:val="006E06FD"/>
    <w:rsid w:val="006E0A5C"/>
    <w:rsid w:val="006E0D5E"/>
    <w:rsid w:val="006E10A0"/>
    <w:rsid w:val="006E19D3"/>
    <w:rsid w:val="006E1A81"/>
    <w:rsid w:val="006E1BAF"/>
    <w:rsid w:val="006E1CC0"/>
    <w:rsid w:val="006E1E60"/>
    <w:rsid w:val="006E1F9D"/>
    <w:rsid w:val="006E2246"/>
    <w:rsid w:val="006E2345"/>
    <w:rsid w:val="006E24A2"/>
    <w:rsid w:val="006E2D2A"/>
    <w:rsid w:val="006E2DBE"/>
    <w:rsid w:val="006E2DCC"/>
    <w:rsid w:val="006E3623"/>
    <w:rsid w:val="006E3684"/>
    <w:rsid w:val="006E3A63"/>
    <w:rsid w:val="006E3CC3"/>
    <w:rsid w:val="006E3D0B"/>
    <w:rsid w:val="006E412F"/>
    <w:rsid w:val="006E4486"/>
    <w:rsid w:val="006E451C"/>
    <w:rsid w:val="006E47E7"/>
    <w:rsid w:val="006E4CF3"/>
    <w:rsid w:val="006E617E"/>
    <w:rsid w:val="006E63EC"/>
    <w:rsid w:val="006E6521"/>
    <w:rsid w:val="006E6854"/>
    <w:rsid w:val="006E6B25"/>
    <w:rsid w:val="006E6BDB"/>
    <w:rsid w:val="006E6C24"/>
    <w:rsid w:val="006E6FBE"/>
    <w:rsid w:val="006E76B7"/>
    <w:rsid w:val="006F0056"/>
    <w:rsid w:val="006F00A6"/>
    <w:rsid w:val="006F07A2"/>
    <w:rsid w:val="006F0AE9"/>
    <w:rsid w:val="006F0F55"/>
    <w:rsid w:val="006F191E"/>
    <w:rsid w:val="006F19B6"/>
    <w:rsid w:val="006F1CE4"/>
    <w:rsid w:val="006F1FE1"/>
    <w:rsid w:val="006F230B"/>
    <w:rsid w:val="006F2396"/>
    <w:rsid w:val="006F2573"/>
    <w:rsid w:val="006F25D9"/>
    <w:rsid w:val="006F2605"/>
    <w:rsid w:val="006F36D0"/>
    <w:rsid w:val="006F379E"/>
    <w:rsid w:val="006F3A30"/>
    <w:rsid w:val="006F3CB3"/>
    <w:rsid w:val="006F465F"/>
    <w:rsid w:val="006F47BC"/>
    <w:rsid w:val="006F487B"/>
    <w:rsid w:val="006F53A5"/>
    <w:rsid w:val="006F570B"/>
    <w:rsid w:val="006F5A9D"/>
    <w:rsid w:val="006F5E16"/>
    <w:rsid w:val="006F63C6"/>
    <w:rsid w:val="006F6659"/>
    <w:rsid w:val="006F6CDC"/>
    <w:rsid w:val="006F7004"/>
    <w:rsid w:val="006F70FD"/>
    <w:rsid w:val="006F725E"/>
    <w:rsid w:val="006F7A9A"/>
    <w:rsid w:val="006F7AEC"/>
    <w:rsid w:val="006F7B5A"/>
    <w:rsid w:val="006F7CF0"/>
    <w:rsid w:val="0070035F"/>
    <w:rsid w:val="00700451"/>
    <w:rsid w:val="007007BF"/>
    <w:rsid w:val="007007F7"/>
    <w:rsid w:val="007014A0"/>
    <w:rsid w:val="00701966"/>
    <w:rsid w:val="00701EC2"/>
    <w:rsid w:val="0070243F"/>
    <w:rsid w:val="00702844"/>
    <w:rsid w:val="00702DA3"/>
    <w:rsid w:val="00702E29"/>
    <w:rsid w:val="00702FB8"/>
    <w:rsid w:val="00703251"/>
    <w:rsid w:val="00703556"/>
    <w:rsid w:val="00704D16"/>
    <w:rsid w:val="00704DBC"/>
    <w:rsid w:val="00704F64"/>
    <w:rsid w:val="00705334"/>
    <w:rsid w:val="0070566F"/>
    <w:rsid w:val="007057E3"/>
    <w:rsid w:val="00705822"/>
    <w:rsid w:val="00705E9F"/>
    <w:rsid w:val="00706116"/>
    <w:rsid w:val="007061C5"/>
    <w:rsid w:val="00706200"/>
    <w:rsid w:val="007063FB"/>
    <w:rsid w:val="0070682A"/>
    <w:rsid w:val="00706B54"/>
    <w:rsid w:val="00706CE8"/>
    <w:rsid w:val="00706E8E"/>
    <w:rsid w:val="00707231"/>
    <w:rsid w:val="00707903"/>
    <w:rsid w:val="00707CB6"/>
    <w:rsid w:val="00707FEF"/>
    <w:rsid w:val="00710163"/>
    <w:rsid w:val="00710764"/>
    <w:rsid w:val="00710AD5"/>
    <w:rsid w:val="00710CA6"/>
    <w:rsid w:val="00711175"/>
    <w:rsid w:val="0071163B"/>
    <w:rsid w:val="0071192E"/>
    <w:rsid w:val="00711BC0"/>
    <w:rsid w:val="00711FEA"/>
    <w:rsid w:val="00712E4B"/>
    <w:rsid w:val="00713C6D"/>
    <w:rsid w:val="00713EFE"/>
    <w:rsid w:val="0071401C"/>
    <w:rsid w:val="007140E9"/>
    <w:rsid w:val="00714103"/>
    <w:rsid w:val="00714117"/>
    <w:rsid w:val="00714238"/>
    <w:rsid w:val="0071425B"/>
    <w:rsid w:val="00714CEB"/>
    <w:rsid w:val="00714E49"/>
    <w:rsid w:val="007151F2"/>
    <w:rsid w:val="00715428"/>
    <w:rsid w:val="007154A3"/>
    <w:rsid w:val="007155E1"/>
    <w:rsid w:val="00715A1C"/>
    <w:rsid w:val="0071604F"/>
    <w:rsid w:val="0071605E"/>
    <w:rsid w:val="007161FF"/>
    <w:rsid w:val="00716D7D"/>
    <w:rsid w:val="00716DB1"/>
    <w:rsid w:val="0071716D"/>
    <w:rsid w:val="007172FE"/>
    <w:rsid w:val="00720425"/>
    <w:rsid w:val="007206D7"/>
    <w:rsid w:val="00720940"/>
    <w:rsid w:val="00721056"/>
    <w:rsid w:val="00721536"/>
    <w:rsid w:val="00721587"/>
    <w:rsid w:val="00721843"/>
    <w:rsid w:val="0072186B"/>
    <w:rsid w:val="007218B9"/>
    <w:rsid w:val="00721909"/>
    <w:rsid w:val="0072197D"/>
    <w:rsid w:val="00721984"/>
    <w:rsid w:val="007219E0"/>
    <w:rsid w:val="00722394"/>
    <w:rsid w:val="007225E4"/>
    <w:rsid w:val="00722B53"/>
    <w:rsid w:val="00722B5D"/>
    <w:rsid w:val="00722EC6"/>
    <w:rsid w:val="0072321D"/>
    <w:rsid w:val="0072328B"/>
    <w:rsid w:val="00723595"/>
    <w:rsid w:val="00723899"/>
    <w:rsid w:val="00723AFF"/>
    <w:rsid w:val="00723ED9"/>
    <w:rsid w:val="0072410F"/>
    <w:rsid w:val="00724319"/>
    <w:rsid w:val="00724651"/>
    <w:rsid w:val="00724C86"/>
    <w:rsid w:val="00724D74"/>
    <w:rsid w:val="00724D75"/>
    <w:rsid w:val="007250F8"/>
    <w:rsid w:val="00725112"/>
    <w:rsid w:val="0072515B"/>
    <w:rsid w:val="007254AF"/>
    <w:rsid w:val="0072550D"/>
    <w:rsid w:val="0072558B"/>
    <w:rsid w:val="00725616"/>
    <w:rsid w:val="00725780"/>
    <w:rsid w:val="00725DC9"/>
    <w:rsid w:val="00725EF2"/>
    <w:rsid w:val="00725F47"/>
    <w:rsid w:val="0072644B"/>
    <w:rsid w:val="00726AB5"/>
    <w:rsid w:val="00726D68"/>
    <w:rsid w:val="00726E26"/>
    <w:rsid w:val="007272ED"/>
    <w:rsid w:val="00727401"/>
    <w:rsid w:val="007276BA"/>
    <w:rsid w:val="00727A58"/>
    <w:rsid w:val="00727C02"/>
    <w:rsid w:val="00727DA5"/>
    <w:rsid w:val="00730C5C"/>
    <w:rsid w:val="00731151"/>
    <w:rsid w:val="00731202"/>
    <w:rsid w:val="007313B6"/>
    <w:rsid w:val="0073179C"/>
    <w:rsid w:val="0073182B"/>
    <w:rsid w:val="00731B07"/>
    <w:rsid w:val="007321F2"/>
    <w:rsid w:val="00732443"/>
    <w:rsid w:val="007324A7"/>
    <w:rsid w:val="007328F1"/>
    <w:rsid w:val="0073321C"/>
    <w:rsid w:val="007335D7"/>
    <w:rsid w:val="00733CF4"/>
    <w:rsid w:val="00734246"/>
    <w:rsid w:val="007349A8"/>
    <w:rsid w:val="00734BB6"/>
    <w:rsid w:val="00734CFA"/>
    <w:rsid w:val="0073510D"/>
    <w:rsid w:val="007352EC"/>
    <w:rsid w:val="007355F2"/>
    <w:rsid w:val="00735825"/>
    <w:rsid w:val="007359D8"/>
    <w:rsid w:val="00736331"/>
    <w:rsid w:val="00736C37"/>
    <w:rsid w:val="00736F4E"/>
    <w:rsid w:val="00737893"/>
    <w:rsid w:val="00737B4E"/>
    <w:rsid w:val="00737E6F"/>
    <w:rsid w:val="00740295"/>
    <w:rsid w:val="0074054A"/>
    <w:rsid w:val="00740F12"/>
    <w:rsid w:val="00741099"/>
    <w:rsid w:val="00741579"/>
    <w:rsid w:val="0074184F"/>
    <w:rsid w:val="0074233E"/>
    <w:rsid w:val="00742366"/>
    <w:rsid w:val="00742B58"/>
    <w:rsid w:val="00742BFD"/>
    <w:rsid w:val="00742C05"/>
    <w:rsid w:val="007434AD"/>
    <w:rsid w:val="00743A67"/>
    <w:rsid w:val="00743B9E"/>
    <w:rsid w:val="0074429F"/>
    <w:rsid w:val="00744484"/>
    <w:rsid w:val="00744E2D"/>
    <w:rsid w:val="00744E7D"/>
    <w:rsid w:val="00745BAD"/>
    <w:rsid w:val="00745F4F"/>
    <w:rsid w:val="007464E1"/>
    <w:rsid w:val="00746BA3"/>
    <w:rsid w:val="00747416"/>
    <w:rsid w:val="00747A72"/>
    <w:rsid w:val="00747C62"/>
    <w:rsid w:val="00747EF0"/>
    <w:rsid w:val="00747EFA"/>
    <w:rsid w:val="00750172"/>
    <w:rsid w:val="0075097A"/>
    <w:rsid w:val="007509DD"/>
    <w:rsid w:val="00750BB1"/>
    <w:rsid w:val="00750D15"/>
    <w:rsid w:val="00750E73"/>
    <w:rsid w:val="00750F47"/>
    <w:rsid w:val="00750F52"/>
    <w:rsid w:val="00751190"/>
    <w:rsid w:val="00751450"/>
    <w:rsid w:val="0075165F"/>
    <w:rsid w:val="00751D44"/>
    <w:rsid w:val="00752368"/>
    <w:rsid w:val="00752F68"/>
    <w:rsid w:val="00753201"/>
    <w:rsid w:val="007535A4"/>
    <w:rsid w:val="007546CD"/>
    <w:rsid w:val="007547BD"/>
    <w:rsid w:val="00754F17"/>
    <w:rsid w:val="00755331"/>
    <w:rsid w:val="00755642"/>
    <w:rsid w:val="007557AF"/>
    <w:rsid w:val="00755AAD"/>
    <w:rsid w:val="007560A9"/>
    <w:rsid w:val="007567AC"/>
    <w:rsid w:val="007567FB"/>
    <w:rsid w:val="00756928"/>
    <w:rsid w:val="00756A6F"/>
    <w:rsid w:val="00756B8C"/>
    <w:rsid w:val="00757628"/>
    <w:rsid w:val="00760705"/>
    <w:rsid w:val="00760E9A"/>
    <w:rsid w:val="00760EB7"/>
    <w:rsid w:val="007612D8"/>
    <w:rsid w:val="007614CB"/>
    <w:rsid w:val="00761837"/>
    <w:rsid w:val="007622BA"/>
    <w:rsid w:val="007627BF"/>
    <w:rsid w:val="00762938"/>
    <w:rsid w:val="00762F90"/>
    <w:rsid w:val="007630D6"/>
    <w:rsid w:val="00763474"/>
    <w:rsid w:val="007640FB"/>
    <w:rsid w:val="007641C5"/>
    <w:rsid w:val="007642F2"/>
    <w:rsid w:val="007645B7"/>
    <w:rsid w:val="00764B3C"/>
    <w:rsid w:val="00764C3D"/>
    <w:rsid w:val="0076511E"/>
    <w:rsid w:val="007653EF"/>
    <w:rsid w:val="0076546F"/>
    <w:rsid w:val="00765910"/>
    <w:rsid w:val="00765B84"/>
    <w:rsid w:val="00766184"/>
    <w:rsid w:val="00766428"/>
    <w:rsid w:val="007668FD"/>
    <w:rsid w:val="00766A49"/>
    <w:rsid w:val="00766DF0"/>
    <w:rsid w:val="00767E56"/>
    <w:rsid w:val="00767ECA"/>
    <w:rsid w:val="00767F69"/>
    <w:rsid w:val="00770272"/>
    <w:rsid w:val="007704B0"/>
    <w:rsid w:val="00770D00"/>
    <w:rsid w:val="007715A9"/>
    <w:rsid w:val="00771932"/>
    <w:rsid w:val="007719CA"/>
    <w:rsid w:val="00771CA6"/>
    <w:rsid w:val="00772073"/>
    <w:rsid w:val="007721B3"/>
    <w:rsid w:val="00772449"/>
    <w:rsid w:val="00772557"/>
    <w:rsid w:val="00772B12"/>
    <w:rsid w:val="00772B22"/>
    <w:rsid w:val="0077351E"/>
    <w:rsid w:val="0077447E"/>
    <w:rsid w:val="00774E2C"/>
    <w:rsid w:val="00774F51"/>
    <w:rsid w:val="00775057"/>
    <w:rsid w:val="0077527A"/>
    <w:rsid w:val="00775423"/>
    <w:rsid w:val="007755A4"/>
    <w:rsid w:val="0077582C"/>
    <w:rsid w:val="00775835"/>
    <w:rsid w:val="00775ECE"/>
    <w:rsid w:val="00775FBB"/>
    <w:rsid w:val="00775FF5"/>
    <w:rsid w:val="007760AA"/>
    <w:rsid w:val="007764DD"/>
    <w:rsid w:val="00776521"/>
    <w:rsid w:val="007768E0"/>
    <w:rsid w:val="00776AC8"/>
    <w:rsid w:val="007776F7"/>
    <w:rsid w:val="00777B2F"/>
    <w:rsid w:val="0078087D"/>
    <w:rsid w:val="0078096C"/>
    <w:rsid w:val="00781024"/>
    <w:rsid w:val="0078134F"/>
    <w:rsid w:val="0078185D"/>
    <w:rsid w:val="007818E1"/>
    <w:rsid w:val="0078257B"/>
    <w:rsid w:val="007828EC"/>
    <w:rsid w:val="00782937"/>
    <w:rsid w:val="00783851"/>
    <w:rsid w:val="0078387D"/>
    <w:rsid w:val="00783D75"/>
    <w:rsid w:val="00784268"/>
    <w:rsid w:val="00784425"/>
    <w:rsid w:val="00784567"/>
    <w:rsid w:val="00784A3F"/>
    <w:rsid w:val="00784C0A"/>
    <w:rsid w:val="00784DD7"/>
    <w:rsid w:val="00784FEF"/>
    <w:rsid w:val="00784FFE"/>
    <w:rsid w:val="007850F8"/>
    <w:rsid w:val="00785772"/>
    <w:rsid w:val="007858AD"/>
    <w:rsid w:val="00785918"/>
    <w:rsid w:val="00785AFD"/>
    <w:rsid w:val="00785B41"/>
    <w:rsid w:val="00785B5A"/>
    <w:rsid w:val="00785BA7"/>
    <w:rsid w:val="007868C4"/>
    <w:rsid w:val="0078704A"/>
    <w:rsid w:val="0078755A"/>
    <w:rsid w:val="0078794D"/>
    <w:rsid w:val="00787DA7"/>
    <w:rsid w:val="00790783"/>
    <w:rsid w:val="00790B9B"/>
    <w:rsid w:val="0079141B"/>
    <w:rsid w:val="007919D7"/>
    <w:rsid w:val="00791AE9"/>
    <w:rsid w:val="007920D9"/>
    <w:rsid w:val="00792490"/>
    <w:rsid w:val="007926E6"/>
    <w:rsid w:val="0079311D"/>
    <w:rsid w:val="007935A0"/>
    <w:rsid w:val="007937FA"/>
    <w:rsid w:val="00793B6A"/>
    <w:rsid w:val="00793CB2"/>
    <w:rsid w:val="00793CED"/>
    <w:rsid w:val="00793ED9"/>
    <w:rsid w:val="00793F13"/>
    <w:rsid w:val="0079431A"/>
    <w:rsid w:val="007948A7"/>
    <w:rsid w:val="007948B4"/>
    <w:rsid w:val="0079491B"/>
    <w:rsid w:val="00794A40"/>
    <w:rsid w:val="00794B40"/>
    <w:rsid w:val="00795318"/>
    <w:rsid w:val="0079568B"/>
    <w:rsid w:val="00795933"/>
    <w:rsid w:val="00795C90"/>
    <w:rsid w:val="00796D49"/>
    <w:rsid w:val="00796E26"/>
    <w:rsid w:val="0079713A"/>
    <w:rsid w:val="0079729E"/>
    <w:rsid w:val="00797EB4"/>
    <w:rsid w:val="007A0316"/>
    <w:rsid w:val="007A05F1"/>
    <w:rsid w:val="007A1079"/>
    <w:rsid w:val="007A174A"/>
    <w:rsid w:val="007A182A"/>
    <w:rsid w:val="007A1E11"/>
    <w:rsid w:val="007A1E85"/>
    <w:rsid w:val="007A1E98"/>
    <w:rsid w:val="007A1F5C"/>
    <w:rsid w:val="007A2200"/>
    <w:rsid w:val="007A24EF"/>
    <w:rsid w:val="007A24F2"/>
    <w:rsid w:val="007A25C9"/>
    <w:rsid w:val="007A2602"/>
    <w:rsid w:val="007A27CE"/>
    <w:rsid w:val="007A2BD6"/>
    <w:rsid w:val="007A2CCC"/>
    <w:rsid w:val="007A30A6"/>
    <w:rsid w:val="007A34E6"/>
    <w:rsid w:val="007A36BE"/>
    <w:rsid w:val="007A37EA"/>
    <w:rsid w:val="007A39CF"/>
    <w:rsid w:val="007A3A21"/>
    <w:rsid w:val="007A3C95"/>
    <w:rsid w:val="007A3F70"/>
    <w:rsid w:val="007A4455"/>
    <w:rsid w:val="007A471F"/>
    <w:rsid w:val="007A4C8C"/>
    <w:rsid w:val="007A4D1F"/>
    <w:rsid w:val="007A5091"/>
    <w:rsid w:val="007A553E"/>
    <w:rsid w:val="007A6046"/>
    <w:rsid w:val="007A61EF"/>
    <w:rsid w:val="007A6BEC"/>
    <w:rsid w:val="007A7132"/>
    <w:rsid w:val="007A73E9"/>
    <w:rsid w:val="007A7BAD"/>
    <w:rsid w:val="007A7EDD"/>
    <w:rsid w:val="007B00BE"/>
    <w:rsid w:val="007B0153"/>
    <w:rsid w:val="007B033A"/>
    <w:rsid w:val="007B09B5"/>
    <w:rsid w:val="007B176D"/>
    <w:rsid w:val="007B1BB3"/>
    <w:rsid w:val="007B2142"/>
    <w:rsid w:val="007B23B4"/>
    <w:rsid w:val="007B251B"/>
    <w:rsid w:val="007B2677"/>
    <w:rsid w:val="007B28DD"/>
    <w:rsid w:val="007B3C76"/>
    <w:rsid w:val="007B40C1"/>
    <w:rsid w:val="007B41F7"/>
    <w:rsid w:val="007B4703"/>
    <w:rsid w:val="007B5AB2"/>
    <w:rsid w:val="007B5C65"/>
    <w:rsid w:val="007B6642"/>
    <w:rsid w:val="007B6D65"/>
    <w:rsid w:val="007B6F9B"/>
    <w:rsid w:val="007B763B"/>
    <w:rsid w:val="007B76AB"/>
    <w:rsid w:val="007B77E0"/>
    <w:rsid w:val="007B7C41"/>
    <w:rsid w:val="007C003C"/>
    <w:rsid w:val="007C036C"/>
    <w:rsid w:val="007C0B3B"/>
    <w:rsid w:val="007C0ED9"/>
    <w:rsid w:val="007C170A"/>
    <w:rsid w:val="007C1D4C"/>
    <w:rsid w:val="007C2CEB"/>
    <w:rsid w:val="007C32F3"/>
    <w:rsid w:val="007C3B7C"/>
    <w:rsid w:val="007C3BCA"/>
    <w:rsid w:val="007C3CD7"/>
    <w:rsid w:val="007C3CEB"/>
    <w:rsid w:val="007C43A8"/>
    <w:rsid w:val="007C47A4"/>
    <w:rsid w:val="007C567C"/>
    <w:rsid w:val="007C56B9"/>
    <w:rsid w:val="007C572C"/>
    <w:rsid w:val="007C57F1"/>
    <w:rsid w:val="007C5E06"/>
    <w:rsid w:val="007C6192"/>
    <w:rsid w:val="007C64F4"/>
    <w:rsid w:val="007C6A88"/>
    <w:rsid w:val="007C7241"/>
    <w:rsid w:val="007C7605"/>
    <w:rsid w:val="007C771E"/>
    <w:rsid w:val="007C7781"/>
    <w:rsid w:val="007D0075"/>
    <w:rsid w:val="007D00A7"/>
    <w:rsid w:val="007D094C"/>
    <w:rsid w:val="007D0BC5"/>
    <w:rsid w:val="007D0E36"/>
    <w:rsid w:val="007D0FA6"/>
    <w:rsid w:val="007D122C"/>
    <w:rsid w:val="007D13E4"/>
    <w:rsid w:val="007D18CC"/>
    <w:rsid w:val="007D1DC3"/>
    <w:rsid w:val="007D26D7"/>
    <w:rsid w:val="007D28C0"/>
    <w:rsid w:val="007D2924"/>
    <w:rsid w:val="007D2C51"/>
    <w:rsid w:val="007D2F24"/>
    <w:rsid w:val="007D430C"/>
    <w:rsid w:val="007D49B0"/>
    <w:rsid w:val="007D4C68"/>
    <w:rsid w:val="007D4C6C"/>
    <w:rsid w:val="007D55C9"/>
    <w:rsid w:val="007D5625"/>
    <w:rsid w:val="007D5877"/>
    <w:rsid w:val="007D592B"/>
    <w:rsid w:val="007D5AA6"/>
    <w:rsid w:val="007D5AC7"/>
    <w:rsid w:val="007D5E72"/>
    <w:rsid w:val="007D611C"/>
    <w:rsid w:val="007D625B"/>
    <w:rsid w:val="007D62FE"/>
    <w:rsid w:val="007D6547"/>
    <w:rsid w:val="007D6899"/>
    <w:rsid w:val="007D6BD0"/>
    <w:rsid w:val="007D6F06"/>
    <w:rsid w:val="007D72F5"/>
    <w:rsid w:val="007D7648"/>
    <w:rsid w:val="007D7A91"/>
    <w:rsid w:val="007D7B7A"/>
    <w:rsid w:val="007D7C63"/>
    <w:rsid w:val="007D7DD2"/>
    <w:rsid w:val="007D7F3A"/>
    <w:rsid w:val="007E0205"/>
    <w:rsid w:val="007E0C02"/>
    <w:rsid w:val="007E0FD3"/>
    <w:rsid w:val="007E118A"/>
    <w:rsid w:val="007E1698"/>
    <w:rsid w:val="007E1D65"/>
    <w:rsid w:val="007E1E14"/>
    <w:rsid w:val="007E2184"/>
    <w:rsid w:val="007E247B"/>
    <w:rsid w:val="007E26D2"/>
    <w:rsid w:val="007E2780"/>
    <w:rsid w:val="007E27ED"/>
    <w:rsid w:val="007E2FB7"/>
    <w:rsid w:val="007E309D"/>
    <w:rsid w:val="007E327D"/>
    <w:rsid w:val="007E3935"/>
    <w:rsid w:val="007E3C72"/>
    <w:rsid w:val="007E3DF4"/>
    <w:rsid w:val="007E3FF3"/>
    <w:rsid w:val="007E439C"/>
    <w:rsid w:val="007E4F57"/>
    <w:rsid w:val="007E5B40"/>
    <w:rsid w:val="007E5CF3"/>
    <w:rsid w:val="007E6456"/>
    <w:rsid w:val="007E67E6"/>
    <w:rsid w:val="007E6EF6"/>
    <w:rsid w:val="007E7033"/>
    <w:rsid w:val="007E7345"/>
    <w:rsid w:val="007E7611"/>
    <w:rsid w:val="007F00F8"/>
    <w:rsid w:val="007F018E"/>
    <w:rsid w:val="007F034F"/>
    <w:rsid w:val="007F1419"/>
    <w:rsid w:val="007F16B8"/>
    <w:rsid w:val="007F1948"/>
    <w:rsid w:val="007F2502"/>
    <w:rsid w:val="007F2BBA"/>
    <w:rsid w:val="007F2D57"/>
    <w:rsid w:val="007F2D59"/>
    <w:rsid w:val="007F3597"/>
    <w:rsid w:val="007F3890"/>
    <w:rsid w:val="007F3B84"/>
    <w:rsid w:val="007F3E15"/>
    <w:rsid w:val="007F40EA"/>
    <w:rsid w:val="007F452E"/>
    <w:rsid w:val="007F4808"/>
    <w:rsid w:val="007F4852"/>
    <w:rsid w:val="007F4AFD"/>
    <w:rsid w:val="007F4B91"/>
    <w:rsid w:val="007F4C40"/>
    <w:rsid w:val="007F53B4"/>
    <w:rsid w:val="007F5502"/>
    <w:rsid w:val="007F5538"/>
    <w:rsid w:val="007F57AC"/>
    <w:rsid w:val="007F5D12"/>
    <w:rsid w:val="007F60E9"/>
    <w:rsid w:val="007F6969"/>
    <w:rsid w:val="007F69B1"/>
    <w:rsid w:val="007F7028"/>
    <w:rsid w:val="007F7138"/>
    <w:rsid w:val="007F723B"/>
    <w:rsid w:val="007F7406"/>
    <w:rsid w:val="007F783A"/>
    <w:rsid w:val="007F7B8E"/>
    <w:rsid w:val="007F7C4C"/>
    <w:rsid w:val="007F7E05"/>
    <w:rsid w:val="007F7E1A"/>
    <w:rsid w:val="00800187"/>
    <w:rsid w:val="00800306"/>
    <w:rsid w:val="008004BA"/>
    <w:rsid w:val="0080052B"/>
    <w:rsid w:val="008009F3"/>
    <w:rsid w:val="00800E5B"/>
    <w:rsid w:val="00800F9F"/>
    <w:rsid w:val="0080138B"/>
    <w:rsid w:val="0080140B"/>
    <w:rsid w:val="00802041"/>
    <w:rsid w:val="00802446"/>
    <w:rsid w:val="0080245E"/>
    <w:rsid w:val="00802DD7"/>
    <w:rsid w:val="0080309B"/>
    <w:rsid w:val="0080338E"/>
    <w:rsid w:val="008034AB"/>
    <w:rsid w:val="00803DFA"/>
    <w:rsid w:val="00804161"/>
    <w:rsid w:val="00804856"/>
    <w:rsid w:val="008049AE"/>
    <w:rsid w:val="008050A7"/>
    <w:rsid w:val="0080542A"/>
    <w:rsid w:val="0080574B"/>
    <w:rsid w:val="0080621E"/>
    <w:rsid w:val="008063AA"/>
    <w:rsid w:val="008066E4"/>
    <w:rsid w:val="00807441"/>
    <w:rsid w:val="0080747A"/>
    <w:rsid w:val="0080794E"/>
    <w:rsid w:val="00807A21"/>
    <w:rsid w:val="00807B52"/>
    <w:rsid w:val="00807CD0"/>
    <w:rsid w:val="00810275"/>
    <w:rsid w:val="008103D2"/>
    <w:rsid w:val="00810739"/>
    <w:rsid w:val="0081078D"/>
    <w:rsid w:val="00810CFD"/>
    <w:rsid w:val="00811520"/>
    <w:rsid w:val="00811943"/>
    <w:rsid w:val="008123A6"/>
    <w:rsid w:val="0081245F"/>
    <w:rsid w:val="00812721"/>
    <w:rsid w:val="008132B3"/>
    <w:rsid w:val="00813E0F"/>
    <w:rsid w:val="00813E17"/>
    <w:rsid w:val="00814129"/>
    <w:rsid w:val="00814313"/>
    <w:rsid w:val="008143A8"/>
    <w:rsid w:val="0081499E"/>
    <w:rsid w:val="00814ADD"/>
    <w:rsid w:val="00814F18"/>
    <w:rsid w:val="008151AA"/>
    <w:rsid w:val="00815C81"/>
    <w:rsid w:val="00815E7E"/>
    <w:rsid w:val="00815EDF"/>
    <w:rsid w:val="00816261"/>
    <w:rsid w:val="008166D9"/>
    <w:rsid w:val="00816E8E"/>
    <w:rsid w:val="00817A02"/>
    <w:rsid w:val="00817BB3"/>
    <w:rsid w:val="00817F16"/>
    <w:rsid w:val="00820155"/>
    <w:rsid w:val="00820D84"/>
    <w:rsid w:val="0082163B"/>
    <w:rsid w:val="00821B59"/>
    <w:rsid w:val="008224E0"/>
    <w:rsid w:val="008224EE"/>
    <w:rsid w:val="008229F5"/>
    <w:rsid w:val="00822A83"/>
    <w:rsid w:val="00822CB0"/>
    <w:rsid w:val="00823147"/>
    <w:rsid w:val="008240B4"/>
    <w:rsid w:val="0082439D"/>
    <w:rsid w:val="008243D0"/>
    <w:rsid w:val="008243DE"/>
    <w:rsid w:val="00824846"/>
    <w:rsid w:val="00824FFD"/>
    <w:rsid w:val="008257AD"/>
    <w:rsid w:val="008262D7"/>
    <w:rsid w:val="00826A2E"/>
    <w:rsid w:val="00827452"/>
    <w:rsid w:val="00827588"/>
    <w:rsid w:val="00827761"/>
    <w:rsid w:val="00830385"/>
    <w:rsid w:val="0083081E"/>
    <w:rsid w:val="0083098D"/>
    <w:rsid w:val="00830FFB"/>
    <w:rsid w:val="00831070"/>
    <w:rsid w:val="008311B8"/>
    <w:rsid w:val="00831427"/>
    <w:rsid w:val="008318BC"/>
    <w:rsid w:val="00831DCB"/>
    <w:rsid w:val="00831E2E"/>
    <w:rsid w:val="00831E3B"/>
    <w:rsid w:val="00832015"/>
    <w:rsid w:val="008320D5"/>
    <w:rsid w:val="00832687"/>
    <w:rsid w:val="00832850"/>
    <w:rsid w:val="00833305"/>
    <w:rsid w:val="00833ADE"/>
    <w:rsid w:val="00833D80"/>
    <w:rsid w:val="00833E65"/>
    <w:rsid w:val="00833FF1"/>
    <w:rsid w:val="008340B4"/>
    <w:rsid w:val="00834243"/>
    <w:rsid w:val="008344D6"/>
    <w:rsid w:val="008345F0"/>
    <w:rsid w:val="008346A8"/>
    <w:rsid w:val="0083471A"/>
    <w:rsid w:val="008347A4"/>
    <w:rsid w:val="00834EBD"/>
    <w:rsid w:val="00835697"/>
    <w:rsid w:val="008358E3"/>
    <w:rsid w:val="00835EE4"/>
    <w:rsid w:val="008361B7"/>
    <w:rsid w:val="008369F7"/>
    <w:rsid w:val="00836A7D"/>
    <w:rsid w:val="00836E93"/>
    <w:rsid w:val="008371C0"/>
    <w:rsid w:val="008374C4"/>
    <w:rsid w:val="008378F7"/>
    <w:rsid w:val="00840382"/>
    <w:rsid w:val="00840385"/>
    <w:rsid w:val="008404FB"/>
    <w:rsid w:val="008418F5"/>
    <w:rsid w:val="00841B05"/>
    <w:rsid w:val="00841B0D"/>
    <w:rsid w:val="00841EAF"/>
    <w:rsid w:val="00842035"/>
    <w:rsid w:val="0084248E"/>
    <w:rsid w:val="00842659"/>
    <w:rsid w:val="00842957"/>
    <w:rsid w:val="00842CF6"/>
    <w:rsid w:val="00842DD5"/>
    <w:rsid w:val="008435AD"/>
    <w:rsid w:val="00843660"/>
    <w:rsid w:val="0084397F"/>
    <w:rsid w:val="00843A32"/>
    <w:rsid w:val="00843BFA"/>
    <w:rsid w:val="00843F6F"/>
    <w:rsid w:val="008441BF"/>
    <w:rsid w:val="008443CB"/>
    <w:rsid w:val="008444A3"/>
    <w:rsid w:val="00844AB8"/>
    <w:rsid w:val="00845538"/>
    <w:rsid w:val="008455C1"/>
    <w:rsid w:val="00845AAE"/>
    <w:rsid w:val="00845BC8"/>
    <w:rsid w:val="00845D93"/>
    <w:rsid w:val="008460FB"/>
    <w:rsid w:val="00846303"/>
    <w:rsid w:val="00846DA8"/>
    <w:rsid w:val="008475CF"/>
    <w:rsid w:val="00847829"/>
    <w:rsid w:val="00850513"/>
    <w:rsid w:val="008505AB"/>
    <w:rsid w:val="0085081A"/>
    <w:rsid w:val="008515A9"/>
    <w:rsid w:val="00851A0D"/>
    <w:rsid w:val="0085211E"/>
    <w:rsid w:val="008540CF"/>
    <w:rsid w:val="00854717"/>
    <w:rsid w:val="008548B2"/>
    <w:rsid w:val="0085497A"/>
    <w:rsid w:val="00854C5F"/>
    <w:rsid w:val="00854EC2"/>
    <w:rsid w:val="00855A83"/>
    <w:rsid w:val="00855C22"/>
    <w:rsid w:val="00856029"/>
    <w:rsid w:val="0085652B"/>
    <w:rsid w:val="008565D7"/>
    <w:rsid w:val="00856A01"/>
    <w:rsid w:val="00856FA9"/>
    <w:rsid w:val="00857969"/>
    <w:rsid w:val="00857B8D"/>
    <w:rsid w:val="0086065E"/>
    <w:rsid w:val="008610AA"/>
    <w:rsid w:val="008614FB"/>
    <w:rsid w:val="00861C3D"/>
    <w:rsid w:val="00861CD9"/>
    <w:rsid w:val="008622A6"/>
    <w:rsid w:val="00862380"/>
    <w:rsid w:val="00862661"/>
    <w:rsid w:val="008628C9"/>
    <w:rsid w:val="008628EF"/>
    <w:rsid w:val="00862A40"/>
    <w:rsid w:val="00862DEA"/>
    <w:rsid w:val="008631D3"/>
    <w:rsid w:val="00863AED"/>
    <w:rsid w:val="00863F7F"/>
    <w:rsid w:val="00864265"/>
    <w:rsid w:val="0086444A"/>
    <w:rsid w:val="00864D2D"/>
    <w:rsid w:val="00864DE2"/>
    <w:rsid w:val="00865360"/>
    <w:rsid w:val="00865794"/>
    <w:rsid w:val="008658EF"/>
    <w:rsid w:val="00866270"/>
    <w:rsid w:val="0086710D"/>
    <w:rsid w:val="0086726B"/>
    <w:rsid w:val="00867B01"/>
    <w:rsid w:val="00867B8A"/>
    <w:rsid w:val="00867CF1"/>
    <w:rsid w:val="00867DCF"/>
    <w:rsid w:val="00870009"/>
    <w:rsid w:val="00870101"/>
    <w:rsid w:val="00870512"/>
    <w:rsid w:val="00870BC3"/>
    <w:rsid w:val="00871738"/>
    <w:rsid w:val="00871901"/>
    <w:rsid w:val="008723C3"/>
    <w:rsid w:val="0087248F"/>
    <w:rsid w:val="008724C3"/>
    <w:rsid w:val="00872989"/>
    <w:rsid w:val="00872A45"/>
    <w:rsid w:val="008730E3"/>
    <w:rsid w:val="008731D4"/>
    <w:rsid w:val="00873505"/>
    <w:rsid w:val="00873538"/>
    <w:rsid w:val="0087386A"/>
    <w:rsid w:val="008738EC"/>
    <w:rsid w:val="00873BE7"/>
    <w:rsid w:val="00873D4C"/>
    <w:rsid w:val="008745F5"/>
    <w:rsid w:val="00874BA5"/>
    <w:rsid w:val="008754BA"/>
    <w:rsid w:val="008757C3"/>
    <w:rsid w:val="00875A61"/>
    <w:rsid w:val="00875C82"/>
    <w:rsid w:val="00875D59"/>
    <w:rsid w:val="008760B1"/>
    <w:rsid w:val="0087620D"/>
    <w:rsid w:val="008763E3"/>
    <w:rsid w:val="008767A7"/>
    <w:rsid w:val="00876881"/>
    <w:rsid w:val="00876C18"/>
    <w:rsid w:val="00876FD0"/>
    <w:rsid w:val="00877558"/>
    <w:rsid w:val="00877560"/>
    <w:rsid w:val="00877781"/>
    <w:rsid w:val="00877833"/>
    <w:rsid w:val="00877A6E"/>
    <w:rsid w:val="00877B1A"/>
    <w:rsid w:val="00877C50"/>
    <w:rsid w:val="00880036"/>
    <w:rsid w:val="008800A8"/>
    <w:rsid w:val="008805A1"/>
    <w:rsid w:val="00880798"/>
    <w:rsid w:val="00880DAF"/>
    <w:rsid w:val="00880EF8"/>
    <w:rsid w:val="00880F3A"/>
    <w:rsid w:val="0088174A"/>
    <w:rsid w:val="00881902"/>
    <w:rsid w:val="00882033"/>
    <w:rsid w:val="008820A1"/>
    <w:rsid w:val="0088210A"/>
    <w:rsid w:val="00882877"/>
    <w:rsid w:val="00882ADE"/>
    <w:rsid w:val="00882CC4"/>
    <w:rsid w:val="00882E6E"/>
    <w:rsid w:val="00882F56"/>
    <w:rsid w:val="008836C2"/>
    <w:rsid w:val="00883E80"/>
    <w:rsid w:val="0088411C"/>
    <w:rsid w:val="00884296"/>
    <w:rsid w:val="008844AC"/>
    <w:rsid w:val="008849E2"/>
    <w:rsid w:val="00884EE5"/>
    <w:rsid w:val="0088508A"/>
    <w:rsid w:val="008856B8"/>
    <w:rsid w:val="00885890"/>
    <w:rsid w:val="00886C9F"/>
    <w:rsid w:val="00886EF4"/>
    <w:rsid w:val="0088740C"/>
    <w:rsid w:val="00887635"/>
    <w:rsid w:val="00890053"/>
    <w:rsid w:val="008903EA"/>
    <w:rsid w:val="00890657"/>
    <w:rsid w:val="008907F8"/>
    <w:rsid w:val="00890904"/>
    <w:rsid w:val="00891137"/>
    <w:rsid w:val="0089174B"/>
    <w:rsid w:val="00891D71"/>
    <w:rsid w:val="00891F6F"/>
    <w:rsid w:val="008920A2"/>
    <w:rsid w:val="0089248D"/>
    <w:rsid w:val="008924BD"/>
    <w:rsid w:val="0089265A"/>
    <w:rsid w:val="00892D70"/>
    <w:rsid w:val="0089315D"/>
    <w:rsid w:val="00893A44"/>
    <w:rsid w:val="00893CFA"/>
    <w:rsid w:val="00894148"/>
    <w:rsid w:val="008941B0"/>
    <w:rsid w:val="00894535"/>
    <w:rsid w:val="008948C9"/>
    <w:rsid w:val="00894CA9"/>
    <w:rsid w:val="00894E3A"/>
    <w:rsid w:val="00895C62"/>
    <w:rsid w:val="00895F20"/>
    <w:rsid w:val="0089657F"/>
    <w:rsid w:val="008967DC"/>
    <w:rsid w:val="00896CFB"/>
    <w:rsid w:val="00897103"/>
    <w:rsid w:val="008974FF"/>
    <w:rsid w:val="00897AA4"/>
    <w:rsid w:val="00897F46"/>
    <w:rsid w:val="008A0455"/>
    <w:rsid w:val="008A0471"/>
    <w:rsid w:val="008A055D"/>
    <w:rsid w:val="008A0FC1"/>
    <w:rsid w:val="008A1631"/>
    <w:rsid w:val="008A18CB"/>
    <w:rsid w:val="008A1BD8"/>
    <w:rsid w:val="008A1BE0"/>
    <w:rsid w:val="008A1C4E"/>
    <w:rsid w:val="008A1E0E"/>
    <w:rsid w:val="008A26A6"/>
    <w:rsid w:val="008A2780"/>
    <w:rsid w:val="008A2CB4"/>
    <w:rsid w:val="008A2CF0"/>
    <w:rsid w:val="008A2D02"/>
    <w:rsid w:val="008A3CB2"/>
    <w:rsid w:val="008A3EC0"/>
    <w:rsid w:val="008A4D1B"/>
    <w:rsid w:val="008A50E1"/>
    <w:rsid w:val="008A516E"/>
    <w:rsid w:val="008A51F5"/>
    <w:rsid w:val="008A5217"/>
    <w:rsid w:val="008A6063"/>
    <w:rsid w:val="008A6198"/>
    <w:rsid w:val="008A64F2"/>
    <w:rsid w:val="008A6948"/>
    <w:rsid w:val="008A6A32"/>
    <w:rsid w:val="008A7548"/>
    <w:rsid w:val="008A773B"/>
    <w:rsid w:val="008A7848"/>
    <w:rsid w:val="008A78CA"/>
    <w:rsid w:val="008A7914"/>
    <w:rsid w:val="008A7973"/>
    <w:rsid w:val="008A7C0A"/>
    <w:rsid w:val="008A7DCC"/>
    <w:rsid w:val="008A7E96"/>
    <w:rsid w:val="008A7F7E"/>
    <w:rsid w:val="008B0665"/>
    <w:rsid w:val="008B085B"/>
    <w:rsid w:val="008B0C6A"/>
    <w:rsid w:val="008B0E3B"/>
    <w:rsid w:val="008B0EBF"/>
    <w:rsid w:val="008B1206"/>
    <w:rsid w:val="008B1A53"/>
    <w:rsid w:val="008B1AD7"/>
    <w:rsid w:val="008B1F89"/>
    <w:rsid w:val="008B21E3"/>
    <w:rsid w:val="008B2952"/>
    <w:rsid w:val="008B2D43"/>
    <w:rsid w:val="008B2EF1"/>
    <w:rsid w:val="008B2FBC"/>
    <w:rsid w:val="008B304F"/>
    <w:rsid w:val="008B3120"/>
    <w:rsid w:val="008B3757"/>
    <w:rsid w:val="008B3E3F"/>
    <w:rsid w:val="008B3F2A"/>
    <w:rsid w:val="008B3FA5"/>
    <w:rsid w:val="008B438F"/>
    <w:rsid w:val="008B44E5"/>
    <w:rsid w:val="008B45A7"/>
    <w:rsid w:val="008B4783"/>
    <w:rsid w:val="008B49C7"/>
    <w:rsid w:val="008B4B01"/>
    <w:rsid w:val="008B5191"/>
    <w:rsid w:val="008B54CC"/>
    <w:rsid w:val="008B551D"/>
    <w:rsid w:val="008B5C41"/>
    <w:rsid w:val="008B5D19"/>
    <w:rsid w:val="008B5ECF"/>
    <w:rsid w:val="008B63C2"/>
    <w:rsid w:val="008B6671"/>
    <w:rsid w:val="008B69A5"/>
    <w:rsid w:val="008B6DD9"/>
    <w:rsid w:val="008B6E49"/>
    <w:rsid w:val="008B7023"/>
    <w:rsid w:val="008B7463"/>
    <w:rsid w:val="008B7835"/>
    <w:rsid w:val="008B78F1"/>
    <w:rsid w:val="008B7A51"/>
    <w:rsid w:val="008B7C2B"/>
    <w:rsid w:val="008C03A1"/>
    <w:rsid w:val="008C0597"/>
    <w:rsid w:val="008C0A25"/>
    <w:rsid w:val="008C0DCE"/>
    <w:rsid w:val="008C0ECE"/>
    <w:rsid w:val="008C0F41"/>
    <w:rsid w:val="008C101F"/>
    <w:rsid w:val="008C1606"/>
    <w:rsid w:val="008C161A"/>
    <w:rsid w:val="008C18D4"/>
    <w:rsid w:val="008C1CF9"/>
    <w:rsid w:val="008C1D05"/>
    <w:rsid w:val="008C2041"/>
    <w:rsid w:val="008C24B3"/>
    <w:rsid w:val="008C2986"/>
    <w:rsid w:val="008C2CA5"/>
    <w:rsid w:val="008C32A7"/>
    <w:rsid w:val="008C34DF"/>
    <w:rsid w:val="008C3B69"/>
    <w:rsid w:val="008C4425"/>
    <w:rsid w:val="008C4724"/>
    <w:rsid w:val="008C4AA3"/>
    <w:rsid w:val="008C4B6E"/>
    <w:rsid w:val="008C5652"/>
    <w:rsid w:val="008C6108"/>
    <w:rsid w:val="008C6154"/>
    <w:rsid w:val="008C6188"/>
    <w:rsid w:val="008C7126"/>
    <w:rsid w:val="008C765B"/>
    <w:rsid w:val="008C7703"/>
    <w:rsid w:val="008C790C"/>
    <w:rsid w:val="008C7F71"/>
    <w:rsid w:val="008D0408"/>
    <w:rsid w:val="008D0482"/>
    <w:rsid w:val="008D0590"/>
    <w:rsid w:val="008D0702"/>
    <w:rsid w:val="008D074A"/>
    <w:rsid w:val="008D08C7"/>
    <w:rsid w:val="008D09D3"/>
    <w:rsid w:val="008D0FEA"/>
    <w:rsid w:val="008D1318"/>
    <w:rsid w:val="008D13DD"/>
    <w:rsid w:val="008D19FD"/>
    <w:rsid w:val="008D1DBA"/>
    <w:rsid w:val="008D1FA3"/>
    <w:rsid w:val="008D2106"/>
    <w:rsid w:val="008D27B9"/>
    <w:rsid w:val="008D2890"/>
    <w:rsid w:val="008D2E44"/>
    <w:rsid w:val="008D339F"/>
    <w:rsid w:val="008D37C4"/>
    <w:rsid w:val="008D39B1"/>
    <w:rsid w:val="008D3AE2"/>
    <w:rsid w:val="008D3EFB"/>
    <w:rsid w:val="008D4149"/>
    <w:rsid w:val="008D41A9"/>
    <w:rsid w:val="008D4280"/>
    <w:rsid w:val="008D452D"/>
    <w:rsid w:val="008D497B"/>
    <w:rsid w:val="008D4CAD"/>
    <w:rsid w:val="008D5256"/>
    <w:rsid w:val="008D5624"/>
    <w:rsid w:val="008D58E8"/>
    <w:rsid w:val="008D5A2A"/>
    <w:rsid w:val="008D5ADF"/>
    <w:rsid w:val="008D5ECA"/>
    <w:rsid w:val="008D60B7"/>
    <w:rsid w:val="008D63D0"/>
    <w:rsid w:val="008D65D0"/>
    <w:rsid w:val="008D66E3"/>
    <w:rsid w:val="008D674E"/>
    <w:rsid w:val="008D6ED2"/>
    <w:rsid w:val="008D7149"/>
    <w:rsid w:val="008D73F6"/>
    <w:rsid w:val="008D7754"/>
    <w:rsid w:val="008E013D"/>
    <w:rsid w:val="008E06DD"/>
    <w:rsid w:val="008E0B35"/>
    <w:rsid w:val="008E0BA1"/>
    <w:rsid w:val="008E0E50"/>
    <w:rsid w:val="008E0E5D"/>
    <w:rsid w:val="008E128C"/>
    <w:rsid w:val="008E1692"/>
    <w:rsid w:val="008E1C44"/>
    <w:rsid w:val="008E1E72"/>
    <w:rsid w:val="008E1FCA"/>
    <w:rsid w:val="008E22DF"/>
    <w:rsid w:val="008E2461"/>
    <w:rsid w:val="008E24D2"/>
    <w:rsid w:val="008E2CB9"/>
    <w:rsid w:val="008E33E0"/>
    <w:rsid w:val="008E3ED0"/>
    <w:rsid w:val="008E49B9"/>
    <w:rsid w:val="008E50C6"/>
    <w:rsid w:val="008E520B"/>
    <w:rsid w:val="008E5312"/>
    <w:rsid w:val="008E5488"/>
    <w:rsid w:val="008E57A6"/>
    <w:rsid w:val="008E58F9"/>
    <w:rsid w:val="008E5A6C"/>
    <w:rsid w:val="008E5B19"/>
    <w:rsid w:val="008E6292"/>
    <w:rsid w:val="008E6863"/>
    <w:rsid w:val="008E6B48"/>
    <w:rsid w:val="008E6B79"/>
    <w:rsid w:val="008E6DC6"/>
    <w:rsid w:val="008E6EE4"/>
    <w:rsid w:val="008E7380"/>
    <w:rsid w:val="008E7495"/>
    <w:rsid w:val="008E751D"/>
    <w:rsid w:val="008E76E2"/>
    <w:rsid w:val="008E7894"/>
    <w:rsid w:val="008E7BC7"/>
    <w:rsid w:val="008E7CB7"/>
    <w:rsid w:val="008F0345"/>
    <w:rsid w:val="008F1088"/>
    <w:rsid w:val="008F116A"/>
    <w:rsid w:val="008F1866"/>
    <w:rsid w:val="008F23EB"/>
    <w:rsid w:val="008F2584"/>
    <w:rsid w:val="008F2597"/>
    <w:rsid w:val="008F2C16"/>
    <w:rsid w:val="008F3196"/>
    <w:rsid w:val="008F3331"/>
    <w:rsid w:val="008F3CB3"/>
    <w:rsid w:val="008F3E83"/>
    <w:rsid w:val="008F42AC"/>
    <w:rsid w:val="008F434C"/>
    <w:rsid w:val="008F4454"/>
    <w:rsid w:val="008F566D"/>
    <w:rsid w:val="008F6258"/>
    <w:rsid w:val="008F64BF"/>
    <w:rsid w:val="008F651E"/>
    <w:rsid w:val="008F6C3C"/>
    <w:rsid w:val="008F6EE0"/>
    <w:rsid w:val="008F6F13"/>
    <w:rsid w:val="008F7017"/>
    <w:rsid w:val="00900579"/>
    <w:rsid w:val="009008FE"/>
    <w:rsid w:val="00900C27"/>
    <w:rsid w:val="00901651"/>
    <w:rsid w:val="009016F8"/>
    <w:rsid w:val="00901AB9"/>
    <w:rsid w:val="00901D76"/>
    <w:rsid w:val="00901D77"/>
    <w:rsid w:val="00901E85"/>
    <w:rsid w:val="00901FE8"/>
    <w:rsid w:val="0090223D"/>
    <w:rsid w:val="00902E58"/>
    <w:rsid w:val="009032B3"/>
    <w:rsid w:val="0090369B"/>
    <w:rsid w:val="009036A5"/>
    <w:rsid w:val="0090370D"/>
    <w:rsid w:val="00903AB1"/>
    <w:rsid w:val="00903D98"/>
    <w:rsid w:val="00903DE8"/>
    <w:rsid w:val="00903E91"/>
    <w:rsid w:val="00904923"/>
    <w:rsid w:val="00904B9A"/>
    <w:rsid w:val="00904D1F"/>
    <w:rsid w:val="009058C4"/>
    <w:rsid w:val="00905B34"/>
    <w:rsid w:val="00905DC4"/>
    <w:rsid w:val="0090660E"/>
    <w:rsid w:val="00906C5E"/>
    <w:rsid w:val="00906CEA"/>
    <w:rsid w:val="00906E61"/>
    <w:rsid w:val="00906EF9"/>
    <w:rsid w:val="00906F7E"/>
    <w:rsid w:val="00907C15"/>
    <w:rsid w:val="00907C78"/>
    <w:rsid w:val="00910930"/>
    <w:rsid w:val="00910BDE"/>
    <w:rsid w:val="00910E85"/>
    <w:rsid w:val="009116FD"/>
    <w:rsid w:val="0091189F"/>
    <w:rsid w:val="00911B62"/>
    <w:rsid w:val="00911C55"/>
    <w:rsid w:val="009122CB"/>
    <w:rsid w:val="00912922"/>
    <w:rsid w:val="00912966"/>
    <w:rsid w:val="00912DD4"/>
    <w:rsid w:val="00912FBB"/>
    <w:rsid w:val="0091327A"/>
    <w:rsid w:val="00913430"/>
    <w:rsid w:val="00913846"/>
    <w:rsid w:val="00913A65"/>
    <w:rsid w:val="00913C22"/>
    <w:rsid w:val="00913C4F"/>
    <w:rsid w:val="00913DFF"/>
    <w:rsid w:val="009144FE"/>
    <w:rsid w:val="009146B1"/>
    <w:rsid w:val="00914B8E"/>
    <w:rsid w:val="009152DE"/>
    <w:rsid w:val="00915A70"/>
    <w:rsid w:val="00916262"/>
    <w:rsid w:val="00916BE6"/>
    <w:rsid w:val="009172D6"/>
    <w:rsid w:val="0091748E"/>
    <w:rsid w:val="0091772B"/>
    <w:rsid w:val="00917D78"/>
    <w:rsid w:val="00917E28"/>
    <w:rsid w:val="009200A7"/>
    <w:rsid w:val="00920C4E"/>
    <w:rsid w:val="0092102A"/>
    <w:rsid w:val="0092110A"/>
    <w:rsid w:val="00921434"/>
    <w:rsid w:val="009215B0"/>
    <w:rsid w:val="009216F5"/>
    <w:rsid w:val="00921827"/>
    <w:rsid w:val="00921D3B"/>
    <w:rsid w:val="0092242C"/>
    <w:rsid w:val="009227AA"/>
    <w:rsid w:val="0092326A"/>
    <w:rsid w:val="00923B00"/>
    <w:rsid w:val="009240F5"/>
    <w:rsid w:val="00924D54"/>
    <w:rsid w:val="00925493"/>
    <w:rsid w:val="00925915"/>
    <w:rsid w:val="00925AA5"/>
    <w:rsid w:val="00925B9F"/>
    <w:rsid w:val="00926012"/>
    <w:rsid w:val="00926028"/>
    <w:rsid w:val="00926170"/>
    <w:rsid w:val="009262FF"/>
    <w:rsid w:val="00926942"/>
    <w:rsid w:val="00926B71"/>
    <w:rsid w:val="00926F09"/>
    <w:rsid w:val="0092772F"/>
    <w:rsid w:val="00927D03"/>
    <w:rsid w:val="0093014A"/>
    <w:rsid w:val="009301FF"/>
    <w:rsid w:val="009306B4"/>
    <w:rsid w:val="009306E7"/>
    <w:rsid w:val="00930E06"/>
    <w:rsid w:val="009319C3"/>
    <w:rsid w:val="009321E6"/>
    <w:rsid w:val="00932384"/>
    <w:rsid w:val="0093261B"/>
    <w:rsid w:val="009329D2"/>
    <w:rsid w:val="00932B83"/>
    <w:rsid w:val="009334F6"/>
    <w:rsid w:val="009336C1"/>
    <w:rsid w:val="009336D9"/>
    <w:rsid w:val="00933A89"/>
    <w:rsid w:val="00933EFA"/>
    <w:rsid w:val="00933F52"/>
    <w:rsid w:val="0093484D"/>
    <w:rsid w:val="00934C98"/>
    <w:rsid w:val="00935308"/>
    <w:rsid w:val="0093540D"/>
    <w:rsid w:val="0093551C"/>
    <w:rsid w:val="00935DCF"/>
    <w:rsid w:val="00935EED"/>
    <w:rsid w:val="00936560"/>
    <w:rsid w:val="00936E53"/>
    <w:rsid w:val="00936E89"/>
    <w:rsid w:val="00937014"/>
    <w:rsid w:val="009370F1"/>
    <w:rsid w:val="00937EBF"/>
    <w:rsid w:val="0094019D"/>
    <w:rsid w:val="00940E79"/>
    <w:rsid w:val="00940FD8"/>
    <w:rsid w:val="009411A3"/>
    <w:rsid w:val="00941518"/>
    <w:rsid w:val="0094194F"/>
    <w:rsid w:val="009419E1"/>
    <w:rsid w:val="00941BF4"/>
    <w:rsid w:val="00941DD1"/>
    <w:rsid w:val="00942405"/>
    <w:rsid w:val="009424BA"/>
    <w:rsid w:val="0094287E"/>
    <w:rsid w:val="00942B7A"/>
    <w:rsid w:val="00942C11"/>
    <w:rsid w:val="00942D37"/>
    <w:rsid w:val="00942DE0"/>
    <w:rsid w:val="00943317"/>
    <w:rsid w:val="0094351F"/>
    <w:rsid w:val="00943C94"/>
    <w:rsid w:val="00943E2E"/>
    <w:rsid w:val="009445EB"/>
    <w:rsid w:val="0094463B"/>
    <w:rsid w:val="0094492B"/>
    <w:rsid w:val="00944ADE"/>
    <w:rsid w:val="00944D71"/>
    <w:rsid w:val="00944FF2"/>
    <w:rsid w:val="0094530E"/>
    <w:rsid w:val="00945440"/>
    <w:rsid w:val="00945F59"/>
    <w:rsid w:val="00946C3B"/>
    <w:rsid w:val="0094742E"/>
    <w:rsid w:val="00947C21"/>
    <w:rsid w:val="0095015B"/>
    <w:rsid w:val="009503F2"/>
    <w:rsid w:val="0095094B"/>
    <w:rsid w:val="00950E3A"/>
    <w:rsid w:val="00950E5F"/>
    <w:rsid w:val="00950EEE"/>
    <w:rsid w:val="00950F6A"/>
    <w:rsid w:val="009527C9"/>
    <w:rsid w:val="00953182"/>
    <w:rsid w:val="00953F00"/>
    <w:rsid w:val="00954040"/>
    <w:rsid w:val="00954354"/>
    <w:rsid w:val="0095452E"/>
    <w:rsid w:val="00954643"/>
    <w:rsid w:val="009547F8"/>
    <w:rsid w:val="00954A9E"/>
    <w:rsid w:val="00954E8D"/>
    <w:rsid w:val="00954FE4"/>
    <w:rsid w:val="0095546D"/>
    <w:rsid w:val="00955662"/>
    <w:rsid w:val="00955771"/>
    <w:rsid w:val="0095597D"/>
    <w:rsid w:val="00955BF4"/>
    <w:rsid w:val="00955CB0"/>
    <w:rsid w:val="00956055"/>
    <w:rsid w:val="00956221"/>
    <w:rsid w:val="00956429"/>
    <w:rsid w:val="00956C0A"/>
    <w:rsid w:val="00956CFD"/>
    <w:rsid w:val="00956D9C"/>
    <w:rsid w:val="0095700C"/>
    <w:rsid w:val="00957242"/>
    <w:rsid w:val="009578F5"/>
    <w:rsid w:val="00957ACF"/>
    <w:rsid w:val="00960177"/>
    <w:rsid w:val="009601E4"/>
    <w:rsid w:val="00960804"/>
    <w:rsid w:val="009608F7"/>
    <w:rsid w:val="00960B0B"/>
    <w:rsid w:val="00960DF8"/>
    <w:rsid w:val="0096148D"/>
    <w:rsid w:val="009614A5"/>
    <w:rsid w:val="009614FC"/>
    <w:rsid w:val="00961E93"/>
    <w:rsid w:val="00962763"/>
    <w:rsid w:val="00962805"/>
    <w:rsid w:val="00962891"/>
    <w:rsid w:val="00962ACF"/>
    <w:rsid w:val="00962BEF"/>
    <w:rsid w:val="0096323E"/>
    <w:rsid w:val="00963446"/>
    <w:rsid w:val="009637C5"/>
    <w:rsid w:val="009637FD"/>
    <w:rsid w:val="00963873"/>
    <w:rsid w:val="009638F1"/>
    <w:rsid w:val="009639F8"/>
    <w:rsid w:val="00963A7C"/>
    <w:rsid w:val="009646BF"/>
    <w:rsid w:val="00964CE1"/>
    <w:rsid w:val="00964ECA"/>
    <w:rsid w:val="00964F6A"/>
    <w:rsid w:val="009659F7"/>
    <w:rsid w:val="00965E78"/>
    <w:rsid w:val="00966203"/>
    <w:rsid w:val="009666B7"/>
    <w:rsid w:val="00966A14"/>
    <w:rsid w:val="00966BD7"/>
    <w:rsid w:val="00966DA2"/>
    <w:rsid w:val="00967460"/>
    <w:rsid w:val="009675C1"/>
    <w:rsid w:val="00967B7C"/>
    <w:rsid w:val="00967F1E"/>
    <w:rsid w:val="00970023"/>
    <w:rsid w:val="0097034F"/>
    <w:rsid w:val="00970950"/>
    <w:rsid w:val="00970F04"/>
    <w:rsid w:val="009716FE"/>
    <w:rsid w:val="00971A23"/>
    <w:rsid w:val="00971C33"/>
    <w:rsid w:val="00971CB5"/>
    <w:rsid w:val="00971FDB"/>
    <w:rsid w:val="0097210C"/>
    <w:rsid w:val="009729D4"/>
    <w:rsid w:val="009746D3"/>
    <w:rsid w:val="00974706"/>
    <w:rsid w:val="009747AB"/>
    <w:rsid w:val="009748B0"/>
    <w:rsid w:val="00974CD8"/>
    <w:rsid w:val="009751CA"/>
    <w:rsid w:val="00975357"/>
    <w:rsid w:val="00975F68"/>
    <w:rsid w:val="0097610A"/>
    <w:rsid w:val="009769D0"/>
    <w:rsid w:val="00976B1C"/>
    <w:rsid w:val="00976ECE"/>
    <w:rsid w:val="00977445"/>
    <w:rsid w:val="00977DB4"/>
    <w:rsid w:val="00977EA8"/>
    <w:rsid w:val="0098008E"/>
    <w:rsid w:val="0098071C"/>
    <w:rsid w:val="00980759"/>
    <w:rsid w:val="009817B0"/>
    <w:rsid w:val="00981886"/>
    <w:rsid w:val="00981AE7"/>
    <w:rsid w:val="00981CAA"/>
    <w:rsid w:val="0098211F"/>
    <w:rsid w:val="009821CE"/>
    <w:rsid w:val="0098229B"/>
    <w:rsid w:val="009824A5"/>
    <w:rsid w:val="00982AF8"/>
    <w:rsid w:val="00982EC3"/>
    <w:rsid w:val="00983080"/>
    <w:rsid w:val="00983229"/>
    <w:rsid w:val="00983313"/>
    <w:rsid w:val="009834AE"/>
    <w:rsid w:val="00983B32"/>
    <w:rsid w:val="009842D3"/>
    <w:rsid w:val="009843C9"/>
    <w:rsid w:val="0098480C"/>
    <w:rsid w:val="009856B4"/>
    <w:rsid w:val="00985A0E"/>
    <w:rsid w:val="00985D63"/>
    <w:rsid w:val="00985F3C"/>
    <w:rsid w:val="0098612A"/>
    <w:rsid w:val="00986266"/>
    <w:rsid w:val="00986355"/>
    <w:rsid w:val="009863CA"/>
    <w:rsid w:val="0098647E"/>
    <w:rsid w:val="00986551"/>
    <w:rsid w:val="009865D9"/>
    <w:rsid w:val="00986722"/>
    <w:rsid w:val="009867A8"/>
    <w:rsid w:val="00986895"/>
    <w:rsid w:val="00986DC4"/>
    <w:rsid w:val="009871BD"/>
    <w:rsid w:val="009900C3"/>
    <w:rsid w:val="00990DF7"/>
    <w:rsid w:val="0099175E"/>
    <w:rsid w:val="00991C58"/>
    <w:rsid w:val="00992367"/>
    <w:rsid w:val="009923E9"/>
    <w:rsid w:val="009924D2"/>
    <w:rsid w:val="00992931"/>
    <w:rsid w:val="00993196"/>
    <w:rsid w:val="009932FD"/>
    <w:rsid w:val="009934E5"/>
    <w:rsid w:val="00993A49"/>
    <w:rsid w:val="00993B40"/>
    <w:rsid w:val="00993D47"/>
    <w:rsid w:val="00993EE7"/>
    <w:rsid w:val="00993FD4"/>
    <w:rsid w:val="0099455E"/>
    <w:rsid w:val="00994618"/>
    <w:rsid w:val="0099469F"/>
    <w:rsid w:val="0099504A"/>
    <w:rsid w:val="0099524F"/>
    <w:rsid w:val="0099526A"/>
    <w:rsid w:val="00995353"/>
    <w:rsid w:val="0099559A"/>
    <w:rsid w:val="009962C6"/>
    <w:rsid w:val="00996F15"/>
    <w:rsid w:val="00997146"/>
    <w:rsid w:val="009974B2"/>
    <w:rsid w:val="0099753C"/>
    <w:rsid w:val="00997B26"/>
    <w:rsid w:val="009A00F4"/>
    <w:rsid w:val="009A013E"/>
    <w:rsid w:val="009A0A4A"/>
    <w:rsid w:val="009A0CFE"/>
    <w:rsid w:val="009A0E92"/>
    <w:rsid w:val="009A1775"/>
    <w:rsid w:val="009A17AD"/>
    <w:rsid w:val="009A1A1F"/>
    <w:rsid w:val="009A2128"/>
    <w:rsid w:val="009A2617"/>
    <w:rsid w:val="009A277C"/>
    <w:rsid w:val="009A299C"/>
    <w:rsid w:val="009A29DA"/>
    <w:rsid w:val="009A3B49"/>
    <w:rsid w:val="009A3FE4"/>
    <w:rsid w:val="009A411C"/>
    <w:rsid w:val="009A41BB"/>
    <w:rsid w:val="009A4836"/>
    <w:rsid w:val="009A4FEC"/>
    <w:rsid w:val="009A5223"/>
    <w:rsid w:val="009A5D32"/>
    <w:rsid w:val="009A6548"/>
    <w:rsid w:val="009A658C"/>
    <w:rsid w:val="009A658F"/>
    <w:rsid w:val="009A66D6"/>
    <w:rsid w:val="009A6ADC"/>
    <w:rsid w:val="009A7383"/>
    <w:rsid w:val="009A7898"/>
    <w:rsid w:val="009A7A86"/>
    <w:rsid w:val="009A7DD4"/>
    <w:rsid w:val="009A7E88"/>
    <w:rsid w:val="009B0730"/>
    <w:rsid w:val="009B0822"/>
    <w:rsid w:val="009B088F"/>
    <w:rsid w:val="009B1452"/>
    <w:rsid w:val="009B16B0"/>
    <w:rsid w:val="009B175D"/>
    <w:rsid w:val="009B192B"/>
    <w:rsid w:val="009B19AE"/>
    <w:rsid w:val="009B1D5D"/>
    <w:rsid w:val="009B2249"/>
    <w:rsid w:val="009B2532"/>
    <w:rsid w:val="009B41BD"/>
    <w:rsid w:val="009B451E"/>
    <w:rsid w:val="009B4FE1"/>
    <w:rsid w:val="009B5333"/>
    <w:rsid w:val="009B598D"/>
    <w:rsid w:val="009B69EC"/>
    <w:rsid w:val="009B6BDC"/>
    <w:rsid w:val="009B6D31"/>
    <w:rsid w:val="009B7410"/>
    <w:rsid w:val="009B769C"/>
    <w:rsid w:val="009B7DA6"/>
    <w:rsid w:val="009B7FC5"/>
    <w:rsid w:val="009C02DE"/>
    <w:rsid w:val="009C0421"/>
    <w:rsid w:val="009C044A"/>
    <w:rsid w:val="009C0504"/>
    <w:rsid w:val="009C09D0"/>
    <w:rsid w:val="009C0BA3"/>
    <w:rsid w:val="009C111D"/>
    <w:rsid w:val="009C1199"/>
    <w:rsid w:val="009C14E3"/>
    <w:rsid w:val="009C2069"/>
    <w:rsid w:val="009C2597"/>
    <w:rsid w:val="009C260E"/>
    <w:rsid w:val="009C2888"/>
    <w:rsid w:val="009C2AD5"/>
    <w:rsid w:val="009C2EE9"/>
    <w:rsid w:val="009C2FA6"/>
    <w:rsid w:val="009C3343"/>
    <w:rsid w:val="009C3EF7"/>
    <w:rsid w:val="009C3F44"/>
    <w:rsid w:val="009C43FD"/>
    <w:rsid w:val="009C49B0"/>
    <w:rsid w:val="009C4DE7"/>
    <w:rsid w:val="009C5662"/>
    <w:rsid w:val="009C5695"/>
    <w:rsid w:val="009C5707"/>
    <w:rsid w:val="009C57A2"/>
    <w:rsid w:val="009C5DAC"/>
    <w:rsid w:val="009C6127"/>
    <w:rsid w:val="009C6B2D"/>
    <w:rsid w:val="009C6D69"/>
    <w:rsid w:val="009C6DF5"/>
    <w:rsid w:val="009C72F9"/>
    <w:rsid w:val="009C76D9"/>
    <w:rsid w:val="009C78E2"/>
    <w:rsid w:val="009C7930"/>
    <w:rsid w:val="009D02DA"/>
    <w:rsid w:val="009D0664"/>
    <w:rsid w:val="009D06C5"/>
    <w:rsid w:val="009D0800"/>
    <w:rsid w:val="009D0AAC"/>
    <w:rsid w:val="009D0FA8"/>
    <w:rsid w:val="009D1B75"/>
    <w:rsid w:val="009D2107"/>
    <w:rsid w:val="009D22A1"/>
    <w:rsid w:val="009D263C"/>
    <w:rsid w:val="009D26A7"/>
    <w:rsid w:val="009D28ED"/>
    <w:rsid w:val="009D29EC"/>
    <w:rsid w:val="009D2CFF"/>
    <w:rsid w:val="009D2D47"/>
    <w:rsid w:val="009D379E"/>
    <w:rsid w:val="009D392C"/>
    <w:rsid w:val="009D3ADE"/>
    <w:rsid w:val="009D4252"/>
    <w:rsid w:val="009D437C"/>
    <w:rsid w:val="009D440B"/>
    <w:rsid w:val="009D493C"/>
    <w:rsid w:val="009D4C9F"/>
    <w:rsid w:val="009D4D15"/>
    <w:rsid w:val="009D5351"/>
    <w:rsid w:val="009D5A0C"/>
    <w:rsid w:val="009D5F0B"/>
    <w:rsid w:val="009D6390"/>
    <w:rsid w:val="009D6641"/>
    <w:rsid w:val="009D6EB2"/>
    <w:rsid w:val="009D70BA"/>
    <w:rsid w:val="009D73AF"/>
    <w:rsid w:val="009D76A8"/>
    <w:rsid w:val="009D79A8"/>
    <w:rsid w:val="009D7B60"/>
    <w:rsid w:val="009E01CF"/>
    <w:rsid w:val="009E0971"/>
    <w:rsid w:val="009E0CA5"/>
    <w:rsid w:val="009E0D21"/>
    <w:rsid w:val="009E0D93"/>
    <w:rsid w:val="009E0DE7"/>
    <w:rsid w:val="009E0E89"/>
    <w:rsid w:val="009E0F5A"/>
    <w:rsid w:val="009E0F9B"/>
    <w:rsid w:val="009E1390"/>
    <w:rsid w:val="009E171B"/>
    <w:rsid w:val="009E18C6"/>
    <w:rsid w:val="009E19E8"/>
    <w:rsid w:val="009E1B5A"/>
    <w:rsid w:val="009E1ECD"/>
    <w:rsid w:val="009E1FD7"/>
    <w:rsid w:val="009E22DC"/>
    <w:rsid w:val="009E261E"/>
    <w:rsid w:val="009E2B0C"/>
    <w:rsid w:val="009E2CD9"/>
    <w:rsid w:val="009E2DE9"/>
    <w:rsid w:val="009E38E9"/>
    <w:rsid w:val="009E3C83"/>
    <w:rsid w:val="009E3D58"/>
    <w:rsid w:val="009E3E89"/>
    <w:rsid w:val="009E3FB9"/>
    <w:rsid w:val="009E4C22"/>
    <w:rsid w:val="009E4C8F"/>
    <w:rsid w:val="009E4C9B"/>
    <w:rsid w:val="009E4DCA"/>
    <w:rsid w:val="009E5485"/>
    <w:rsid w:val="009E66CF"/>
    <w:rsid w:val="009E6DC5"/>
    <w:rsid w:val="009E6F59"/>
    <w:rsid w:val="009E760A"/>
    <w:rsid w:val="009E7A60"/>
    <w:rsid w:val="009E7BD3"/>
    <w:rsid w:val="009E7C75"/>
    <w:rsid w:val="009F04FF"/>
    <w:rsid w:val="009F072C"/>
    <w:rsid w:val="009F0B1C"/>
    <w:rsid w:val="009F0B23"/>
    <w:rsid w:val="009F0F46"/>
    <w:rsid w:val="009F1027"/>
    <w:rsid w:val="009F1261"/>
    <w:rsid w:val="009F1498"/>
    <w:rsid w:val="009F164C"/>
    <w:rsid w:val="009F16EE"/>
    <w:rsid w:val="009F1D6B"/>
    <w:rsid w:val="009F2635"/>
    <w:rsid w:val="009F29E5"/>
    <w:rsid w:val="009F2BB1"/>
    <w:rsid w:val="009F3383"/>
    <w:rsid w:val="009F36A1"/>
    <w:rsid w:val="009F38C2"/>
    <w:rsid w:val="009F3A03"/>
    <w:rsid w:val="009F416E"/>
    <w:rsid w:val="009F5048"/>
    <w:rsid w:val="009F50EA"/>
    <w:rsid w:val="009F51D1"/>
    <w:rsid w:val="009F562A"/>
    <w:rsid w:val="009F59C2"/>
    <w:rsid w:val="009F5A8C"/>
    <w:rsid w:val="009F5E6C"/>
    <w:rsid w:val="009F6082"/>
    <w:rsid w:val="009F6D58"/>
    <w:rsid w:val="009F76AC"/>
    <w:rsid w:val="009F7849"/>
    <w:rsid w:val="009F78B5"/>
    <w:rsid w:val="00A0067D"/>
    <w:rsid w:val="00A00F26"/>
    <w:rsid w:val="00A00FD0"/>
    <w:rsid w:val="00A010EF"/>
    <w:rsid w:val="00A015E8"/>
    <w:rsid w:val="00A01630"/>
    <w:rsid w:val="00A01A37"/>
    <w:rsid w:val="00A0287E"/>
    <w:rsid w:val="00A029C3"/>
    <w:rsid w:val="00A02B07"/>
    <w:rsid w:val="00A03496"/>
    <w:rsid w:val="00A03B30"/>
    <w:rsid w:val="00A03CC9"/>
    <w:rsid w:val="00A04B68"/>
    <w:rsid w:val="00A05D01"/>
    <w:rsid w:val="00A05DB4"/>
    <w:rsid w:val="00A06230"/>
    <w:rsid w:val="00A06BA1"/>
    <w:rsid w:val="00A06F35"/>
    <w:rsid w:val="00A06FD9"/>
    <w:rsid w:val="00A070EB"/>
    <w:rsid w:val="00A071FE"/>
    <w:rsid w:val="00A0758C"/>
    <w:rsid w:val="00A07718"/>
    <w:rsid w:val="00A07D47"/>
    <w:rsid w:val="00A1046C"/>
    <w:rsid w:val="00A1047A"/>
    <w:rsid w:val="00A10593"/>
    <w:rsid w:val="00A10B0F"/>
    <w:rsid w:val="00A112BD"/>
    <w:rsid w:val="00A112E9"/>
    <w:rsid w:val="00A114E9"/>
    <w:rsid w:val="00A1176D"/>
    <w:rsid w:val="00A11DA6"/>
    <w:rsid w:val="00A120CA"/>
    <w:rsid w:val="00A1218D"/>
    <w:rsid w:val="00A121D0"/>
    <w:rsid w:val="00A122FC"/>
    <w:rsid w:val="00A12B93"/>
    <w:rsid w:val="00A12F62"/>
    <w:rsid w:val="00A12F8C"/>
    <w:rsid w:val="00A1335D"/>
    <w:rsid w:val="00A139C2"/>
    <w:rsid w:val="00A13BD2"/>
    <w:rsid w:val="00A13EC6"/>
    <w:rsid w:val="00A14C0A"/>
    <w:rsid w:val="00A14FE9"/>
    <w:rsid w:val="00A15171"/>
    <w:rsid w:val="00A155F0"/>
    <w:rsid w:val="00A157A8"/>
    <w:rsid w:val="00A157B2"/>
    <w:rsid w:val="00A161DA"/>
    <w:rsid w:val="00A1654C"/>
    <w:rsid w:val="00A167D6"/>
    <w:rsid w:val="00A17033"/>
    <w:rsid w:val="00A174D1"/>
    <w:rsid w:val="00A206FD"/>
    <w:rsid w:val="00A208F5"/>
    <w:rsid w:val="00A20CD8"/>
    <w:rsid w:val="00A20CD9"/>
    <w:rsid w:val="00A21039"/>
    <w:rsid w:val="00A2124A"/>
    <w:rsid w:val="00A21617"/>
    <w:rsid w:val="00A2178C"/>
    <w:rsid w:val="00A2181F"/>
    <w:rsid w:val="00A21898"/>
    <w:rsid w:val="00A21999"/>
    <w:rsid w:val="00A21C71"/>
    <w:rsid w:val="00A223AB"/>
    <w:rsid w:val="00A226AD"/>
    <w:rsid w:val="00A22A54"/>
    <w:rsid w:val="00A22D28"/>
    <w:rsid w:val="00A230A4"/>
    <w:rsid w:val="00A23786"/>
    <w:rsid w:val="00A23802"/>
    <w:rsid w:val="00A23AFB"/>
    <w:rsid w:val="00A23D42"/>
    <w:rsid w:val="00A23EF3"/>
    <w:rsid w:val="00A23F97"/>
    <w:rsid w:val="00A2415C"/>
    <w:rsid w:val="00A24459"/>
    <w:rsid w:val="00A24505"/>
    <w:rsid w:val="00A24B90"/>
    <w:rsid w:val="00A24C5D"/>
    <w:rsid w:val="00A25E74"/>
    <w:rsid w:val="00A277A1"/>
    <w:rsid w:val="00A27E74"/>
    <w:rsid w:val="00A3042B"/>
    <w:rsid w:val="00A30526"/>
    <w:rsid w:val="00A3074B"/>
    <w:rsid w:val="00A30B44"/>
    <w:rsid w:val="00A30EC3"/>
    <w:rsid w:val="00A31658"/>
    <w:rsid w:val="00A318C5"/>
    <w:rsid w:val="00A31A84"/>
    <w:rsid w:val="00A31B55"/>
    <w:rsid w:val="00A31C03"/>
    <w:rsid w:val="00A31DA3"/>
    <w:rsid w:val="00A320C4"/>
    <w:rsid w:val="00A32310"/>
    <w:rsid w:val="00A32313"/>
    <w:rsid w:val="00A32396"/>
    <w:rsid w:val="00A32704"/>
    <w:rsid w:val="00A327AC"/>
    <w:rsid w:val="00A329AB"/>
    <w:rsid w:val="00A33059"/>
    <w:rsid w:val="00A331C8"/>
    <w:rsid w:val="00A33E20"/>
    <w:rsid w:val="00A33EE8"/>
    <w:rsid w:val="00A34826"/>
    <w:rsid w:val="00A34B70"/>
    <w:rsid w:val="00A35073"/>
    <w:rsid w:val="00A350E7"/>
    <w:rsid w:val="00A35935"/>
    <w:rsid w:val="00A3633B"/>
    <w:rsid w:val="00A3698F"/>
    <w:rsid w:val="00A369E3"/>
    <w:rsid w:val="00A36C7C"/>
    <w:rsid w:val="00A36DFB"/>
    <w:rsid w:val="00A3749B"/>
    <w:rsid w:val="00A3758B"/>
    <w:rsid w:val="00A37D87"/>
    <w:rsid w:val="00A37EBF"/>
    <w:rsid w:val="00A4065A"/>
    <w:rsid w:val="00A40C11"/>
    <w:rsid w:val="00A40C1E"/>
    <w:rsid w:val="00A40F4A"/>
    <w:rsid w:val="00A40FC6"/>
    <w:rsid w:val="00A41015"/>
    <w:rsid w:val="00A41044"/>
    <w:rsid w:val="00A41132"/>
    <w:rsid w:val="00A41441"/>
    <w:rsid w:val="00A41593"/>
    <w:rsid w:val="00A416D8"/>
    <w:rsid w:val="00A41D3C"/>
    <w:rsid w:val="00A425B4"/>
    <w:rsid w:val="00A4323C"/>
    <w:rsid w:val="00A43C35"/>
    <w:rsid w:val="00A43C47"/>
    <w:rsid w:val="00A43DCF"/>
    <w:rsid w:val="00A441F3"/>
    <w:rsid w:val="00A44910"/>
    <w:rsid w:val="00A44BEB"/>
    <w:rsid w:val="00A44C3B"/>
    <w:rsid w:val="00A44EE6"/>
    <w:rsid w:val="00A4504A"/>
    <w:rsid w:val="00A4515C"/>
    <w:rsid w:val="00A451D2"/>
    <w:rsid w:val="00A4546F"/>
    <w:rsid w:val="00A4549F"/>
    <w:rsid w:val="00A46663"/>
    <w:rsid w:val="00A46ADA"/>
    <w:rsid w:val="00A46F23"/>
    <w:rsid w:val="00A47223"/>
    <w:rsid w:val="00A4735F"/>
    <w:rsid w:val="00A475CD"/>
    <w:rsid w:val="00A476F7"/>
    <w:rsid w:val="00A47A62"/>
    <w:rsid w:val="00A47CAA"/>
    <w:rsid w:val="00A50428"/>
    <w:rsid w:val="00A5054D"/>
    <w:rsid w:val="00A507A2"/>
    <w:rsid w:val="00A50C44"/>
    <w:rsid w:val="00A50CEB"/>
    <w:rsid w:val="00A50D88"/>
    <w:rsid w:val="00A511CC"/>
    <w:rsid w:val="00A51933"/>
    <w:rsid w:val="00A52359"/>
    <w:rsid w:val="00A5263E"/>
    <w:rsid w:val="00A529B5"/>
    <w:rsid w:val="00A53851"/>
    <w:rsid w:val="00A540E8"/>
    <w:rsid w:val="00A54181"/>
    <w:rsid w:val="00A5418B"/>
    <w:rsid w:val="00A54427"/>
    <w:rsid w:val="00A5461E"/>
    <w:rsid w:val="00A54654"/>
    <w:rsid w:val="00A546EF"/>
    <w:rsid w:val="00A549F8"/>
    <w:rsid w:val="00A54D7A"/>
    <w:rsid w:val="00A54D96"/>
    <w:rsid w:val="00A54E45"/>
    <w:rsid w:val="00A54FA2"/>
    <w:rsid w:val="00A5506B"/>
    <w:rsid w:val="00A5534E"/>
    <w:rsid w:val="00A5626F"/>
    <w:rsid w:val="00A5627D"/>
    <w:rsid w:val="00A56923"/>
    <w:rsid w:val="00A56E2B"/>
    <w:rsid w:val="00A5707A"/>
    <w:rsid w:val="00A574D5"/>
    <w:rsid w:val="00A57746"/>
    <w:rsid w:val="00A57954"/>
    <w:rsid w:val="00A57B29"/>
    <w:rsid w:val="00A57BAB"/>
    <w:rsid w:val="00A57F2E"/>
    <w:rsid w:val="00A57F9C"/>
    <w:rsid w:val="00A60074"/>
    <w:rsid w:val="00A6016F"/>
    <w:rsid w:val="00A601AA"/>
    <w:rsid w:val="00A601EC"/>
    <w:rsid w:val="00A6047D"/>
    <w:rsid w:val="00A614FB"/>
    <w:rsid w:val="00A617FB"/>
    <w:rsid w:val="00A61928"/>
    <w:rsid w:val="00A61A26"/>
    <w:rsid w:val="00A61B6C"/>
    <w:rsid w:val="00A6218A"/>
    <w:rsid w:val="00A621AC"/>
    <w:rsid w:val="00A62342"/>
    <w:rsid w:val="00A629CF"/>
    <w:rsid w:val="00A62E42"/>
    <w:rsid w:val="00A62F88"/>
    <w:rsid w:val="00A633BE"/>
    <w:rsid w:val="00A634AB"/>
    <w:rsid w:val="00A6386D"/>
    <w:rsid w:val="00A6393F"/>
    <w:rsid w:val="00A64A71"/>
    <w:rsid w:val="00A64C91"/>
    <w:rsid w:val="00A64F24"/>
    <w:rsid w:val="00A64F48"/>
    <w:rsid w:val="00A652E2"/>
    <w:rsid w:val="00A6543F"/>
    <w:rsid w:val="00A6585C"/>
    <w:rsid w:val="00A660FA"/>
    <w:rsid w:val="00A664AC"/>
    <w:rsid w:val="00A667C8"/>
    <w:rsid w:val="00A66A12"/>
    <w:rsid w:val="00A66A65"/>
    <w:rsid w:val="00A67344"/>
    <w:rsid w:val="00A673F2"/>
    <w:rsid w:val="00A675AD"/>
    <w:rsid w:val="00A67892"/>
    <w:rsid w:val="00A678FA"/>
    <w:rsid w:val="00A700C3"/>
    <w:rsid w:val="00A703E9"/>
    <w:rsid w:val="00A70418"/>
    <w:rsid w:val="00A7055B"/>
    <w:rsid w:val="00A705E0"/>
    <w:rsid w:val="00A7061E"/>
    <w:rsid w:val="00A706F4"/>
    <w:rsid w:val="00A70BBF"/>
    <w:rsid w:val="00A70E85"/>
    <w:rsid w:val="00A70EA7"/>
    <w:rsid w:val="00A710EE"/>
    <w:rsid w:val="00A71B7C"/>
    <w:rsid w:val="00A7236C"/>
    <w:rsid w:val="00A72960"/>
    <w:rsid w:val="00A72CB0"/>
    <w:rsid w:val="00A72D8F"/>
    <w:rsid w:val="00A730C3"/>
    <w:rsid w:val="00A7340A"/>
    <w:rsid w:val="00A7341E"/>
    <w:rsid w:val="00A736E7"/>
    <w:rsid w:val="00A7391A"/>
    <w:rsid w:val="00A73965"/>
    <w:rsid w:val="00A73C38"/>
    <w:rsid w:val="00A73EE5"/>
    <w:rsid w:val="00A7469E"/>
    <w:rsid w:val="00A74815"/>
    <w:rsid w:val="00A74C42"/>
    <w:rsid w:val="00A75524"/>
    <w:rsid w:val="00A755EF"/>
    <w:rsid w:val="00A756A0"/>
    <w:rsid w:val="00A75E78"/>
    <w:rsid w:val="00A7608F"/>
    <w:rsid w:val="00A7612E"/>
    <w:rsid w:val="00A762B5"/>
    <w:rsid w:val="00A76FC3"/>
    <w:rsid w:val="00A77512"/>
    <w:rsid w:val="00A7789B"/>
    <w:rsid w:val="00A77F6E"/>
    <w:rsid w:val="00A80255"/>
    <w:rsid w:val="00A80CFC"/>
    <w:rsid w:val="00A811ED"/>
    <w:rsid w:val="00A81267"/>
    <w:rsid w:val="00A81314"/>
    <w:rsid w:val="00A81AE4"/>
    <w:rsid w:val="00A81DA6"/>
    <w:rsid w:val="00A81E05"/>
    <w:rsid w:val="00A820AA"/>
    <w:rsid w:val="00A827B3"/>
    <w:rsid w:val="00A82F9F"/>
    <w:rsid w:val="00A83044"/>
    <w:rsid w:val="00A835C8"/>
    <w:rsid w:val="00A83A5D"/>
    <w:rsid w:val="00A83E85"/>
    <w:rsid w:val="00A84517"/>
    <w:rsid w:val="00A84683"/>
    <w:rsid w:val="00A8468B"/>
    <w:rsid w:val="00A849FE"/>
    <w:rsid w:val="00A84C6B"/>
    <w:rsid w:val="00A853D8"/>
    <w:rsid w:val="00A85433"/>
    <w:rsid w:val="00A85663"/>
    <w:rsid w:val="00A85B29"/>
    <w:rsid w:val="00A85D4C"/>
    <w:rsid w:val="00A86BC0"/>
    <w:rsid w:val="00A87995"/>
    <w:rsid w:val="00A87AE5"/>
    <w:rsid w:val="00A87B47"/>
    <w:rsid w:val="00A90399"/>
    <w:rsid w:val="00A90BFC"/>
    <w:rsid w:val="00A91C4F"/>
    <w:rsid w:val="00A92146"/>
    <w:rsid w:val="00A924ED"/>
    <w:rsid w:val="00A926AE"/>
    <w:rsid w:val="00A92802"/>
    <w:rsid w:val="00A92897"/>
    <w:rsid w:val="00A92CEB"/>
    <w:rsid w:val="00A92D67"/>
    <w:rsid w:val="00A93153"/>
    <w:rsid w:val="00A93401"/>
    <w:rsid w:val="00A938AA"/>
    <w:rsid w:val="00A93A58"/>
    <w:rsid w:val="00A93FC3"/>
    <w:rsid w:val="00A9459B"/>
    <w:rsid w:val="00A945E5"/>
    <w:rsid w:val="00A94691"/>
    <w:rsid w:val="00A947BA"/>
    <w:rsid w:val="00A947E8"/>
    <w:rsid w:val="00A949CB"/>
    <w:rsid w:val="00A9570D"/>
    <w:rsid w:val="00A95781"/>
    <w:rsid w:val="00A9582F"/>
    <w:rsid w:val="00A95F97"/>
    <w:rsid w:val="00A96284"/>
    <w:rsid w:val="00A96440"/>
    <w:rsid w:val="00A965CD"/>
    <w:rsid w:val="00A967D9"/>
    <w:rsid w:val="00A96D4E"/>
    <w:rsid w:val="00A96D8F"/>
    <w:rsid w:val="00A97015"/>
    <w:rsid w:val="00A97160"/>
    <w:rsid w:val="00A97CDC"/>
    <w:rsid w:val="00A97D47"/>
    <w:rsid w:val="00A97DE1"/>
    <w:rsid w:val="00AA02EB"/>
    <w:rsid w:val="00AA048A"/>
    <w:rsid w:val="00AA0534"/>
    <w:rsid w:val="00AA0828"/>
    <w:rsid w:val="00AA09DA"/>
    <w:rsid w:val="00AA170B"/>
    <w:rsid w:val="00AA19BE"/>
    <w:rsid w:val="00AA20CD"/>
    <w:rsid w:val="00AA2724"/>
    <w:rsid w:val="00AA29CF"/>
    <w:rsid w:val="00AA2F80"/>
    <w:rsid w:val="00AA331B"/>
    <w:rsid w:val="00AA343E"/>
    <w:rsid w:val="00AA37DC"/>
    <w:rsid w:val="00AA3A25"/>
    <w:rsid w:val="00AA3BFE"/>
    <w:rsid w:val="00AA43C2"/>
    <w:rsid w:val="00AA476F"/>
    <w:rsid w:val="00AA4868"/>
    <w:rsid w:val="00AA4869"/>
    <w:rsid w:val="00AA53CC"/>
    <w:rsid w:val="00AA5873"/>
    <w:rsid w:val="00AA5A18"/>
    <w:rsid w:val="00AA5E35"/>
    <w:rsid w:val="00AA6090"/>
    <w:rsid w:val="00AA6315"/>
    <w:rsid w:val="00AA7A65"/>
    <w:rsid w:val="00AA7A6F"/>
    <w:rsid w:val="00AA7D4F"/>
    <w:rsid w:val="00AB0621"/>
    <w:rsid w:val="00AB0CB9"/>
    <w:rsid w:val="00AB0D0D"/>
    <w:rsid w:val="00AB0E35"/>
    <w:rsid w:val="00AB1B98"/>
    <w:rsid w:val="00AB1DD6"/>
    <w:rsid w:val="00AB1EB3"/>
    <w:rsid w:val="00AB22A8"/>
    <w:rsid w:val="00AB2316"/>
    <w:rsid w:val="00AB2B61"/>
    <w:rsid w:val="00AB2BA0"/>
    <w:rsid w:val="00AB2BD1"/>
    <w:rsid w:val="00AB2DCE"/>
    <w:rsid w:val="00AB32A5"/>
    <w:rsid w:val="00AB334D"/>
    <w:rsid w:val="00AB3F21"/>
    <w:rsid w:val="00AB4194"/>
    <w:rsid w:val="00AB487D"/>
    <w:rsid w:val="00AB4D85"/>
    <w:rsid w:val="00AB5893"/>
    <w:rsid w:val="00AB5994"/>
    <w:rsid w:val="00AB5B6B"/>
    <w:rsid w:val="00AB62A4"/>
    <w:rsid w:val="00AB654F"/>
    <w:rsid w:val="00AB6605"/>
    <w:rsid w:val="00AB678C"/>
    <w:rsid w:val="00AB6F39"/>
    <w:rsid w:val="00AB706E"/>
    <w:rsid w:val="00AB7230"/>
    <w:rsid w:val="00AB73B6"/>
    <w:rsid w:val="00AC1392"/>
    <w:rsid w:val="00AC173D"/>
    <w:rsid w:val="00AC17D2"/>
    <w:rsid w:val="00AC1CEC"/>
    <w:rsid w:val="00AC1D5F"/>
    <w:rsid w:val="00AC1EDC"/>
    <w:rsid w:val="00AC1F68"/>
    <w:rsid w:val="00AC20BC"/>
    <w:rsid w:val="00AC22C7"/>
    <w:rsid w:val="00AC2906"/>
    <w:rsid w:val="00AC2BB6"/>
    <w:rsid w:val="00AC2C5F"/>
    <w:rsid w:val="00AC2CE1"/>
    <w:rsid w:val="00AC2E7C"/>
    <w:rsid w:val="00AC3196"/>
    <w:rsid w:val="00AC3C85"/>
    <w:rsid w:val="00AC3F5A"/>
    <w:rsid w:val="00AC4065"/>
    <w:rsid w:val="00AC4965"/>
    <w:rsid w:val="00AC4990"/>
    <w:rsid w:val="00AC4D09"/>
    <w:rsid w:val="00AC5C9B"/>
    <w:rsid w:val="00AC6338"/>
    <w:rsid w:val="00AC66DD"/>
    <w:rsid w:val="00AC75E2"/>
    <w:rsid w:val="00AC766D"/>
    <w:rsid w:val="00AC78CE"/>
    <w:rsid w:val="00AD00A5"/>
    <w:rsid w:val="00AD0252"/>
    <w:rsid w:val="00AD050F"/>
    <w:rsid w:val="00AD053F"/>
    <w:rsid w:val="00AD0A83"/>
    <w:rsid w:val="00AD0B59"/>
    <w:rsid w:val="00AD2962"/>
    <w:rsid w:val="00AD2BF2"/>
    <w:rsid w:val="00AD2CB5"/>
    <w:rsid w:val="00AD306E"/>
    <w:rsid w:val="00AD330E"/>
    <w:rsid w:val="00AD3525"/>
    <w:rsid w:val="00AD3D4B"/>
    <w:rsid w:val="00AD3DE8"/>
    <w:rsid w:val="00AD400B"/>
    <w:rsid w:val="00AD4423"/>
    <w:rsid w:val="00AD4638"/>
    <w:rsid w:val="00AD464B"/>
    <w:rsid w:val="00AD4DB0"/>
    <w:rsid w:val="00AD4F0C"/>
    <w:rsid w:val="00AD55FB"/>
    <w:rsid w:val="00AD574C"/>
    <w:rsid w:val="00AD595F"/>
    <w:rsid w:val="00AD5A33"/>
    <w:rsid w:val="00AD5B3D"/>
    <w:rsid w:val="00AD5E94"/>
    <w:rsid w:val="00AD6577"/>
    <w:rsid w:val="00AD6EC4"/>
    <w:rsid w:val="00AD7202"/>
    <w:rsid w:val="00AD735F"/>
    <w:rsid w:val="00AD7525"/>
    <w:rsid w:val="00AD7856"/>
    <w:rsid w:val="00AD78D9"/>
    <w:rsid w:val="00AD7F34"/>
    <w:rsid w:val="00AE07A3"/>
    <w:rsid w:val="00AE0B7E"/>
    <w:rsid w:val="00AE0D6A"/>
    <w:rsid w:val="00AE0F9B"/>
    <w:rsid w:val="00AE100F"/>
    <w:rsid w:val="00AE105A"/>
    <w:rsid w:val="00AE137D"/>
    <w:rsid w:val="00AE1619"/>
    <w:rsid w:val="00AE187D"/>
    <w:rsid w:val="00AE1D95"/>
    <w:rsid w:val="00AE2540"/>
    <w:rsid w:val="00AE2825"/>
    <w:rsid w:val="00AE2878"/>
    <w:rsid w:val="00AE29A3"/>
    <w:rsid w:val="00AE29E3"/>
    <w:rsid w:val="00AE2CEB"/>
    <w:rsid w:val="00AE2E4B"/>
    <w:rsid w:val="00AE2F90"/>
    <w:rsid w:val="00AE30A8"/>
    <w:rsid w:val="00AE360C"/>
    <w:rsid w:val="00AE37E0"/>
    <w:rsid w:val="00AE3B9A"/>
    <w:rsid w:val="00AE433E"/>
    <w:rsid w:val="00AE435D"/>
    <w:rsid w:val="00AE482B"/>
    <w:rsid w:val="00AE49A0"/>
    <w:rsid w:val="00AE544D"/>
    <w:rsid w:val="00AE5676"/>
    <w:rsid w:val="00AE5E5C"/>
    <w:rsid w:val="00AE61F2"/>
    <w:rsid w:val="00AE654A"/>
    <w:rsid w:val="00AE6570"/>
    <w:rsid w:val="00AE70F7"/>
    <w:rsid w:val="00AE762F"/>
    <w:rsid w:val="00AE79F8"/>
    <w:rsid w:val="00AF00A1"/>
    <w:rsid w:val="00AF02C0"/>
    <w:rsid w:val="00AF0DC9"/>
    <w:rsid w:val="00AF0FE8"/>
    <w:rsid w:val="00AF12D6"/>
    <w:rsid w:val="00AF188E"/>
    <w:rsid w:val="00AF1B12"/>
    <w:rsid w:val="00AF2068"/>
    <w:rsid w:val="00AF209D"/>
    <w:rsid w:val="00AF2730"/>
    <w:rsid w:val="00AF278C"/>
    <w:rsid w:val="00AF2875"/>
    <w:rsid w:val="00AF3218"/>
    <w:rsid w:val="00AF3246"/>
    <w:rsid w:val="00AF3AD6"/>
    <w:rsid w:val="00AF3FF7"/>
    <w:rsid w:val="00AF4394"/>
    <w:rsid w:val="00AF483D"/>
    <w:rsid w:val="00AF49E5"/>
    <w:rsid w:val="00AF4FFF"/>
    <w:rsid w:val="00AF5237"/>
    <w:rsid w:val="00AF5B47"/>
    <w:rsid w:val="00AF6537"/>
    <w:rsid w:val="00AF6682"/>
    <w:rsid w:val="00AF66D9"/>
    <w:rsid w:val="00AF6D5A"/>
    <w:rsid w:val="00AF6E32"/>
    <w:rsid w:val="00AF6E58"/>
    <w:rsid w:val="00AF743E"/>
    <w:rsid w:val="00AF7600"/>
    <w:rsid w:val="00AF7701"/>
    <w:rsid w:val="00AF7949"/>
    <w:rsid w:val="00B007C7"/>
    <w:rsid w:val="00B007D9"/>
    <w:rsid w:val="00B00D38"/>
    <w:rsid w:val="00B01D70"/>
    <w:rsid w:val="00B01F68"/>
    <w:rsid w:val="00B0226D"/>
    <w:rsid w:val="00B02629"/>
    <w:rsid w:val="00B02743"/>
    <w:rsid w:val="00B02E9D"/>
    <w:rsid w:val="00B02F76"/>
    <w:rsid w:val="00B03277"/>
    <w:rsid w:val="00B033CE"/>
    <w:rsid w:val="00B03793"/>
    <w:rsid w:val="00B03DD6"/>
    <w:rsid w:val="00B03E8A"/>
    <w:rsid w:val="00B04806"/>
    <w:rsid w:val="00B04D84"/>
    <w:rsid w:val="00B0539F"/>
    <w:rsid w:val="00B05AB6"/>
    <w:rsid w:val="00B05C10"/>
    <w:rsid w:val="00B05C38"/>
    <w:rsid w:val="00B0606F"/>
    <w:rsid w:val="00B0658E"/>
    <w:rsid w:val="00B06598"/>
    <w:rsid w:val="00B065B3"/>
    <w:rsid w:val="00B06690"/>
    <w:rsid w:val="00B0680D"/>
    <w:rsid w:val="00B0685D"/>
    <w:rsid w:val="00B06885"/>
    <w:rsid w:val="00B069C0"/>
    <w:rsid w:val="00B06E21"/>
    <w:rsid w:val="00B06E2B"/>
    <w:rsid w:val="00B07C25"/>
    <w:rsid w:val="00B07D5B"/>
    <w:rsid w:val="00B1022B"/>
    <w:rsid w:val="00B109AB"/>
    <w:rsid w:val="00B10EEF"/>
    <w:rsid w:val="00B115B9"/>
    <w:rsid w:val="00B11DE6"/>
    <w:rsid w:val="00B1201C"/>
    <w:rsid w:val="00B12072"/>
    <w:rsid w:val="00B12248"/>
    <w:rsid w:val="00B12361"/>
    <w:rsid w:val="00B128BC"/>
    <w:rsid w:val="00B137BE"/>
    <w:rsid w:val="00B13A79"/>
    <w:rsid w:val="00B13C81"/>
    <w:rsid w:val="00B13E68"/>
    <w:rsid w:val="00B14484"/>
    <w:rsid w:val="00B144FB"/>
    <w:rsid w:val="00B146CD"/>
    <w:rsid w:val="00B1472C"/>
    <w:rsid w:val="00B14D67"/>
    <w:rsid w:val="00B14FCA"/>
    <w:rsid w:val="00B15507"/>
    <w:rsid w:val="00B1582E"/>
    <w:rsid w:val="00B15BEA"/>
    <w:rsid w:val="00B161B5"/>
    <w:rsid w:val="00B16763"/>
    <w:rsid w:val="00B16CF5"/>
    <w:rsid w:val="00B16EEF"/>
    <w:rsid w:val="00B17146"/>
    <w:rsid w:val="00B17566"/>
    <w:rsid w:val="00B17741"/>
    <w:rsid w:val="00B17FD2"/>
    <w:rsid w:val="00B20031"/>
    <w:rsid w:val="00B20338"/>
    <w:rsid w:val="00B2086E"/>
    <w:rsid w:val="00B20E0D"/>
    <w:rsid w:val="00B21076"/>
    <w:rsid w:val="00B214C6"/>
    <w:rsid w:val="00B2174B"/>
    <w:rsid w:val="00B221D4"/>
    <w:rsid w:val="00B226D6"/>
    <w:rsid w:val="00B2273D"/>
    <w:rsid w:val="00B22F60"/>
    <w:rsid w:val="00B2455B"/>
    <w:rsid w:val="00B2458F"/>
    <w:rsid w:val="00B24793"/>
    <w:rsid w:val="00B25477"/>
    <w:rsid w:val="00B25A7B"/>
    <w:rsid w:val="00B25CEC"/>
    <w:rsid w:val="00B26137"/>
    <w:rsid w:val="00B27188"/>
    <w:rsid w:val="00B276A1"/>
    <w:rsid w:val="00B277A0"/>
    <w:rsid w:val="00B30050"/>
    <w:rsid w:val="00B3053C"/>
    <w:rsid w:val="00B306FC"/>
    <w:rsid w:val="00B3079E"/>
    <w:rsid w:val="00B30B08"/>
    <w:rsid w:val="00B3191E"/>
    <w:rsid w:val="00B31ADA"/>
    <w:rsid w:val="00B32178"/>
    <w:rsid w:val="00B32349"/>
    <w:rsid w:val="00B32430"/>
    <w:rsid w:val="00B32754"/>
    <w:rsid w:val="00B32EC6"/>
    <w:rsid w:val="00B32F2B"/>
    <w:rsid w:val="00B32FC7"/>
    <w:rsid w:val="00B33077"/>
    <w:rsid w:val="00B3337F"/>
    <w:rsid w:val="00B34691"/>
    <w:rsid w:val="00B35171"/>
    <w:rsid w:val="00B3583B"/>
    <w:rsid w:val="00B35B53"/>
    <w:rsid w:val="00B35B5A"/>
    <w:rsid w:val="00B3603F"/>
    <w:rsid w:val="00B36115"/>
    <w:rsid w:val="00B364B9"/>
    <w:rsid w:val="00B364FA"/>
    <w:rsid w:val="00B3660B"/>
    <w:rsid w:val="00B3677E"/>
    <w:rsid w:val="00B368AA"/>
    <w:rsid w:val="00B36902"/>
    <w:rsid w:val="00B36919"/>
    <w:rsid w:val="00B3706A"/>
    <w:rsid w:val="00B371AD"/>
    <w:rsid w:val="00B37A8F"/>
    <w:rsid w:val="00B37AAA"/>
    <w:rsid w:val="00B37F70"/>
    <w:rsid w:val="00B40215"/>
    <w:rsid w:val="00B4045A"/>
    <w:rsid w:val="00B406B0"/>
    <w:rsid w:val="00B408D5"/>
    <w:rsid w:val="00B40CDA"/>
    <w:rsid w:val="00B40CEA"/>
    <w:rsid w:val="00B41092"/>
    <w:rsid w:val="00B413B4"/>
    <w:rsid w:val="00B41487"/>
    <w:rsid w:val="00B4150A"/>
    <w:rsid w:val="00B418A8"/>
    <w:rsid w:val="00B418C4"/>
    <w:rsid w:val="00B4190B"/>
    <w:rsid w:val="00B41D4F"/>
    <w:rsid w:val="00B423AA"/>
    <w:rsid w:val="00B42AEA"/>
    <w:rsid w:val="00B4324F"/>
    <w:rsid w:val="00B436F8"/>
    <w:rsid w:val="00B4375D"/>
    <w:rsid w:val="00B4403D"/>
    <w:rsid w:val="00B441F3"/>
    <w:rsid w:val="00B448C6"/>
    <w:rsid w:val="00B44916"/>
    <w:rsid w:val="00B44DEF"/>
    <w:rsid w:val="00B44F2A"/>
    <w:rsid w:val="00B4526E"/>
    <w:rsid w:val="00B45480"/>
    <w:rsid w:val="00B4565F"/>
    <w:rsid w:val="00B45A9D"/>
    <w:rsid w:val="00B461FE"/>
    <w:rsid w:val="00B46D35"/>
    <w:rsid w:val="00B46E0E"/>
    <w:rsid w:val="00B472DE"/>
    <w:rsid w:val="00B5011D"/>
    <w:rsid w:val="00B50318"/>
    <w:rsid w:val="00B50504"/>
    <w:rsid w:val="00B5084E"/>
    <w:rsid w:val="00B50BF6"/>
    <w:rsid w:val="00B50D8D"/>
    <w:rsid w:val="00B51097"/>
    <w:rsid w:val="00B5140E"/>
    <w:rsid w:val="00B51901"/>
    <w:rsid w:val="00B51D8B"/>
    <w:rsid w:val="00B51D97"/>
    <w:rsid w:val="00B525B7"/>
    <w:rsid w:val="00B525C2"/>
    <w:rsid w:val="00B53441"/>
    <w:rsid w:val="00B538A5"/>
    <w:rsid w:val="00B54355"/>
    <w:rsid w:val="00B54BB3"/>
    <w:rsid w:val="00B55553"/>
    <w:rsid w:val="00B55801"/>
    <w:rsid w:val="00B55B04"/>
    <w:rsid w:val="00B5624F"/>
    <w:rsid w:val="00B570C6"/>
    <w:rsid w:val="00B570D1"/>
    <w:rsid w:val="00B57747"/>
    <w:rsid w:val="00B57760"/>
    <w:rsid w:val="00B57C35"/>
    <w:rsid w:val="00B57D8F"/>
    <w:rsid w:val="00B60959"/>
    <w:rsid w:val="00B60A56"/>
    <w:rsid w:val="00B60E4D"/>
    <w:rsid w:val="00B6153E"/>
    <w:rsid w:val="00B619DE"/>
    <w:rsid w:val="00B61C1C"/>
    <w:rsid w:val="00B62BCD"/>
    <w:rsid w:val="00B62C81"/>
    <w:rsid w:val="00B62DAD"/>
    <w:rsid w:val="00B62FDB"/>
    <w:rsid w:val="00B63759"/>
    <w:rsid w:val="00B6385F"/>
    <w:rsid w:val="00B64224"/>
    <w:rsid w:val="00B64330"/>
    <w:rsid w:val="00B6472E"/>
    <w:rsid w:val="00B64DB9"/>
    <w:rsid w:val="00B65347"/>
    <w:rsid w:val="00B6569E"/>
    <w:rsid w:val="00B65804"/>
    <w:rsid w:val="00B65DE1"/>
    <w:rsid w:val="00B65DF3"/>
    <w:rsid w:val="00B66148"/>
    <w:rsid w:val="00B666C7"/>
    <w:rsid w:val="00B66AF5"/>
    <w:rsid w:val="00B675FD"/>
    <w:rsid w:val="00B70A35"/>
    <w:rsid w:val="00B70A45"/>
    <w:rsid w:val="00B7140D"/>
    <w:rsid w:val="00B717FD"/>
    <w:rsid w:val="00B7183F"/>
    <w:rsid w:val="00B718C5"/>
    <w:rsid w:val="00B71BAC"/>
    <w:rsid w:val="00B71CAC"/>
    <w:rsid w:val="00B721A1"/>
    <w:rsid w:val="00B7250D"/>
    <w:rsid w:val="00B72594"/>
    <w:rsid w:val="00B72866"/>
    <w:rsid w:val="00B72A75"/>
    <w:rsid w:val="00B72AF0"/>
    <w:rsid w:val="00B72B84"/>
    <w:rsid w:val="00B72D11"/>
    <w:rsid w:val="00B730D4"/>
    <w:rsid w:val="00B73435"/>
    <w:rsid w:val="00B7344E"/>
    <w:rsid w:val="00B737EB"/>
    <w:rsid w:val="00B738DB"/>
    <w:rsid w:val="00B73CCD"/>
    <w:rsid w:val="00B73D94"/>
    <w:rsid w:val="00B73FE0"/>
    <w:rsid w:val="00B74174"/>
    <w:rsid w:val="00B7453A"/>
    <w:rsid w:val="00B74543"/>
    <w:rsid w:val="00B74ADF"/>
    <w:rsid w:val="00B7509A"/>
    <w:rsid w:val="00B75183"/>
    <w:rsid w:val="00B758AA"/>
    <w:rsid w:val="00B75F84"/>
    <w:rsid w:val="00B75FD7"/>
    <w:rsid w:val="00B76073"/>
    <w:rsid w:val="00B760E6"/>
    <w:rsid w:val="00B764D3"/>
    <w:rsid w:val="00B766E0"/>
    <w:rsid w:val="00B76EAE"/>
    <w:rsid w:val="00B773B9"/>
    <w:rsid w:val="00B775EE"/>
    <w:rsid w:val="00B776F0"/>
    <w:rsid w:val="00B7779A"/>
    <w:rsid w:val="00B77AC1"/>
    <w:rsid w:val="00B77AFE"/>
    <w:rsid w:val="00B77C0C"/>
    <w:rsid w:val="00B8083B"/>
    <w:rsid w:val="00B81379"/>
    <w:rsid w:val="00B81F9E"/>
    <w:rsid w:val="00B82019"/>
    <w:rsid w:val="00B8235F"/>
    <w:rsid w:val="00B82368"/>
    <w:rsid w:val="00B823EB"/>
    <w:rsid w:val="00B82673"/>
    <w:rsid w:val="00B8272D"/>
    <w:rsid w:val="00B8297C"/>
    <w:rsid w:val="00B82F19"/>
    <w:rsid w:val="00B833BF"/>
    <w:rsid w:val="00B837CF"/>
    <w:rsid w:val="00B840C7"/>
    <w:rsid w:val="00B84B31"/>
    <w:rsid w:val="00B8518B"/>
    <w:rsid w:val="00B85BB8"/>
    <w:rsid w:val="00B85E4B"/>
    <w:rsid w:val="00B8674D"/>
    <w:rsid w:val="00B86DA3"/>
    <w:rsid w:val="00B87927"/>
    <w:rsid w:val="00B87BCE"/>
    <w:rsid w:val="00B9043A"/>
    <w:rsid w:val="00B90833"/>
    <w:rsid w:val="00B90AD6"/>
    <w:rsid w:val="00B90BED"/>
    <w:rsid w:val="00B91B9B"/>
    <w:rsid w:val="00B91ECE"/>
    <w:rsid w:val="00B92318"/>
    <w:rsid w:val="00B925FE"/>
    <w:rsid w:val="00B9284B"/>
    <w:rsid w:val="00B92968"/>
    <w:rsid w:val="00B93610"/>
    <w:rsid w:val="00B94103"/>
    <w:rsid w:val="00B94558"/>
    <w:rsid w:val="00B9476E"/>
    <w:rsid w:val="00B94805"/>
    <w:rsid w:val="00B948AF"/>
    <w:rsid w:val="00B94EC1"/>
    <w:rsid w:val="00B9512F"/>
    <w:rsid w:val="00B95EB9"/>
    <w:rsid w:val="00B96939"/>
    <w:rsid w:val="00B96AA2"/>
    <w:rsid w:val="00B96BA1"/>
    <w:rsid w:val="00B96DE1"/>
    <w:rsid w:val="00B97533"/>
    <w:rsid w:val="00B97679"/>
    <w:rsid w:val="00B9771F"/>
    <w:rsid w:val="00B978E0"/>
    <w:rsid w:val="00B97B75"/>
    <w:rsid w:val="00B97ECE"/>
    <w:rsid w:val="00BA00A0"/>
    <w:rsid w:val="00BA02F2"/>
    <w:rsid w:val="00BA04CB"/>
    <w:rsid w:val="00BA08A6"/>
    <w:rsid w:val="00BA091A"/>
    <w:rsid w:val="00BA0B0A"/>
    <w:rsid w:val="00BA0C92"/>
    <w:rsid w:val="00BA0D05"/>
    <w:rsid w:val="00BA203D"/>
    <w:rsid w:val="00BA26B6"/>
    <w:rsid w:val="00BA390F"/>
    <w:rsid w:val="00BA42A5"/>
    <w:rsid w:val="00BA4614"/>
    <w:rsid w:val="00BA49B0"/>
    <w:rsid w:val="00BA4B65"/>
    <w:rsid w:val="00BA50BA"/>
    <w:rsid w:val="00BA5232"/>
    <w:rsid w:val="00BA55FE"/>
    <w:rsid w:val="00BA5A41"/>
    <w:rsid w:val="00BA5A83"/>
    <w:rsid w:val="00BA5B3F"/>
    <w:rsid w:val="00BA5B88"/>
    <w:rsid w:val="00BA5C00"/>
    <w:rsid w:val="00BA617F"/>
    <w:rsid w:val="00BA6870"/>
    <w:rsid w:val="00BA6B34"/>
    <w:rsid w:val="00BA7715"/>
    <w:rsid w:val="00BA7831"/>
    <w:rsid w:val="00BA7A76"/>
    <w:rsid w:val="00BA7B7E"/>
    <w:rsid w:val="00BA7EFE"/>
    <w:rsid w:val="00BA7F5C"/>
    <w:rsid w:val="00BB00F3"/>
    <w:rsid w:val="00BB055D"/>
    <w:rsid w:val="00BB1788"/>
    <w:rsid w:val="00BB1B16"/>
    <w:rsid w:val="00BB1B5E"/>
    <w:rsid w:val="00BB1CD2"/>
    <w:rsid w:val="00BB1D97"/>
    <w:rsid w:val="00BB29C7"/>
    <w:rsid w:val="00BB2A1A"/>
    <w:rsid w:val="00BB3024"/>
    <w:rsid w:val="00BB30A9"/>
    <w:rsid w:val="00BB33DD"/>
    <w:rsid w:val="00BB353A"/>
    <w:rsid w:val="00BB36C4"/>
    <w:rsid w:val="00BB3B8F"/>
    <w:rsid w:val="00BB447B"/>
    <w:rsid w:val="00BB4B39"/>
    <w:rsid w:val="00BB550B"/>
    <w:rsid w:val="00BB59A9"/>
    <w:rsid w:val="00BB5A82"/>
    <w:rsid w:val="00BB67C6"/>
    <w:rsid w:val="00BB6B90"/>
    <w:rsid w:val="00BB6FE9"/>
    <w:rsid w:val="00BB777A"/>
    <w:rsid w:val="00BB7CB2"/>
    <w:rsid w:val="00BB7EF2"/>
    <w:rsid w:val="00BC056B"/>
    <w:rsid w:val="00BC066E"/>
    <w:rsid w:val="00BC099D"/>
    <w:rsid w:val="00BC0FD8"/>
    <w:rsid w:val="00BC1561"/>
    <w:rsid w:val="00BC17D3"/>
    <w:rsid w:val="00BC1C7D"/>
    <w:rsid w:val="00BC1D79"/>
    <w:rsid w:val="00BC2158"/>
    <w:rsid w:val="00BC216B"/>
    <w:rsid w:val="00BC231B"/>
    <w:rsid w:val="00BC238A"/>
    <w:rsid w:val="00BC2429"/>
    <w:rsid w:val="00BC250E"/>
    <w:rsid w:val="00BC2953"/>
    <w:rsid w:val="00BC30F9"/>
    <w:rsid w:val="00BC4041"/>
    <w:rsid w:val="00BC4376"/>
    <w:rsid w:val="00BC44D9"/>
    <w:rsid w:val="00BC4A96"/>
    <w:rsid w:val="00BC4AC0"/>
    <w:rsid w:val="00BC4B90"/>
    <w:rsid w:val="00BC4CAD"/>
    <w:rsid w:val="00BC5226"/>
    <w:rsid w:val="00BC57BA"/>
    <w:rsid w:val="00BC5DDA"/>
    <w:rsid w:val="00BC6720"/>
    <w:rsid w:val="00BC6CEE"/>
    <w:rsid w:val="00BC6E69"/>
    <w:rsid w:val="00BC753D"/>
    <w:rsid w:val="00BC78B5"/>
    <w:rsid w:val="00BC7BD1"/>
    <w:rsid w:val="00BD00DC"/>
    <w:rsid w:val="00BD010E"/>
    <w:rsid w:val="00BD0B2B"/>
    <w:rsid w:val="00BD1528"/>
    <w:rsid w:val="00BD166C"/>
    <w:rsid w:val="00BD2469"/>
    <w:rsid w:val="00BD26AA"/>
    <w:rsid w:val="00BD29A9"/>
    <w:rsid w:val="00BD29FB"/>
    <w:rsid w:val="00BD2B12"/>
    <w:rsid w:val="00BD3099"/>
    <w:rsid w:val="00BD343C"/>
    <w:rsid w:val="00BD39EF"/>
    <w:rsid w:val="00BD3C6D"/>
    <w:rsid w:val="00BD3E3E"/>
    <w:rsid w:val="00BD43CA"/>
    <w:rsid w:val="00BD454F"/>
    <w:rsid w:val="00BD468D"/>
    <w:rsid w:val="00BD48D5"/>
    <w:rsid w:val="00BD491A"/>
    <w:rsid w:val="00BD4944"/>
    <w:rsid w:val="00BD4EA2"/>
    <w:rsid w:val="00BD58DE"/>
    <w:rsid w:val="00BD5AC3"/>
    <w:rsid w:val="00BD5C5A"/>
    <w:rsid w:val="00BD5F43"/>
    <w:rsid w:val="00BD6369"/>
    <w:rsid w:val="00BD6583"/>
    <w:rsid w:val="00BD6858"/>
    <w:rsid w:val="00BD7089"/>
    <w:rsid w:val="00BD70DC"/>
    <w:rsid w:val="00BD7666"/>
    <w:rsid w:val="00BD766B"/>
    <w:rsid w:val="00BE0732"/>
    <w:rsid w:val="00BE079C"/>
    <w:rsid w:val="00BE0C62"/>
    <w:rsid w:val="00BE110A"/>
    <w:rsid w:val="00BE115F"/>
    <w:rsid w:val="00BE123D"/>
    <w:rsid w:val="00BE1A72"/>
    <w:rsid w:val="00BE1BC6"/>
    <w:rsid w:val="00BE1EE4"/>
    <w:rsid w:val="00BE234E"/>
    <w:rsid w:val="00BE2731"/>
    <w:rsid w:val="00BE28BF"/>
    <w:rsid w:val="00BE28F9"/>
    <w:rsid w:val="00BE2952"/>
    <w:rsid w:val="00BE2B76"/>
    <w:rsid w:val="00BE2E6D"/>
    <w:rsid w:val="00BE387F"/>
    <w:rsid w:val="00BE38AD"/>
    <w:rsid w:val="00BE3C0F"/>
    <w:rsid w:val="00BE3E22"/>
    <w:rsid w:val="00BE431F"/>
    <w:rsid w:val="00BE43DE"/>
    <w:rsid w:val="00BE4438"/>
    <w:rsid w:val="00BE47ED"/>
    <w:rsid w:val="00BE4CE0"/>
    <w:rsid w:val="00BE4E0D"/>
    <w:rsid w:val="00BE4E23"/>
    <w:rsid w:val="00BE4FF2"/>
    <w:rsid w:val="00BE525D"/>
    <w:rsid w:val="00BE53FF"/>
    <w:rsid w:val="00BE540F"/>
    <w:rsid w:val="00BE5707"/>
    <w:rsid w:val="00BE5A5A"/>
    <w:rsid w:val="00BE5B15"/>
    <w:rsid w:val="00BE5CA7"/>
    <w:rsid w:val="00BE5D61"/>
    <w:rsid w:val="00BE60C1"/>
    <w:rsid w:val="00BE669F"/>
    <w:rsid w:val="00BE6728"/>
    <w:rsid w:val="00BE67EF"/>
    <w:rsid w:val="00BE6934"/>
    <w:rsid w:val="00BE72CA"/>
    <w:rsid w:val="00BE7898"/>
    <w:rsid w:val="00BE7E71"/>
    <w:rsid w:val="00BE7EA5"/>
    <w:rsid w:val="00BF0113"/>
    <w:rsid w:val="00BF10EC"/>
    <w:rsid w:val="00BF195C"/>
    <w:rsid w:val="00BF1B3F"/>
    <w:rsid w:val="00BF1B76"/>
    <w:rsid w:val="00BF251C"/>
    <w:rsid w:val="00BF2793"/>
    <w:rsid w:val="00BF289F"/>
    <w:rsid w:val="00BF2B9F"/>
    <w:rsid w:val="00BF3263"/>
    <w:rsid w:val="00BF3849"/>
    <w:rsid w:val="00BF3B8B"/>
    <w:rsid w:val="00BF3ECC"/>
    <w:rsid w:val="00BF4063"/>
    <w:rsid w:val="00BF4ADC"/>
    <w:rsid w:val="00BF5052"/>
    <w:rsid w:val="00BF5764"/>
    <w:rsid w:val="00BF58CD"/>
    <w:rsid w:val="00BF5963"/>
    <w:rsid w:val="00BF596F"/>
    <w:rsid w:val="00BF5AD3"/>
    <w:rsid w:val="00BF5C82"/>
    <w:rsid w:val="00BF739A"/>
    <w:rsid w:val="00BF7710"/>
    <w:rsid w:val="00C0006C"/>
    <w:rsid w:val="00C002DA"/>
    <w:rsid w:val="00C002F4"/>
    <w:rsid w:val="00C005D8"/>
    <w:rsid w:val="00C0073C"/>
    <w:rsid w:val="00C007C1"/>
    <w:rsid w:val="00C0098E"/>
    <w:rsid w:val="00C00C1C"/>
    <w:rsid w:val="00C00E17"/>
    <w:rsid w:val="00C00E7F"/>
    <w:rsid w:val="00C00FA0"/>
    <w:rsid w:val="00C01109"/>
    <w:rsid w:val="00C01231"/>
    <w:rsid w:val="00C0146E"/>
    <w:rsid w:val="00C01DCC"/>
    <w:rsid w:val="00C01F32"/>
    <w:rsid w:val="00C032E0"/>
    <w:rsid w:val="00C033F5"/>
    <w:rsid w:val="00C034CC"/>
    <w:rsid w:val="00C040EE"/>
    <w:rsid w:val="00C04F8B"/>
    <w:rsid w:val="00C0544F"/>
    <w:rsid w:val="00C05601"/>
    <w:rsid w:val="00C05CB1"/>
    <w:rsid w:val="00C05CF2"/>
    <w:rsid w:val="00C05F12"/>
    <w:rsid w:val="00C06DBD"/>
    <w:rsid w:val="00C0731E"/>
    <w:rsid w:val="00C0775D"/>
    <w:rsid w:val="00C07C23"/>
    <w:rsid w:val="00C07C41"/>
    <w:rsid w:val="00C07E7F"/>
    <w:rsid w:val="00C07FFB"/>
    <w:rsid w:val="00C0F366"/>
    <w:rsid w:val="00C10085"/>
    <w:rsid w:val="00C101CB"/>
    <w:rsid w:val="00C104C2"/>
    <w:rsid w:val="00C105DD"/>
    <w:rsid w:val="00C107C1"/>
    <w:rsid w:val="00C107FE"/>
    <w:rsid w:val="00C1140B"/>
    <w:rsid w:val="00C115D5"/>
    <w:rsid w:val="00C12590"/>
    <w:rsid w:val="00C13404"/>
    <w:rsid w:val="00C135D5"/>
    <w:rsid w:val="00C13E1C"/>
    <w:rsid w:val="00C13ECC"/>
    <w:rsid w:val="00C14472"/>
    <w:rsid w:val="00C14AFF"/>
    <w:rsid w:val="00C14B5F"/>
    <w:rsid w:val="00C14E2E"/>
    <w:rsid w:val="00C15A64"/>
    <w:rsid w:val="00C15C3C"/>
    <w:rsid w:val="00C166FC"/>
    <w:rsid w:val="00C16B41"/>
    <w:rsid w:val="00C17179"/>
    <w:rsid w:val="00C173B6"/>
    <w:rsid w:val="00C17404"/>
    <w:rsid w:val="00C178C7"/>
    <w:rsid w:val="00C17B05"/>
    <w:rsid w:val="00C17F46"/>
    <w:rsid w:val="00C20077"/>
    <w:rsid w:val="00C20248"/>
    <w:rsid w:val="00C202B3"/>
    <w:rsid w:val="00C20474"/>
    <w:rsid w:val="00C20763"/>
    <w:rsid w:val="00C20A82"/>
    <w:rsid w:val="00C20C3E"/>
    <w:rsid w:val="00C20F04"/>
    <w:rsid w:val="00C2141A"/>
    <w:rsid w:val="00C21459"/>
    <w:rsid w:val="00C214D2"/>
    <w:rsid w:val="00C21938"/>
    <w:rsid w:val="00C21EE0"/>
    <w:rsid w:val="00C22343"/>
    <w:rsid w:val="00C227EF"/>
    <w:rsid w:val="00C22DAE"/>
    <w:rsid w:val="00C22F90"/>
    <w:rsid w:val="00C22FA0"/>
    <w:rsid w:val="00C2312B"/>
    <w:rsid w:val="00C23368"/>
    <w:rsid w:val="00C240C9"/>
    <w:rsid w:val="00C242C9"/>
    <w:rsid w:val="00C24D46"/>
    <w:rsid w:val="00C24E05"/>
    <w:rsid w:val="00C252C3"/>
    <w:rsid w:val="00C256F7"/>
    <w:rsid w:val="00C26062"/>
    <w:rsid w:val="00C2647D"/>
    <w:rsid w:val="00C26E23"/>
    <w:rsid w:val="00C2706B"/>
    <w:rsid w:val="00C276AF"/>
    <w:rsid w:val="00C27BE5"/>
    <w:rsid w:val="00C27EB6"/>
    <w:rsid w:val="00C30297"/>
    <w:rsid w:val="00C302B1"/>
    <w:rsid w:val="00C304FB"/>
    <w:rsid w:val="00C3067A"/>
    <w:rsid w:val="00C307C4"/>
    <w:rsid w:val="00C30C1D"/>
    <w:rsid w:val="00C31209"/>
    <w:rsid w:val="00C3125B"/>
    <w:rsid w:val="00C31435"/>
    <w:rsid w:val="00C31886"/>
    <w:rsid w:val="00C31A80"/>
    <w:rsid w:val="00C31EA7"/>
    <w:rsid w:val="00C31ECE"/>
    <w:rsid w:val="00C32006"/>
    <w:rsid w:val="00C321A7"/>
    <w:rsid w:val="00C32D22"/>
    <w:rsid w:val="00C32E7E"/>
    <w:rsid w:val="00C33399"/>
    <w:rsid w:val="00C334B9"/>
    <w:rsid w:val="00C335AE"/>
    <w:rsid w:val="00C33623"/>
    <w:rsid w:val="00C3370B"/>
    <w:rsid w:val="00C338C0"/>
    <w:rsid w:val="00C33A0A"/>
    <w:rsid w:val="00C33C63"/>
    <w:rsid w:val="00C33D31"/>
    <w:rsid w:val="00C33D87"/>
    <w:rsid w:val="00C341BB"/>
    <w:rsid w:val="00C347C0"/>
    <w:rsid w:val="00C3522B"/>
    <w:rsid w:val="00C35F63"/>
    <w:rsid w:val="00C364BF"/>
    <w:rsid w:val="00C36865"/>
    <w:rsid w:val="00C376A4"/>
    <w:rsid w:val="00C37737"/>
    <w:rsid w:val="00C377B6"/>
    <w:rsid w:val="00C4018F"/>
    <w:rsid w:val="00C40237"/>
    <w:rsid w:val="00C40480"/>
    <w:rsid w:val="00C40898"/>
    <w:rsid w:val="00C40AF0"/>
    <w:rsid w:val="00C40BE0"/>
    <w:rsid w:val="00C4127F"/>
    <w:rsid w:val="00C41F15"/>
    <w:rsid w:val="00C436EE"/>
    <w:rsid w:val="00C4431D"/>
    <w:rsid w:val="00C44378"/>
    <w:rsid w:val="00C445CC"/>
    <w:rsid w:val="00C4491D"/>
    <w:rsid w:val="00C44AA0"/>
    <w:rsid w:val="00C44B9F"/>
    <w:rsid w:val="00C44BEE"/>
    <w:rsid w:val="00C44DC7"/>
    <w:rsid w:val="00C45087"/>
    <w:rsid w:val="00C45232"/>
    <w:rsid w:val="00C45257"/>
    <w:rsid w:val="00C45DE8"/>
    <w:rsid w:val="00C46422"/>
    <w:rsid w:val="00C4654B"/>
    <w:rsid w:val="00C468A8"/>
    <w:rsid w:val="00C46A3B"/>
    <w:rsid w:val="00C46C69"/>
    <w:rsid w:val="00C46D34"/>
    <w:rsid w:val="00C47070"/>
    <w:rsid w:val="00C474AB"/>
    <w:rsid w:val="00C47BA1"/>
    <w:rsid w:val="00C47CF2"/>
    <w:rsid w:val="00C47E1A"/>
    <w:rsid w:val="00C50152"/>
    <w:rsid w:val="00C50325"/>
    <w:rsid w:val="00C504E3"/>
    <w:rsid w:val="00C5091E"/>
    <w:rsid w:val="00C50B48"/>
    <w:rsid w:val="00C50D29"/>
    <w:rsid w:val="00C51B94"/>
    <w:rsid w:val="00C51DAB"/>
    <w:rsid w:val="00C51F87"/>
    <w:rsid w:val="00C521A2"/>
    <w:rsid w:val="00C5239F"/>
    <w:rsid w:val="00C52AF4"/>
    <w:rsid w:val="00C53027"/>
    <w:rsid w:val="00C5326E"/>
    <w:rsid w:val="00C533A7"/>
    <w:rsid w:val="00C540B6"/>
    <w:rsid w:val="00C54352"/>
    <w:rsid w:val="00C54B7F"/>
    <w:rsid w:val="00C54E7A"/>
    <w:rsid w:val="00C54E8A"/>
    <w:rsid w:val="00C553A1"/>
    <w:rsid w:val="00C555AC"/>
    <w:rsid w:val="00C558EC"/>
    <w:rsid w:val="00C55B79"/>
    <w:rsid w:val="00C56505"/>
    <w:rsid w:val="00C568AD"/>
    <w:rsid w:val="00C56931"/>
    <w:rsid w:val="00C56D02"/>
    <w:rsid w:val="00C57428"/>
    <w:rsid w:val="00C5774F"/>
    <w:rsid w:val="00C6010C"/>
    <w:rsid w:val="00C60384"/>
    <w:rsid w:val="00C605E9"/>
    <w:rsid w:val="00C608AB"/>
    <w:rsid w:val="00C61216"/>
    <w:rsid w:val="00C6121F"/>
    <w:rsid w:val="00C61762"/>
    <w:rsid w:val="00C61A3A"/>
    <w:rsid w:val="00C61BA2"/>
    <w:rsid w:val="00C6255C"/>
    <w:rsid w:val="00C6355B"/>
    <w:rsid w:val="00C63B3E"/>
    <w:rsid w:val="00C63E4A"/>
    <w:rsid w:val="00C64078"/>
    <w:rsid w:val="00C64429"/>
    <w:rsid w:val="00C649D4"/>
    <w:rsid w:val="00C65731"/>
    <w:rsid w:val="00C65EBC"/>
    <w:rsid w:val="00C65F63"/>
    <w:rsid w:val="00C6620B"/>
    <w:rsid w:val="00C66376"/>
    <w:rsid w:val="00C6659A"/>
    <w:rsid w:val="00C66A40"/>
    <w:rsid w:val="00C66A5D"/>
    <w:rsid w:val="00C66C87"/>
    <w:rsid w:val="00C6718B"/>
    <w:rsid w:val="00C67199"/>
    <w:rsid w:val="00C67B17"/>
    <w:rsid w:val="00C67E8A"/>
    <w:rsid w:val="00C7008E"/>
    <w:rsid w:val="00C703EC"/>
    <w:rsid w:val="00C70EAF"/>
    <w:rsid w:val="00C71202"/>
    <w:rsid w:val="00C713ED"/>
    <w:rsid w:val="00C71D50"/>
    <w:rsid w:val="00C721F0"/>
    <w:rsid w:val="00C72299"/>
    <w:rsid w:val="00C72318"/>
    <w:rsid w:val="00C723F9"/>
    <w:rsid w:val="00C724E6"/>
    <w:rsid w:val="00C725D9"/>
    <w:rsid w:val="00C72A16"/>
    <w:rsid w:val="00C72D87"/>
    <w:rsid w:val="00C731C2"/>
    <w:rsid w:val="00C740BE"/>
    <w:rsid w:val="00C74352"/>
    <w:rsid w:val="00C745BB"/>
    <w:rsid w:val="00C746A4"/>
    <w:rsid w:val="00C7476F"/>
    <w:rsid w:val="00C747A5"/>
    <w:rsid w:val="00C752E4"/>
    <w:rsid w:val="00C754A4"/>
    <w:rsid w:val="00C75A3F"/>
    <w:rsid w:val="00C75E27"/>
    <w:rsid w:val="00C76075"/>
    <w:rsid w:val="00C760E8"/>
    <w:rsid w:val="00C76633"/>
    <w:rsid w:val="00C76FCD"/>
    <w:rsid w:val="00C77151"/>
    <w:rsid w:val="00C77B46"/>
    <w:rsid w:val="00C77F32"/>
    <w:rsid w:val="00C80436"/>
    <w:rsid w:val="00C80529"/>
    <w:rsid w:val="00C80BF2"/>
    <w:rsid w:val="00C80D3E"/>
    <w:rsid w:val="00C80D57"/>
    <w:rsid w:val="00C80EBD"/>
    <w:rsid w:val="00C80F8F"/>
    <w:rsid w:val="00C80FE7"/>
    <w:rsid w:val="00C8140B"/>
    <w:rsid w:val="00C81A7B"/>
    <w:rsid w:val="00C81BAD"/>
    <w:rsid w:val="00C81BD3"/>
    <w:rsid w:val="00C81C61"/>
    <w:rsid w:val="00C81EFA"/>
    <w:rsid w:val="00C821C9"/>
    <w:rsid w:val="00C829C4"/>
    <w:rsid w:val="00C82B4B"/>
    <w:rsid w:val="00C82C85"/>
    <w:rsid w:val="00C82EDF"/>
    <w:rsid w:val="00C83015"/>
    <w:rsid w:val="00C834F5"/>
    <w:rsid w:val="00C83D1D"/>
    <w:rsid w:val="00C83F20"/>
    <w:rsid w:val="00C83FBF"/>
    <w:rsid w:val="00C847F3"/>
    <w:rsid w:val="00C84C1B"/>
    <w:rsid w:val="00C84D94"/>
    <w:rsid w:val="00C85314"/>
    <w:rsid w:val="00C859D7"/>
    <w:rsid w:val="00C85AA8"/>
    <w:rsid w:val="00C85CAC"/>
    <w:rsid w:val="00C85EFA"/>
    <w:rsid w:val="00C861A0"/>
    <w:rsid w:val="00C86736"/>
    <w:rsid w:val="00C86938"/>
    <w:rsid w:val="00C86A50"/>
    <w:rsid w:val="00C87266"/>
    <w:rsid w:val="00C872A3"/>
    <w:rsid w:val="00C87724"/>
    <w:rsid w:val="00C87DC0"/>
    <w:rsid w:val="00C90309"/>
    <w:rsid w:val="00C90668"/>
    <w:rsid w:val="00C910C9"/>
    <w:rsid w:val="00C91170"/>
    <w:rsid w:val="00C911C7"/>
    <w:rsid w:val="00C9164A"/>
    <w:rsid w:val="00C91B0E"/>
    <w:rsid w:val="00C91C8A"/>
    <w:rsid w:val="00C92073"/>
    <w:rsid w:val="00C929D9"/>
    <w:rsid w:val="00C92A8D"/>
    <w:rsid w:val="00C92BBF"/>
    <w:rsid w:val="00C930A4"/>
    <w:rsid w:val="00C944D8"/>
    <w:rsid w:val="00C9584F"/>
    <w:rsid w:val="00C959B0"/>
    <w:rsid w:val="00C95D46"/>
    <w:rsid w:val="00C964E0"/>
    <w:rsid w:val="00C96E79"/>
    <w:rsid w:val="00C9739E"/>
    <w:rsid w:val="00C974AA"/>
    <w:rsid w:val="00C97599"/>
    <w:rsid w:val="00C977A0"/>
    <w:rsid w:val="00CA0004"/>
    <w:rsid w:val="00CA0011"/>
    <w:rsid w:val="00CA0116"/>
    <w:rsid w:val="00CA03CE"/>
    <w:rsid w:val="00CA0849"/>
    <w:rsid w:val="00CA0CC8"/>
    <w:rsid w:val="00CA1A38"/>
    <w:rsid w:val="00CA250D"/>
    <w:rsid w:val="00CA2706"/>
    <w:rsid w:val="00CA2BB9"/>
    <w:rsid w:val="00CA2C00"/>
    <w:rsid w:val="00CA2F9D"/>
    <w:rsid w:val="00CA32CA"/>
    <w:rsid w:val="00CA3352"/>
    <w:rsid w:val="00CA3710"/>
    <w:rsid w:val="00CA3A5A"/>
    <w:rsid w:val="00CA3F3F"/>
    <w:rsid w:val="00CA408D"/>
    <w:rsid w:val="00CA414B"/>
    <w:rsid w:val="00CA41D8"/>
    <w:rsid w:val="00CA4218"/>
    <w:rsid w:val="00CA42E1"/>
    <w:rsid w:val="00CA4A76"/>
    <w:rsid w:val="00CA4BC0"/>
    <w:rsid w:val="00CA4C5D"/>
    <w:rsid w:val="00CA4DA0"/>
    <w:rsid w:val="00CA5141"/>
    <w:rsid w:val="00CA51C9"/>
    <w:rsid w:val="00CA529C"/>
    <w:rsid w:val="00CA534D"/>
    <w:rsid w:val="00CA58D7"/>
    <w:rsid w:val="00CA5CA8"/>
    <w:rsid w:val="00CA5EC7"/>
    <w:rsid w:val="00CA63A3"/>
    <w:rsid w:val="00CA6445"/>
    <w:rsid w:val="00CA6448"/>
    <w:rsid w:val="00CA69BC"/>
    <w:rsid w:val="00CA6B9A"/>
    <w:rsid w:val="00CA6CC6"/>
    <w:rsid w:val="00CA7122"/>
    <w:rsid w:val="00CA7325"/>
    <w:rsid w:val="00CA7622"/>
    <w:rsid w:val="00CA7839"/>
    <w:rsid w:val="00CA793C"/>
    <w:rsid w:val="00CA7BD6"/>
    <w:rsid w:val="00CA7FA5"/>
    <w:rsid w:val="00CA7FE1"/>
    <w:rsid w:val="00CB0157"/>
    <w:rsid w:val="00CB0825"/>
    <w:rsid w:val="00CB0EDF"/>
    <w:rsid w:val="00CB14D3"/>
    <w:rsid w:val="00CB22BC"/>
    <w:rsid w:val="00CB28E9"/>
    <w:rsid w:val="00CB2ABD"/>
    <w:rsid w:val="00CB3780"/>
    <w:rsid w:val="00CB3CD0"/>
    <w:rsid w:val="00CB3F5F"/>
    <w:rsid w:val="00CB4138"/>
    <w:rsid w:val="00CB4175"/>
    <w:rsid w:val="00CB4414"/>
    <w:rsid w:val="00CB452F"/>
    <w:rsid w:val="00CB457B"/>
    <w:rsid w:val="00CB4F10"/>
    <w:rsid w:val="00CB50AA"/>
    <w:rsid w:val="00CB50C9"/>
    <w:rsid w:val="00CB5205"/>
    <w:rsid w:val="00CB549B"/>
    <w:rsid w:val="00CB620D"/>
    <w:rsid w:val="00CB678F"/>
    <w:rsid w:val="00CB6FF6"/>
    <w:rsid w:val="00CB7239"/>
    <w:rsid w:val="00CB7432"/>
    <w:rsid w:val="00CB78B2"/>
    <w:rsid w:val="00CB7A6F"/>
    <w:rsid w:val="00CB7F70"/>
    <w:rsid w:val="00CC0274"/>
    <w:rsid w:val="00CC042D"/>
    <w:rsid w:val="00CC0BB6"/>
    <w:rsid w:val="00CC0C0D"/>
    <w:rsid w:val="00CC0DA2"/>
    <w:rsid w:val="00CC0E18"/>
    <w:rsid w:val="00CC1017"/>
    <w:rsid w:val="00CC107F"/>
    <w:rsid w:val="00CC18AE"/>
    <w:rsid w:val="00CC1BB6"/>
    <w:rsid w:val="00CC22D5"/>
    <w:rsid w:val="00CC249F"/>
    <w:rsid w:val="00CC25F8"/>
    <w:rsid w:val="00CC2686"/>
    <w:rsid w:val="00CC2901"/>
    <w:rsid w:val="00CC2F31"/>
    <w:rsid w:val="00CC3646"/>
    <w:rsid w:val="00CC3758"/>
    <w:rsid w:val="00CC38AC"/>
    <w:rsid w:val="00CC3A71"/>
    <w:rsid w:val="00CC43B5"/>
    <w:rsid w:val="00CC499B"/>
    <w:rsid w:val="00CC49C4"/>
    <w:rsid w:val="00CC4E72"/>
    <w:rsid w:val="00CC4E94"/>
    <w:rsid w:val="00CC4FB9"/>
    <w:rsid w:val="00CC5128"/>
    <w:rsid w:val="00CC521A"/>
    <w:rsid w:val="00CC53F2"/>
    <w:rsid w:val="00CC54C8"/>
    <w:rsid w:val="00CC559D"/>
    <w:rsid w:val="00CC56C5"/>
    <w:rsid w:val="00CC572A"/>
    <w:rsid w:val="00CC57AC"/>
    <w:rsid w:val="00CC582E"/>
    <w:rsid w:val="00CC5C21"/>
    <w:rsid w:val="00CC61CD"/>
    <w:rsid w:val="00CC6827"/>
    <w:rsid w:val="00CC6AD7"/>
    <w:rsid w:val="00CC7296"/>
    <w:rsid w:val="00CC763E"/>
    <w:rsid w:val="00CC7F9E"/>
    <w:rsid w:val="00CD010C"/>
    <w:rsid w:val="00CD0395"/>
    <w:rsid w:val="00CD06A3"/>
    <w:rsid w:val="00CD0C0D"/>
    <w:rsid w:val="00CD0C13"/>
    <w:rsid w:val="00CD0FE2"/>
    <w:rsid w:val="00CD163C"/>
    <w:rsid w:val="00CD1759"/>
    <w:rsid w:val="00CD1762"/>
    <w:rsid w:val="00CD17CA"/>
    <w:rsid w:val="00CD1D9B"/>
    <w:rsid w:val="00CD1DD9"/>
    <w:rsid w:val="00CD1EC1"/>
    <w:rsid w:val="00CD21D1"/>
    <w:rsid w:val="00CD2388"/>
    <w:rsid w:val="00CD2D9F"/>
    <w:rsid w:val="00CD2FEA"/>
    <w:rsid w:val="00CD32FB"/>
    <w:rsid w:val="00CD3E51"/>
    <w:rsid w:val="00CD4322"/>
    <w:rsid w:val="00CD4472"/>
    <w:rsid w:val="00CD44D4"/>
    <w:rsid w:val="00CD454E"/>
    <w:rsid w:val="00CD4EF6"/>
    <w:rsid w:val="00CD5106"/>
    <w:rsid w:val="00CD524C"/>
    <w:rsid w:val="00CD548F"/>
    <w:rsid w:val="00CD56FE"/>
    <w:rsid w:val="00CD5A00"/>
    <w:rsid w:val="00CD5CC7"/>
    <w:rsid w:val="00CD5F1F"/>
    <w:rsid w:val="00CD654B"/>
    <w:rsid w:val="00CD67F3"/>
    <w:rsid w:val="00CD6853"/>
    <w:rsid w:val="00CD6A1B"/>
    <w:rsid w:val="00CD6A61"/>
    <w:rsid w:val="00CD6A9B"/>
    <w:rsid w:val="00CD6CDA"/>
    <w:rsid w:val="00CD7429"/>
    <w:rsid w:val="00CD7492"/>
    <w:rsid w:val="00CD7A56"/>
    <w:rsid w:val="00CD7B56"/>
    <w:rsid w:val="00CD7EED"/>
    <w:rsid w:val="00CE02B0"/>
    <w:rsid w:val="00CE0E4A"/>
    <w:rsid w:val="00CE123C"/>
    <w:rsid w:val="00CE183D"/>
    <w:rsid w:val="00CE1968"/>
    <w:rsid w:val="00CE1D25"/>
    <w:rsid w:val="00CE1F8B"/>
    <w:rsid w:val="00CE223E"/>
    <w:rsid w:val="00CE2387"/>
    <w:rsid w:val="00CE256A"/>
    <w:rsid w:val="00CE262D"/>
    <w:rsid w:val="00CE27D0"/>
    <w:rsid w:val="00CE2849"/>
    <w:rsid w:val="00CE2D7C"/>
    <w:rsid w:val="00CE2EA5"/>
    <w:rsid w:val="00CE34E1"/>
    <w:rsid w:val="00CE360B"/>
    <w:rsid w:val="00CE3A94"/>
    <w:rsid w:val="00CE3AFC"/>
    <w:rsid w:val="00CE3F8F"/>
    <w:rsid w:val="00CE4154"/>
    <w:rsid w:val="00CE4165"/>
    <w:rsid w:val="00CE41BD"/>
    <w:rsid w:val="00CE43C3"/>
    <w:rsid w:val="00CE5636"/>
    <w:rsid w:val="00CE56B2"/>
    <w:rsid w:val="00CE5F24"/>
    <w:rsid w:val="00CE6E71"/>
    <w:rsid w:val="00CE6F36"/>
    <w:rsid w:val="00CF00F9"/>
    <w:rsid w:val="00CF04D0"/>
    <w:rsid w:val="00CF084A"/>
    <w:rsid w:val="00CF09C2"/>
    <w:rsid w:val="00CF1051"/>
    <w:rsid w:val="00CF1476"/>
    <w:rsid w:val="00CF14A0"/>
    <w:rsid w:val="00CF14F5"/>
    <w:rsid w:val="00CF16BC"/>
    <w:rsid w:val="00CF218E"/>
    <w:rsid w:val="00CF2436"/>
    <w:rsid w:val="00CF274F"/>
    <w:rsid w:val="00CF2905"/>
    <w:rsid w:val="00CF2C18"/>
    <w:rsid w:val="00CF310F"/>
    <w:rsid w:val="00CF343B"/>
    <w:rsid w:val="00CF3786"/>
    <w:rsid w:val="00CF3F0D"/>
    <w:rsid w:val="00CF4137"/>
    <w:rsid w:val="00CF4427"/>
    <w:rsid w:val="00CF4B0F"/>
    <w:rsid w:val="00CF4BB7"/>
    <w:rsid w:val="00CF4DE3"/>
    <w:rsid w:val="00CF5096"/>
    <w:rsid w:val="00CF5698"/>
    <w:rsid w:val="00CF5DE9"/>
    <w:rsid w:val="00CF5FEA"/>
    <w:rsid w:val="00CF61B3"/>
    <w:rsid w:val="00CF62F0"/>
    <w:rsid w:val="00CF67E1"/>
    <w:rsid w:val="00CF67F4"/>
    <w:rsid w:val="00CF6945"/>
    <w:rsid w:val="00CF6976"/>
    <w:rsid w:val="00CF6985"/>
    <w:rsid w:val="00CF76BA"/>
    <w:rsid w:val="00CF7B38"/>
    <w:rsid w:val="00D006D9"/>
    <w:rsid w:val="00D007D0"/>
    <w:rsid w:val="00D00B7E"/>
    <w:rsid w:val="00D019BB"/>
    <w:rsid w:val="00D01BB1"/>
    <w:rsid w:val="00D01E5C"/>
    <w:rsid w:val="00D020ED"/>
    <w:rsid w:val="00D02520"/>
    <w:rsid w:val="00D02594"/>
    <w:rsid w:val="00D026D2"/>
    <w:rsid w:val="00D02C07"/>
    <w:rsid w:val="00D02C33"/>
    <w:rsid w:val="00D03396"/>
    <w:rsid w:val="00D0350B"/>
    <w:rsid w:val="00D036CA"/>
    <w:rsid w:val="00D0372D"/>
    <w:rsid w:val="00D0383B"/>
    <w:rsid w:val="00D04B71"/>
    <w:rsid w:val="00D0523F"/>
    <w:rsid w:val="00D052C8"/>
    <w:rsid w:val="00D05D4F"/>
    <w:rsid w:val="00D05E4F"/>
    <w:rsid w:val="00D05F92"/>
    <w:rsid w:val="00D0694E"/>
    <w:rsid w:val="00D06CEF"/>
    <w:rsid w:val="00D06D57"/>
    <w:rsid w:val="00D06EC5"/>
    <w:rsid w:val="00D0778B"/>
    <w:rsid w:val="00D100E5"/>
    <w:rsid w:val="00D101F1"/>
    <w:rsid w:val="00D101F7"/>
    <w:rsid w:val="00D106BD"/>
    <w:rsid w:val="00D112FD"/>
    <w:rsid w:val="00D11721"/>
    <w:rsid w:val="00D119C8"/>
    <w:rsid w:val="00D11BB7"/>
    <w:rsid w:val="00D11E3C"/>
    <w:rsid w:val="00D121DB"/>
    <w:rsid w:val="00D123AF"/>
    <w:rsid w:val="00D12769"/>
    <w:rsid w:val="00D1276E"/>
    <w:rsid w:val="00D129BB"/>
    <w:rsid w:val="00D12C51"/>
    <w:rsid w:val="00D13230"/>
    <w:rsid w:val="00D13817"/>
    <w:rsid w:val="00D1381B"/>
    <w:rsid w:val="00D138B2"/>
    <w:rsid w:val="00D143E3"/>
    <w:rsid w:val="00D14564"/>
    <w:rsid w:val="00D145F5"/>
    <w:rsid w:val="00D14E49"/>
    <w:rsid w:val="00D14F49"/>
    <w:rsid w:val="00D14FE5"/>
    <w:rsid w:val="00D15E4E"/>
    <w:rsid w:val="00D16303"/>
    <w:rsid w:val="00D1648D"/>
    <w:rsid w:val="00D165F6"/>
    <w:rsid w:val="00D166BC"/>
    <w:rsid w:val="00D16A1D"/>
    <w:rsid w:val="00D16C3A"/>
    <w:rsid w:val="00D16D49"/>
    <w:rsid w:val="00D16FA8"/>
    <w:rsid w:val="00D17266"/>
    <w:rsid w:val="00D17811"/>
    <w:rsid w:val="00D17A7A"/>
    <w:rsid w:val="00D17BCA"/>
    <w:rsid w:val="00D17D3C"/>
    <w:rsid w:val="00D204E0"/>
    <w:rsid w:val="00D20577"/>
    <w:rsid w:val="00D20E52"/>
    <w:rsid w:val="00D214E8"/>
    <w:rsid w:val="00D21753"/>
    <w:rsid w:val="00D2199E"/>
    <w:rsid w:val="00D21EC8"/>
    <w:rsid w:val="00D22172"/>
    <w:rsid w:val="00D2244E"/>
    <w:rsid w:val="00D22635"/>
    <w:rsid w:val="00D2271A"/>
    <w:rsid w:val="00D232B4"/>
    <w:rsid w:val="00D233C3"/>
    <w:rsid w:val="00D23F8F"/>
    <w:rsid w:val="00D24A2C"/>
    <w:rsid w:val="00D24B6F"/>
    <w:rsid w:val="00D25252"/>
    <w:rsid w:val="00D253A7"/>
    <w:rsid w:val="00D254D7"/>
    <w:rsid w:val="00D256CA"/>
    <w:rsid w:val="00D25792"/>
    <w:rsid w:val="00D25A5D"/>
    <w:rsid w:val="00D25AE8"/>
    <w:rsid w:val="00D25CDA"/>
    <w:rsid w:val="00D25D96"/>
    <w:rsid w:val="00D25F2F"/>
    <w:rsid w:val="00D260DB"/>
    <w:rsid w:val="00D2612D"/>
    <w:rsid w:val="00D266B6"/>
    <w:rsid w:val="00D2675E"/>
    <w:rsid w:val="00D26CCF"/>
    <w:rsid w:val="00D273F6"/>
    <w:rsid w:val="00D27764"/>
    <w:rsid w:val="00D27891"/>
    <w:rsid w:val="00D27E8B"/>
    <w:rsid w:val="00D305AD"/>
    <w:rsid w:val="00D30D1D"/>
    <w:rsid w:val="00D30D38"/>
    <w:rsid w:val="00D316A1"/>
    <w:rsid w:val="00D31AB8"/>
    <w:rsid w:val="00D31DE1"/>
    <w:rsid w:val="00D323C1"/>
    <w:rsid w:val="00D32568"/>
    <w:rsid w:val="00D32825"/>
    <w:rsid w:val="00D329F1"/>
    <w:rsid w:val="00D32B17"/>
    <w:rsid w:val="00D32B4A"/>
    <w:rsid w:val="00D33A23"/>
    <w:rsid w:val="00D33C3B"/>
    <w:rsid w:val="00D33D21"/>
    <w:rsid w:val="00D33E7C"/>
    <w:rsid w:val="00D33ED3"/>
    <w:rsid w:val="00D33EFB"/>
    <w:rsid w:val="00D34072"/>
    <w:rsid w:val="00D341C2"/>
    <w:rsid w:val="00D343F5"/>
    <w:rsid w:val="00D346AB"/>
    <w:rsid w:val="00D346F0"/>
    <w:rsid w:val="00D34950"/>
    <w:rsid w:val="00D35260"/>
    <w:rsid w:val="00D3557B"/>
    <w:rsid w:val="00D355F0"/>
    <w:rsid w:val="00D35806"/>
    <w:rsid w:val="00D35817"/>
    <w:rsid w:val="00D35C51"/>
    <w:rsid w:val="00D36338"/>
    <w:rsid w:val="00D36368"/>
    <w:rsid w:val="00D364FB"/>
    <w:rsid w:val="00D36A2F"/>
    <w:rsid w:val="00D36A38"/>
    <w:rsid w:val="00D36A9F"/>
    <w:rsid w:val="00D36F0A"/>
    <w:rsid w:val="00D3705C"/>
    <w:rsid w:val="00D3718C"/>
    <w:rsid w:val="00D374D6"/>
    <w:rsid w:val="00D37B09"/>
    <w:rsid w:val="00D40344"/>
    <w:rsid w:val="00D40836"/>
    <w:rsid w:val="00D4083D"/>
    <w:rsid w:val="00D412D6"/>
    <w:rsid w:val="00D41391"/>
    <w:rsid w:val="00D414BF"/>
    <w:rsid w:val="00D41632"/>
    <w:rsid w:val="00D41887"/>
    <w:rsid w:val="00D41907"/>
    <w:rsid w:val="00D41B23"/>
    <w:rsid w:val="00D42CE6"/>
    <w:rsid w:val="00D4321A"/>
    <w:rsid w:val="00D4327E"/>
    <w:rsid w:val="00D432FD"/>
    <w:rsid w:val="00D43416"/>
    <w:rsid w:val="00D43567"/>
    <w:rsid w:val="00D4366F"/>
    <w:rsid w:val="00D43AC8"/>
    <w:rsid w:val="00D44008"/>
    <w:rsid w:val="00D443BE"/>
    <w:rsid w:val="00D44635"/>
    <w:rsid w:val="00D447F2"/>
    <w:rsid w:val="00D45885"/>
    <w:rsid w:val="00D45E61"/>
    <w:rsid w:val="00D46675"/>
    <w:rsid w:val="00D46A49"/>
    <w:rsid w:val="00D46CA1"/>
    <w:rsid w:val="00D46DAB"/>
    <w:rsid w:val="00D46F40"/>
    <w:rsid w:val="00D471CA"/>
    <w:rsid w:val="00D4778F"/>
    <w:rsid w:val="00D47F94"/>
    <w:rsid w:val="00D504D6"/>
    <w:rsid w:val="00D50511"/>
    <w:rsid w:val="00D50597"/>
    <w:rsid w:val="00D50879"/>
    <w:rsid w:val="00D50B67"/>
    <w:rsid w:val="00D515E0"/>
    <w:rsid w:val="00D51610"/>
    <w:rsid w:val="00D51784"/>
    <w:rsid w:val="00D521A0"/>
    <w:rsid w:val="00D523BD"/>
    <w:rsid w:val="00D526AD"/>
    <w:rsid w:val="00D52A23"/>
    <w:rsid w:val="00D52E37"/>
    <w:rsid w:val="00D53F6D"/>
    <w:rsid w:val="00D54AE1"/>
    <w:rsid w:val="00D55426"/>
    <w:rsid w:val="00D55690"/>
    <w:rsid w:val="00D55F15"/>
    <w:rsid w:val="00D56113"/>
    <w:rsid w:val="00D561C8"/>
    <w:rsid w:val="00D57196"/>
    <w:rsid w:val="00D577DD"/>
    <w:rsid w:val="00D57ABE"/>
    <w:rsid w:val="00D57EFC"/>
    <w:rsid w:val="00D57F45"/>
    <w:rsid w:val="00D60402"/>
    <w:rsid w:val="00D6044A"/>
    <w:rsid w:val="00D607E3"/>
    <w:rsid w:val="00D608F6"/>
    <w:rsid w:val="00D60DE0"/>
    <w:rsid w:val="00D61709"/>
    <w:rsid w:val="00D61C25"/>
    <w:rsid w:val="00D61F02"/>
    <w:rsid w:val="00D6215C"/>
    <w:rsid w:val="00D62589"/>
    <w:rsid w:val="00D625BA"/>
    <w:rsid w:val="00D62634"/>
    <w:rsid w:val="00D627CE"/>
    <w:rsid w:val="00D630F2"/>
    <w:rsid w:val="00D63659"/>
    <w:rsid w:val="00D63DC8"/>
    <w:rsid w:val="00D6416A"/>
    <w:rsid w:val="00D643F4"/>
    <w:rsid w:val="00D64430"/>
    <w:rsid w:val="00D64932"/>
    <w:rsid w:val="00D64BB8"/>
    <w:rsid w:val="00D64BCF"/>
    <w:rsid w:val="00D64CEC"/>
    <w:rsid w:val="00D64E29"/>
    <w:rsid w:val="00D65339"/>
    <w:rsid w:val="00D65ABF"/>
    <w:rsid w:val="00D65E65"/>
    <w:rsid w:val="00D66BE2"/>
    <w:rsid w:val="00D670A0"/>
    <w:rsid w:val="00D672D3"/>
    <w:rsid w:val="00D67839"/>
    <w:rsid w:val="00D67876"/>
    <w:rsid w:val="00D67B4E"/>
    <w:rsid w:val="00D711F8"/>
    <w:rsid w:val="00D71B1C"/>
    <w:rsid w:val="00D71FE5"/>
    <w:rsid w:val="00D7237B"/>
    <w:rsid w:val="00D72995"/>
    <w:rsid w:val="00D72AA9"/>
    <w:rsid w:val="00D73493"/>
    <w:rsid w:val="00D737CE"/>
    <w:rsid w:val="00D737FF"/>
    <w:rsid w:val="00D7383F"/>
    <w:rsid w:val="00D73AC2"/>
    <w:rsid w:val="00D73AE3"/>
    <w:rsid w:val="00D73CF7"/>
    <w:rsid w:val="00D73EE9"/>
    <w:rsid w:val="00D7408C"/>
    <w:rsid w:val="00D743BA"/>
    <w:rsid w:val="00D74467"/>
    <w:rsid w:val="00D744B5"/>
    <w:rsid w:val="00D74621"/>
    <w:rsid w:val="00D74799"/>
    <w:rsid w:val="00D74898"/>
    <w:rsid w:val="00D74C70"/>
    <w:rsid w:val="00D74EC2"/>
    <w:rsid w:val="00D75161"/>
    <w:rsid w:val="00D755E9"/>
    <w:rsid w:val="00D75919"/>
    <w:rsid w:val="00D759C7"/>
    <w:rsid w:val="00D75D25"/>
    <w:rsid w:val="00D75E7E"/>
    <w:rsid w:val="00D761C2"/>
    <w:rsid w:val="00D76435"/>
    <w:rsid w:val="00D7646D"/>
    <w:rsid w:val="00D76863"/>
    <w:rsid w:val="00D76D79"/>
    <w:rsid w:val="00D7721E"/>
    <w:rsid w:val="00D772B3"/>
    <w:rsid w:val="00D774CF"/>
    <w:rsid w:val="00D776FF"/>
    <w:rsid w:val="00D777C6"/>
    <w:rsid w:val="00D77A25"/>
    <w:rsid w:val="00D77A2B"/>
    <w:rsid w:val="00D77B32"/>
    <w:rsid w:val="00D77E44"/>
    <w:rsid w:val="00D77F98"/>
    <w:rsid w:val="00D801EE"/>
    <w:rsid w:val="00D80C57"/>
    <w:rsid w:val="00D80D02"/>
    <w:rsid w:val="00D80E57"/>
    <w:rsid w:val="00D81209"/>
    <w:rsid w:val="00D81F73"/>
    <w:rsid w:val="00D82168"/>
    <w:rsid w:val="00D823C9"/>
    <w:rsid w:val="00D82DE4"/>
    <w:rsid w:val="00D83143"/>
    <w:rsid w:val="00D8324D"/>
    <w:rsid w:val="00D83328"/>
    <w:rsid w:val="00D833D9"/>
    <w:rsid w:val="00D83633"/>
    <w:rsid w:val="00D83BD9"/>
    <w:rsid w:val="00D84093"/>
    <w:rsid w:val="00D84448"/>
    <w:rsid w:val="00D845F4"/>
    <w:rsid w:val="00D84A1A"/>
    <w:rsid w:val="00D8524D"/>
    <w:rsid w:val="00D85938"/>
    <w:rsid w:val="00D85DC8"/>
    <w:rsid w:val="00D86141"/>
    <w:rsid w:val="00D86981"/>
    <w:rsid w:val="00D869E8"/>
    <w:rsid w:val="00D87A46"/>
    <w:rsid w:val="00D9071A"/>
    <w:rsid w:val="00D909F0"/>
    <w:rsid w:val="00D90F27"/>
    <w:rsid w:val="00D91366"/>
    <w:rsid w:val="00D914B8"/>
    <w:rsid w:val="00D929B9"/>
    <w:rsid w:val="00D92B4D"/>
    <w:rsid w:val="00D93193"/>
    <w:rsid w:val="00D9373F"/>
    <w:rsid w:val="00D938B3"/>
    <w:rsid w:val="00D93FF4"/>
    <w:rsid w:val="00D94638"/>
    <w:rsid w:val="00D9485D"/>
    <w:rsid w:val="00D94DCF"/>
    <w:rsid w:val="00D94EAE"/>
    <w:rsid w:val="00D94FDD"/>
    <w:rsid w:val="00D953AB"/>
    <w:rsid w:val="00D9561B"/>
    <w:rsid w:val="00D95829"/>
    <w:rsid w:val="00D960AD"/>
    <w:rsid w:val="00D960E8"/>
    <w:rsid w:val="00D96315"/>
    <w:rsid w:val="00D96413"/>
    <w:rsid w:val="00D967BF"/>
    <w:rsid w:val="00D96CF1"/>
    <w:rsid w:val="00D96E5B"/>
    <w:rsid w:val="00DA0523"/>
    <w:rsid w:val="00DA052B"/>
    <w:rsid w:val="00DA063F"/>
    <w:rsid w:val="00DA0F53"/>
    <w:rsid w:val="00DA10DD"/>
    <w:rsid w:val="00DA1784"/>
    <w:rsid w:val="00DA1BA4"/>
    <w:rsid w:val="00DA1F9B"/>
    <w:rsid w:val="00DA22E9"/>
    <w:rsid w:val="00DA23E7"/>
    <w:rsid w:val="00DA2427"/>
    <w:rsid w:val="00DA316B"/>
    <w:rsid w:val="00DA35C1"/>
    <w:rsid w:val="00DA3E31"/>
    <w:rsid w:val="00DA3EF2"/>
    <w:rsid w:val="00DA41DF"/>
    <w:rsid w:val="00DA42F3"/>
    <w:rsid w:val="00DA4A80"/>
    <w:rsid w:val="00DA4C58"/>
    <w:rsid w:val="00DA5190"/>
    <w:rsid w:val="00DA54E7"/>
    <w:rsid w:val="00DA5804"/>
    <w:rsid w:val="00DA586F"/>
    <w:rsid w:val="00DA5AD7"/>
    <w:rsid w:val="00DA5CF9"/>
    <w:rsid w:val="00DA5D22"/>
    <w:rsid w:val="00DA6074"/>
    <w:rsid w:val="00DA6F91"/>
    <w:rsid w:val="00DA7744"/>
    <w:rsid w:val="00DA7B1C"/>
    <w:rsid w:val="00DA7BF8"/>
    <w:rsid w:val="00DA7CC5"/>
    <w:rsid w:val="00DB08DA"/>
    <w:rsid w:val="00DB0A76"/>
    <w:rsid w:val="00DB0D1D"/>
    <w:rsid w:val="00DB1866"/>
    <w:rsid w:val="00DB19F5"/>
    <w:rsid w:val="00DB2344"/>
    <w:rsid w:val="00DB25DE"/>
    <w:rsid w:val="00DB308D"/>
    <w:rsid w:val="00DB3469"/>
    <w:rsid w:val="00DB3936"/>
    <w:rsid w:val="00DB4140"/>
    <w:rsid w:val="00DB4360"/>
    <w:rsid w:val="00DB46D0"/>
    <w:rsid w:val="00DB4A10"/>
    <w:rsid w:val="00DB4FD7"/>
    <w:rsid w:val="00DB5439"/>
    <w:rsid w:val="00DB545E"/>
    <w:rsid w:val="00DB5C00"/>
    <w:rsid w:val="00DB6274"/>
    <w:rsid w:val="00DB64AE"/>
    <w:rsid w:val="00DB66FC"/>
    <w:rsid w:val="00DB6D46"/>
    <w:rsid w:val="00DB7077"/>
    <w:rsid w:val="00DB76F2"/>
    <w:rsid w:val="00DB76FF"/>
    <w:rsid w:val="00DB7BA2"/>
    <w:rsid w:val="00DB7BA3"/>
    <w:rsid w:val="00DB7C4D"/>
    <w:rsid w:val="00DB7C61"/>
    <w:rsid w:val="00DB7EC9"/>
    <w:rsid w:val="00DB7F09"/>
    <w:rsid w:val="00DC00E8"/>
    <w:rsid w:val="00DC020E"/>
    <w:rsid w:val="00DC07B7"/>
    <w:rsid w:val="00DC0D86"/>
    <w:rsid w:val="00DC118D"/>
    <w:rsid w:val="00DC1668"/>
    <w:rsid w:val="00DC1BCD"/>
    <w:rsid w:val="00DC1C56"/>
    <w:rsid w:val="00DC298B"/>
    <w:rsid w:val="00DC2BF9"/>
    <w:rsid w:val="00DC33F1"/>
    <w:rsid w:val="00DC367D"/>
    <w:rsid w:val="00DC3902"/>
    <w:rsid w:val="00DC3B9C"/>
    <w:rsid w:val="00DC3FF2"/>
    <w:rsid w:val="00DC3FF6"/>
    <w:rsid w:val="00DC4054"/>
    <w:rsid w:val="00DC45E1"/>
    <w:rsid w:val="00DC4695"/>
    <w:rsid w:val="00DC4756"/>
    <w:rsid w:val="00DC48C8"/>
    <w:rsid w:val="00DC4BB5"/>
    <w:rsid w:val="00DC4E0C"/>
    <w:rsid w:val="00DC506E"/>
    <w:rsid w:val="00DC5215"/>
    <w:rsid w:val="00DC549A"/>
    <w:rsid w:val="00DC6217"/>
    <w:rsid w:val="00DC6379"/>
    <w:rsid w:val="00DC6547"/>
    <w:rsid w:val="00DC661B"/>
    <w:rsid w:val="00DC665A"/>
    <w:rsid w:val="00DC6910"/>
    <w:rsid w:val="00DC6AAD"/>
    <w:rsid w:val="00DC7375"/>
    <w:rsid w:val="00DC745C"/>
    <w:rsid w:val="00DC77C9"/>
    <w:rsid w:val="00DC7C1B"/>
    <w:rsid w:val="00DD008E"/>
    <w:rsid w:val="00DD00F6"/>
    <w:rsid w:val="00DD017D"/>
    <w:rsid w:val="00DD0459"/>
    <w:rsid w:val="00DD07D6"/>
    <w:rsid w:val="00DD11E8"/>
    <w:rsid w:val="00DD1C01"/>
    <w:rsid w:val="00DD1C02"/>
    <w:rsid w:val="00DD1C0A"/>
    <w:rsid w:val="00DD1C2A"/>
    <w:rsid w:val="00DD22CE"/>
    <w:rsid w:val="00DD23BF"/>
    <w:rsid w:val="00DD2743"/>
    <w:rsid w:val="00DD2DB4"/>
    <w:rsid w:val="00DD3431"/>
    <w:rsid w:val="00DD3858"/>
    <w:rsid w:val="00DD3A82"/>
    <w:rsid w:val="00DD3BC8"/>
    <w:rsid w:val="00DD3DC5"/>
    <w:rsid w:val="00DD3FFF"/>
    <w:rsid w:val="00DD40D0"/>
    <w:rsid w:val="00DD4527"/>
    <w:rsid w:val="00DD45DD"/>
    <w:rsid w:val="00DD463F"/>
    <w:rsid w:val="00DD475B"/>
    <w:rsid w:val="00DD49A3"/>
    <w:rsid w:val="00DD52DA"/>
    <w:rsid w:val="00DD5C8C"/>
    <w:rsid w:val="00DD5CDB"/>
    <w:rsid w:val="00DD5E7B"/>
    <w:rsid w:val="00DD615C"/>
    <w:rsid w:val="00DD617F"/>
    <w:rsid w:val="00DD7172"/>
    <w:rsid w:val="00DD71B8"/>
    <w:rsid w:val="00DD74FC"/>
    <w:rsid w:val="00DD7514"/>
    <w:rsid w:val="00DD7710"/>
    <w:rsid w:val="00DE01AC"/>
    <w:rsid w:val="00DE087F"/>
    <w:rsid w:val="00DE099A"/>
    <w:rsid w:val="00DE0E30"/>
    <w:rsid w:val="00DE12A5"/>
    <w:rsid w:val="00DE1782"/>
    <w:rsid w:val="00DE1D80"/>
    <w:rsid w:val="00DE1F05"/>
    <w:rsid w:val="00DE1F31"/>
    <w:rsid w:val="00DE208B"/>
    <w:rsid w:val="00DE2763"/>
    <w:rsid w:val="00DE2F6A"/>
    <w:rsid w:val="00DE3277"/>
    <w:rsid w:val="00DE36DC"/>
    <w:rsid w:val="00DE38B1"/>
    <w:rsid w:val="00DE3A53"/>
    <w:rsid w:val="00DE3A61"/>
    <w:rsid w:val="00DE3B5C"/>
    <w:rsid w:val="00DE3BA1"/>
    <w:rsid w:val="00DE3C77"/>
    <w:rsid w:val="00DE4161"/>
    <w:rsid w:val="00DE421B"/>
    <w:rsid w:val="00DE4967"/>
    <w:rsid w:val="00DE4DCC"/>
    <w:rsid w:val="00DE5204"/>
    <w:rsid w:val="00DE5251"/>
    <w:rsid w:val="00DE619E"/>
    <w:rsid w:val="00DE6317"/>
    <w:rsid w:val="00DE67A4"/>
    <w:rsid w:val="00DE6A06"/>
    <w:rsid w:val="00DE70C6"/>
    <w:rsid w:val="00DE70F1"/>
    <w:rsid w:val="00DE7BA0"/>
    <w:rsid w:val="00DE7DAB"/>
    <w:rsid w:val="00DE7E05"/>
    <w:rsid w:val="00DE7FD7"/>
    <w:rsid w:val="00DF0774"/>
    <w:rsid w:val="00DF105F"/>
    <w:rsid w:val="00DF176F"/>
    <w:rsid w:val="00DF1814"/>
    <w:rsid w:val="00DF2182"/>
    <w:rsid w:val="00DF226D"/>
    <w:rsid w:val="00DF26DC"/>
    <w:rsid w:val="00DF2E5D"/>
    <w:rsid w:val="00DF2F0D"/>
    <w:rsid w:val="00DF3246"/>
    <w:rsid w:val="00DF32BF"/>
    <w:rsid w:val="00DF36AF"/>
    <w:rsid w:val="00DF382B"/>
    <w:rsid w:val="00DF3C75"/>
    <w:rsid w:val="00DF3FB1"/>
    <w:rsid w:val="00DF4132"/>
    <w:rsid w:val="00DF4206"/>
    <w:rsid w:val="00DF495A"/>
    <w:rsid w:val="00DF49C8"/>
    <w:rsid w:val="00DF5411"/>
    <w:rsid w:val="00DF5DBE"/>
    <w:rsid w:val="00DF6024"/>
    <w:rsid w:val="00DF628C"/>
    <w:rsid w:val="00DF6F61"/>
    <w:rsid w:val="00DF7118"/>
    <w:rsid w:val="00DF7148"/>
    <w:rsid w:val="00DF7270"/>
    <w:rsid w:val="00DF736C"/>
    <w:rsid w:val="00DF74D3"/>
    <w:rsid w:val="00DF7636"/>
    <w:rsid w:val="00DF7DD9"/>
    <w:rsid w:val="00DF7E07"/>
    <w:rsid w:val="00DF7EF0"/>
    <w:rsid w:val="00E00052"/>
    <w:rsid w:val="00E003AE"/>
    <w:rsid w:val="00E008B9"/>
    <w:rsid w:val="00E011D9"/>
    <w:rsid w:val="00E02334"/>
    <w:rsid w:val="00E02454"/>
    <w:rsid w:val="00E02CA2"/>
    <w:rsid w:val="00E02F8B"/>
    <w:rsid w:val="00E0367E"/>
    <w:rsid w:val="00E03CAD"/>
    <w:rsid w:val="00E03E6A"/>
    <w:rsid w:val="00E0430D"/>
    <w:rsid w:val="00E049BB"/>
    <w:rsid w:val="00E050DB"/>
    <w:rsid w:val="00E0525F"/>
    <w:rsid w:val="00E05380"/>
    <w:rsid w:val="00E05651"/>
    <w:rsid w:val="00E058A5"/>
    <w:rsid w:val="00E058C6"/>
    <w:rsid w:val="00E07C18"/>
    <w:rsid w:val="00E101C6"/>
    <w:rsid w:val="00E11DEB"/>
    <w:rsid w:val="00E12616"/>
    <w:rsid w:val="00E12FE0"/>
    <w:rsid w:val="00E13682"/>
    <w:rsid w:val="00E139E7"/>
    <w:rsid w:val="00E13BD3"/>
    <w:rsid w:val="00E1428A"/>
    <w:rsid w:val="00E14336"/>
    <w:rsid w:val="00E14DBE"/>
    <w:rsid w:val="00E15173"/>
    <w:rsid w:val="00E1550B"/>
    <w:rsid w:val="00E15DB5"/>
    <w:rsid w:val="00E1741A"/>
    <w:rsid w:val="00E1756A"/>
    <w:rsid w:val="00E175FD"/>
    <w:rsid w:val="00E17EC5"/>
    <w:rsid w:val="00E17F41"/>
    <w:rsid w:val="00E2032F"/>
    <w:rsid w:val="00E205A4"/>
    <w:rsid w:val="00E2067D"/>
    <w:rsid w:val="00E20CFF"/>
    <w:rsid w:val="00E20E9C"/>
    <w:rsid w:val="00E20FB4"/>
    <w:rsid w:val="00E216C6"/>
    <w:rsid w:val="00E2186A"/>
    <w:rsid w:val="00E21ED4"/>
    <w:rsid w:val="00E22AD8"/>
    <w:rsid w:val="00E22D51"/>
    <w:rsid w:val="00E22F9C"/>
    <w:rsid w:val="00E2324A"/>
    <w:rsid w:val="00E23D22"/>
    <w:rsid w:val="00E23DAD"/>
    <w:rsid w:val="00E23F08"/>
    <w:rsid w:val="00E241F4"/>
    <w:rsid w:val="00E247AF"/>
    <w:rsid w:val="00E24A10"/>
    <w:rsid w:val="00E24B3F"/>
    <w:rsid w:val="00E252FF"/>
    <w:rsid w:val="00E255C1"/>
    <w:rsid w:val="00E25725"/>
    <w:rsid w:val="00E259F2"/>
    <w:rsid w:val="00E25C64"/>
    <w:rsid w:val="00E26097"/>
    <w:rsid w:val="00E26710"/>
    <w:rsid w:val="00E26E93"/>
    <w:rsid w:val="00E2714C"/>
    <w:rsid w:val="00E27403"/>
    <w:rsid w:val="00E2743A"/>
    <w:rsid w:val="00E27466"/>
    <w:rsid w:val="00E27513"/>
    <w:rsid w:val="00E278C8"/>
    <w:rsid w:val="00E27FBE"/>
    <w:rsid w:val="00E30208"/>
    <w:rsid w:val="00E30534"/>
    <w:rsid w:val="00E30AF4"/>
    <w:rsid w:val="00E3106E"/>
    <w:rsid w:val="00E3174C"/>
    <w:rsid w:val="00E31A4E"/>
    <w:rsid w:val="00E31B5C"/>
    <w:rsid w:val="00E31D55"/>
    <w:rsid w:val="00E31FFE"/>
    <w:rsid w:val="00E32290"/>
    <w:rsid w:val="00E3369B"/>
    <w:rsid w:val="00E33ADB"/>
    <w:rsid w:val="00E33AE6"/>
    <w:rsid w:val="00E33C6F"/>
    <w:rsid w:val="00E349A7"/>
    <w:rsid w:val="00E34C51"/>
    <w:rsid w:val="00E34CF9"/>
    <w:rsid w:val="00E34E84"/>
    <w:rsid w:val="00E35641"/>
    <w:rsid w:val="00E356E4"/>
    <w:rsid w:val="00E35B4F"/>
    <w:rsid w:val="00E35E3A"/>
    <w:rsid w:val="00E35FB1"/>
    <w:rsid w:val="00E36833"/>
    <w:rsid w:val="00E36B80"/>
    <w:rsid w:val="00E3717B"/>
    <w:rsid w:val="00E3757F"/>
    <w:rsid w:val="00E3792F"/>
    <w:rsid w:val="00E37DCE"/>
    <w:rsid w:val="00E37FD6"/>
    <w:rsid w:val="00E40568"/>
    <w:rsid w:val="00E4098B"/>
    <w:rsid w:val="00E409F6"/>
    <w:rsid w:val="00E40A05"/>
    <w:rsid w:val="00E40AA4"/>
    <w:rsid w:val="00E40E92"/>
    <w:rsid w:val="00E418A4"/>
    <w:rsid w:val="00E41DDF"/>
    <w:rsid w:val="00E4200F"/>
    <w:rsid w:val="00E42143"/>
    <w:rsid w:val="00E423CC"/>
    <w:rsid w:val="00E42493"/>
    <w:rsid w:val="00E424BF"/>
    <w:rsid w:val="00E4259A"/>
    <w:rsid w:val="00E42C78"/>
    <w:rsid w:val="00E43032"/>
    <w:rsid w:val="00E43235"/>
    <w:rsid w:val="00E441E9"/>
    <w:rsid w:val="00E442B3"/>
    <w:rsid w:val="00E442D4"/>
    <w:rsid w:val="00E4458E"/>
    <w:rsid w:val="00E44755"/>
    <w:rsid w:val="00E447E4"/>
    <w:rsid w:val="00E44B23"/>
    <w:rsid w:val="00E451E2"/>
    <w:rsid w:val="00E45491"/>
    <w:rsid w:val="00E45888"/>
    <w:rsid w:val="00E45A5A"/>
    <w:rsid w:val="00E45C66"/>
    <w:rsid w:val="00E46088"/>
    <w:rsid w:val="00E46935"/>
    <w:rsid w:val="00E4705E"/>
    <w:rsid w:val="00E471CB"/>
    <w:rsid w:val="00E47A95"/>
    <w:rsid w:val="00E50E7C"/>
    <w:rsid w:val="00E50EEE"/>
    <w:rsid w:val="00E51545"/>
    <w:rsid w:val="00E515C7"/>
    <w:rsid w:val="00E51866"/>
    <w:rsid w:val="00E51989"/>
    <w:rsid w:val="00E51D9E"/>
    <w:rsid w:val="00E520DB"/>
    <w:rsid w:val="00E52227"/>
    <w:rsid w:val="00E527A9"/>
    <w:rsid w:val="00E528F9"/>
    <w:rsid w:val="00E52A3D"/>
    <w:rsid w:val="00E52F1D"/>
    <w:rsid w:val="00E5318A"/>
    <w:rsid w:val="00E5359D"/>
    <w:rsid w:val="00E537D1"/>
    <w:rsid w:val="00E53BB0"/>
    <w:rsid w:val="00E54029"/>
    <w:rsid w:val="00E5429E"/>
    <w:rsid w:val="00E5460E"/>
    <w:rsid w:val="00E548F5"/>
    <w:rsid w:val="00E54D0A"/>
    <w:rsid w:val="00E54ED6"/>
    <w:rsid w:val="00E550FA"/>
    <w:rsid w:val="00E56208"/>
    <w:rsid w:val="00E56362"/>
    <w:rsid w:val="00E56796"/>
    <w:rsid w:val="00E567BB"/>
    <w:rsid w:val="00E567E6"/>
    <w:rsid w:val="00E56971"/>
    <w:rsid w:val="00E56979"/>
    <w:rsid w:val="00E5750E"/>
    <w:rsid w:val="00E5780A"/>
    <w:rsid w:val="00E57A54"/>
    <w:rsid w:val="00E57AAE"/>
    <w:rsid w:val="00E57D0C"/>
    <w:rsid w:val="00E6013F"/>
    <w:rsid w:val="00E604A6"/>
    <w:rsid w:val="00E6099D"/>
    <w:rsid w:val="00E60A99"/>
    <w:rsid w:val="00E61092"/>
    <w:rsid w:val="00E611A5"/>
    <w:rsid w:val="00E61366"/>
    <w:rsid w:val="00E613F2"/>
    <w:rsid w:val="00E61484"/>
    <w:rsid w:val="00E615B6"/>
    <w:rsid w:val="00E6185A"/>
    <w:rsid w:val="00E61972"/>
    <w:rsid w:val="00E620D1"/>
    <w:rsid w:val="00E62457"/>
    <w:rsid w:val="00E6249E"/>
    <w:rsid w:val="00E627B9"/>
    <w:rsid w:val="00E62A2F"/>
    <w:rsid w:val="00E62EB8"/>
    <w:rsid w:val="00E639F1"/>
    <w:rsid w:val="00E63AEE"/>
    <w:rsid w:val="00E63C41"/>
    <w:rsid w:val="00E63F8F"/>
    <w:rsid w:val="00E640E3"/>
    <w:rsid w:val="00E64945"/>
    <w:rsid w:val="00E64962"/>
    <w:rsid w:val="00E64975"/>
    <w:rsid w:val="00E64AEF"/>
    <w:rsid w:val="00E64E67"/>
    <w:rsid w:val="00E65320"/>
    <w:rsid w:val="00E653BD"/>
    <w:rsid w:val="00E659AF"/>
    <w:rsid w:val="00E659F2"/>
    <w:rsid w:val="00E65BE1"/>
    <w:rsid w:val="00E65D9C"/>
    <w:rsid w:val="00E65DA6"/>
    <w:rsid w:val="00E660C3"/>
    <w:rsid w:val="00E6668C"/>
    <w:rsid w:val="00E6678C"/>
    <w:rsid w:val="00E667A0"/>
    <w:rsid w:val="00E66A1E"/>
    <w:rsid w:val="00E67088"/>
    <w:rsid w:val="00E67361"/>
    <w:rsid w:val="00E6743C"/>
    <w:rsid w:val="00E67A31"/>
    <w:rsid w:val="00E7008E"/>
    <w:rsid w:val="00E7017C"/>
    <w:rsid w:val="00E7091D"/>
    <w:rsid w:val="00E70A4D"/>
    <w:rsid w:val="00E70BF6"/>
    <w:rsid w:val="00E711D7"/>
    <w:rsid w:val="00E71678"/>
    <w:rsid w:val="00E717F0"/>
    <w:rsid w:val="00E71A36"/>
    <w:rsid w:val="00E72123"/>
    <w:rsid w:val="00E72431"/>
    <w:rsid w:val="00E725F5"/>
    <w:rsid w:val="00E72C3C"/>
    <w:rsid w:val="00E730B1"/>
    <w:rsid w:val="00E730F8"/>
    <w:rsid w:val="00E73492"/>
    <w:rsid w:val="00E73767"/>
    <w:rsid w:val="00E73936"/>
    <w:rsid w:val="00E739D6"/>
    <w:rsid w:val="00E73A6F"/>
    <w:rsid w:val="00E73AB9"/>
    <w:rsid w:val="00E73E45"/>
    <w:rsid w:val="00E7418B"/>
    <w:rsid w:val="00E74275"/>
    <w:rsid w:val="00E74725"/>
    <w:rsid w:val="00E749BF"/>
    <w:rsid w:val="00E74E78"/>
    <w:rsid w:val="00E75210"/>
    <w:rsid w:val="00E7544A"/>
    <w:rsid w:val="00E7575A"/>
    <w:rsid w:val="00E76055"/>
    <w:rsid w:val="00E761DE"/>
    <w:rsid w:val="00E7638B"/>
    <w:rsid w:val="00E763BD"/>
    <w:rsid w:val="00E764CD"/>
    <w:rsid w:val="00E77019"/>
    <w:rsid w:val="00E771B8"/>
    <w:rsid w:val="00E77832"/>
    <w:rsid w:val="00E77970"/>
    <w:rsid w:val="00E77A5A"/>
    <w:rsid w:val="00E77D58"/>
    <w:rsid w:val="00E77D67"/>
    <w:rsid w:val="00E77DCA"/>
    <w:rsid w:val="00E77FFE"/>
    <w:rsid w:val="00E80BD3"/>
    <w:rsid w:val="00E80CE2"/>
    <w:rsid w:val="00E80DAA"/>
    <w:rsid w:val="00E80F2A"/>
    <w:rsid w:val="00E812FD"/>
    <w:rsid w:val="00E814DA"/>
    <w:rsid w:val="00E815E1"/>
    <w:rsid w:val="00E8205F"/>
    <w:rsid w:val="00E82328"/>
    <w:rsid w:val="00E8277A"/>
    <w:rsid w:val="00E82914"/>
    <w:rsid w:val="00E829DA"/>
    <w:rsid w:val="00E82C96"/>
    <w:rsid w:val="00E82E29"/>
    <w:rsid w:val="00E83307"/>
    <w:rsid w:val="00E8339A"/>
    <w:rsid w:val="00E83558"/>
    <w:rsid w:val="00E839D1"/>
    <w:rsid w:val="00E83A1E"/>
    <w:rsid w:val="00E83B18"/>
    <w:rsid w:val="00E84291"/>
    <w:rsid w:val="00E843A6"/>
    <w:rsid w:val="00E84888"/>
    <w:rsid w:val="00E848EE"/>
    <w:rsid w:val="00E84AC6"/>
    <w:rsid w:val="00E84E48"/>
    <w:rsid w:val="00E8559E"/>
    <w:rsid w:val="00E85865"/>
    <w:rsid w:val="00E859BC"/>
    <w:rsid w:val="00E85E36"/>
    <w:rsid w:val="00E86220"/>
    <w:rsid w:val="00E86929"/>
    <w:rsid w:val="00E86937"/>
    <w:rsid w:val="00E86AF0"/>
    <w:rsid w:val="00E87119"/>
    <w:rsid w:val="00E87306"/>
    <w:rsid w:val="00E87467"/>
    <w:rsid w:val="00E874AE"/>
    <w:rsid w:val="00E879BC"/>
    <w:rsid w:val="00E87A71"/>
    <w:rsid w:val="00E902B0"/>
    <w:rsid w:val="00E902E8"/>
    <w:rsid w:val="00E90BAF"/>
    <w:rsid w:val="00E90DB3"/>
    <w:rsid w:val="00E9102A"/>
    <w:rsid w:val="00E91223"/>
    <w:rsid w:val="00E912E1"/>
    <w:rsid w:val="00E913B7"/>
    <w:rsid w:val="00E9182A"/>
    <w:rsid w:val="00E92905"/>
    <w:rsid w:val="00E9296B"/>
    <w:rsid w:val="00E92AC2"/>
    <w:rsid w:val="00E92E4D"/>
    <w:rsid w:val="00E92EF3"/>
    <w:rsid w:val="00E934D6"/>
    <w:rsid w:val="00E93505"/>
    <w:rsid w:val="00E9376B"/>
    <w:rsid w:val="00E9398A"/>
    <w:rsid w:val="00E939E5"/>
    <w:rsid w:val="00E93F38"/>
    <w:rsid w:val="00E94170"/>
    <w:rsid w:val="00E94260"/>
    <w:rsid w:val="00E945E0"/>
    <w:rsid w:val="00E94728"/>
    <w:rsid w:val="00E94CDE"/>
    <w:rsid w:val="00E95477"/>
    <w:rsid w:val="00E95656"/>
    <w:rsid w:val="00E95A39"/>
    <w:rsid w:val="00E95A6D"/>
    <w:rsid w:val="00E95E3D"/>
    <w:rsid w:val="00E96361"/>
    <w:rsid w:val="00E96843"/>
    <w:rsid w:val="00E9697F"/>
    <w:rsid w:val="00E96B66"/>
    <w:rsid w:val="00E96CF3"/>
    <w:rsid w:val="00E97C19"/>
    <w:rsid w:val="00E97C31"/>
    <w:rsid w:val="00EA08AC"/>
    <w:rsid w:val="00EA0DA9"/>
    <w:rsid w:val="00EA1279"/>
    <w:rsid w:val="00EA17AA"/>
    <w:rsid w:val="00EA183F"/>
    <w:rsid w:val="00EA19EC"/>
    <w:rsid w:val="00EA1D47"/>
    <w:rsid w:val="00EA21C4"/>
    <w:rsid w:val="00EA227E"/>
    <w:rsid w:val="00EA23AC"/>
    <w:rsid w:val="00EA2C1D"/>
    <w:rsid w:val="00EA2FA5"/>
    <w:rsid w:val="00EA30F4"/>
    <w:rsid w:val="00EA34FE"/>
    <w:rsid w:val="00EA398F"/>
    <w:rsid w:val="00EA3DBF"/>
    <w:rsid w:val="00EA3EDD"/>
    <w:rsid w:val="00EA432D"/>
    <w:rsid w:val="00EA4711"/>
    <w:rsid w:val="00EA480C"/>
    <w:rsid w:val="00EA4861"/>
    <w:rsid w:val="00EA4986"/>
    <w:rsid w:val="00EA49A5"/>
    <w:rsid w:val="00EA4A33"/>
    <w:rsid w:val="00EA5510"/>
    <w:rsid w:val="00EA575B"/>
    <w:rsid w:val="00EA5A97"/>
    <w:rsid w:val="00EA6118"/>
    <w:rsid w:val="00EA6176"/>
    <w:rsid w:val="00EA6196"/>
    <w:rsid w:val="00EA61C5"/>
    <w:rsid w:val="00EA684D"/>
    <w:rsid w:val="00EA6A0F"/>
    <w:rsid w:val="00EA6BA7"/>
    <w:rsid w:val="00EA73DB"/>
    <w:rsid w:val="00EA7B3D"/>
    <w:rsid w:val="00EA7B47"/>
    <w:rsid w:val="00EA7BDA"/>
    <w:rsid w:val="00EA7C3D"/>
    <w:rsid w:val="00EA7EC6"/>
    <w:rsid w:val="00EB0621"/>
    <w:rsid w:val="00EB09A2"/>
    <w:rsid w:val="00EB0B76"/>
    <w:rsid w:val="00EB0BA5"/>
    <w:rsid w:val="00EB0DC3"/>
    <w:rsid w:val="00EB0FF6"/>
    <w:rsid w:val="00EB128C"/>
    <w:rsid w:val="00EB1A65"/>
    <w:rsid w:val="00EB1C5D"/>
    <w:rsid w:val="00EB1E69"/>
    <w:rsid w:val="00EB20BC"/>
    <w:rsid w:val="00EB23B2"/>
    <w:rsid w:val="00EB2FDD"/>
    <w:rsid w:val="00EB323C"/>
    <w:rsid w:val="00EB326A"/>
    <w:rsid w:val="00EB3D97"/>
    <w:rsid w:val="00EB44D7"/>
    <w:rsid w:val="00EB4544"/>
    <w:rsid w:val="00EB458C"/>
    <w:rsid w:val="00EB48B5"/>
    <w:rsid w:val="00EB4B0B"/>
    <w:rsid w:val="00EB5A58"/>
    <w:rsid w:val="00EB5E7C"/>
    <w:rsid w:val="00EB5EED"/>
    <w:rsid w:val="00EB601D"/>
    <w:rsid w:val="00EB611F"/>
    <w:rsid w:val="00EB642C"/>
    <w:rsid w:val="00EB67E4"/>
    <w:rsid w:val="00EB6833"/>
    <w:rsid w:val="00EB6878"/>
    <w:rsid w:val="00EB6D28"/>
    <w:rsid w:val="00EB6E53"/>
    <w:rsid w:val="00EB73C9"/>
    <w:rsid w:val="00EB796D"/>
    <w:rsid w:val="00EC0161"/>
    <w:rsid w:val="00EC03A2"/>
    <w:rsid w:val="00EC060E"/>
    <w:rsid w:val="00EC0B01"/>
    <w:rsid w:val="00EC0D84"/>
    <w:rsid w:val="00EC1E0E"/>
    <w:rsid w:val="00EC1FA9"/>
    <w:rsid w:val="00EC236D"/>
    <w:rsid w:val="00EC2497"/>
    <w:rsid w:val="00EC266C"/>
    <w:rsid w:val="00EC32A3"/>
    <w:rsid w:val="00EC37B9"/>
    <w:rsid w:val="00EC3A55"/>
    <w:rsid w:val="00EC3AE9"/>
    <w:rsid w:val="00EC3D08"/>
    <w:rsid w:val="00EC48F2"/>
    <w:rsid w:val="00EC4952"/>
    <w:rsid w:val="00EC4D65"/>
    <w:rsid w:val="00EC4DC7"/>
    <w:rsid w:val="00EC4DF0"/>
    <w:rsid w:val="00EC4F25"/>
    <w:rsid w:val="00EC4F97"/>
    <w:rsid w:val="00EC558B"/>
    <w:rsid w:val="00EC5777"/>
    <w:rsid w:val="00EC5821"/>
    <w:rsid w:val="00EC5927"/>
    <w:rsid w:val="00EC5B3A"/>
    <w:rsid w:val="00EC5C82"/>
    <w:rsid w:val="00EC5CA9"/>
    <w:rsid w:val="00EC5F4C"/>
    <w:rsid w:val="00EC63A0"/>
    <w:rsid w:val="00EC64FC"/>
    <w:rsid w:val="00EC69C9"/>
    <w:rsid w:val="00EC6B16"/>
    <w:rsid w:val="00EC6EE7"/>
    <w:rsid w:val="00EC6EE9"/>
    <w:rsid w:val="00EC71F3"/>
    <w:rsid w:val="00EC724F"/>
    <w:rsid w:val="00EC77B4"/>
    <w:rsid w:val="00EC7938"/>
    <w:rsid w:val="00EC7E97"/>
    <w:rsid w:val="00EC7F1D"/>
    <w:rsid w:val="00ED004A"/>
    <w:rsid w:val="00ED0219"/>
    <w:rsid w:val="00ED0235"/>
    <w:rsid w:val="00ED0395"/>
    <w:rsid w:val="00ED03A4"/>
    <w:rsid w:val="00ED0A01"/>
    <w:rsid w:val="00ED0A19"/>
    <w:rsid w:val="00ED0A98"/>
    <w:rsid w:val="00ED0C94"/>
    <w:rsid w:val="00ED0F25"/>
    <w:rsid w:val="00ED10B8"/>
    <w:rsid w:val="00ED11A2"/>
    <w:rsid w:val="00ED11C3"/>
    <w:rsid w:val="00ED18A2"/>
    <w:rsid w:val="00ED1C50"/>
    <w:rsid w:val="00ED1CF9"/>
    <w:rsid w:val="00ED1F81"/>
    <w:rsid w:val="00ED21CE"/>
    <w:rsid w:val="00ED266E"/>
    <w:rsid w:val="00ED27D4"/>
    <w:rsid w:val="00ED287D"/>
    <w:rsid w:val="00ED29D0"/>
    <w:rsid w:val="00ED2A05"/>
    <w:rsid w:val="00ED2DE4"/>
    <w:rsid w:val="00ED2FFB"/>
    <w:rsid w:val="00ED318E"/>
    <w:rsid w:val="00ED32A2"/>
    <w:rsid w:val="00ED3363"/>
    <w:rsid w:val="00ED3637"/>
    <w:rsid w:val="00ED3C9F"/>
    <w:rsid w:val="00ED45ED"/>
    <w:rsid w:val="00ED5128"/>
    <w:rsid w:val="00ED5569"/>
    <w:rsid w:val="00ED5853"/>
    <w:rsid w:val="00ED5A20"/>
    <w:rsid w:val="00ED5CBB"/>
    <w:rsid w:val="00ED5EC2"/>
    <w:rsid w:val="00ED5EFB"/>
    <w:rsid w:val="00ED6072"/>
    <w:rsid w:val="00ED70A0"/>
    <w:rsid w:val="00ED7563"/>
    <w:rsid w:val="00ED75E7"/>
    <w:rsid w:val="00ED7E14"/>
    <w:rsid w:val="00EE01DB"/>
    <w:rsid w:val="00EE080A"/>
    <w:rsid w:val="00EE0B42"/>
    <w:rsid w:val="00EE12BB"/>
    <w:rsid w:val="00EE1447"/>
    <w:rsid w:val="00EE164F"/>
    <w:rsid w:val="00EE1A56"/>
    <w:rsid w:val="00EE1BF1"/>
    <w:rsid w:val="00EE1E78"/>
    <w:rsid w:val="00EE2378"/>
    <w:rsid w:val="00EE2462"/>
    <w:rsid w:val="00EE2790"/>
    <w:rsid w:val="00EE2CDC"/>
    <w:rsid w:val="00EE33E8"/>
    <w:rsid w:val="00EE3B5E"/>
    <w:rsid w:val="00EE427C"/>
    <w:rsid w:val="00EE4864"/>
    <w:rsid w:val="00EE4BC8"/>
    <w:rsid w:val="00EE5142"/>
    <w:rsid w:val="00EE57BE"/>
    <w:rsid w:val="00EE5BF8"/>
    <w:rsid w:val="00EE6573"/>
    <w:rsid w:val="00EE662E"/>
    <w:rsid w:val="00EE6637"/>
    <w:rsid w:val="00EE6BCF"/>
    <w:rsid w:val="00EE6D08"/>
    <w:rsid w:val="00EE6E40"/>
    <w:rsid w:val="00EE71B1"/>
    <w:rsid w:val="00EE7744"/>
    <w:rsid w:val="00EE7785"/>
    <w:rsid w:val="00EE79BC"/>
    <w:rsid w:val="00EE7B1A"/>
    <w:rsid w:val="00EE7B4A"/>
    <w:rsid w:val="00EE7FA1"/>
    <w:rsid w:val="00EF033A"/>
    <w:rsid w:val="00EF037D"/>
    <w:rsid w:val="00EF03E1"/>
    <w:rsid w:val="00EF0583"/>
    <w:rsid w:val="00EF08AE"/>
    <w:rsid w:val="00EF115E"/>
    <w:rsid w:val="00EF145E"/>
    <w:rsid w:val="00EF154F"/>
    <w:rsid w:val="00EF1621"/>
    <w:rsid w:val="00EF1777"/>
    <w:rsid w:val="00EF1B97"/>
    <w:rsid w:val="00EF206E"/>
    <w:rsid w:val="00EF2125"/>
    <w:rsid w:val="00EF21C4"/>
    <w:rsid w:val="00EF2298"/>
    <w:rsid w:val="00EF2505"/>
    <w:rsid w:val="00EF2BBB"/>
    <w:rsid w:val="00EF2DCE"/>
    <w:rsid w:val="00EF309C"/>
    <w:rsid w:val="00EF31F6"/>
    <w:rsid w:val="00EF349A"/>
    <w:rsid w:val="00EF3A55"/>
    <w:rsid w:val="00EF3D71"/>
    <w:rsid w:val="00EF4090"/>
    <w:rsid w:val="00EF462C"/>
    <w:rsid w:val="00EF48DF"/>
    <w:rsid w:val="00EF4E65"/>
    <w:rsid w:val="00EF53E5"/>
    <w:rsid w:val="00EF54D8"/>
    <w:rsid w:val="00EF5510"/>
    <w:rsid w:val="00EF577C"/>
    <w:rsid w:val="00EF585E"/>
    <w:rsid w:val="00EF5C05"/>
    <w:rsid w:val="00EF5E13"/>
    <w:rsid w:val="00EF5F38"/>
    <w:rsid w:val="00EF5FA7"/>
    <w:rsid w:val="00EF654A"/>
    <w:rsid w:val="00EF6BF2"/>
    <w:rsid w:val="00EF6D60"/>
    <w:rsid w:val="00EF7515"/>
    <w:rsid w:val="00EF77E5"/>
    <w:rsid w:val="00EF7C78"/>
    <w:rsid w:val="00F00671"/>
    <w:rsid w:val="00F0082D"/>
    <w:rsid w:val="00F00CD4"/>
    <w:rsid w:val="00F01116"/>
    <w:rsid w:val="00F01224"/>
    <w:rsid w:val="00F015AB"/>
    <w:rsid w:val="00F018BF"/>
    <w:rsid w:val="00F018E0"/>
    <w:rsid w:val="00F024C2"/>
    <w:rsid w:val="00F02D78"/>
    <w:rsid w:val="00F030BF"/>
    <w:rsid w:val="00F03479"/>
    <w:rsid w:val="00F035AF"/>
    <w:rsid w:val="00F0414C"/>
    <w:rsid w:val="00F041F5"/>
    <w:rsid w:val="00F04474"/>
    <w:rsid w:val="00F045E0"/>
    <w:rsid w:val="00F045EE"/>
    <w:rsid w:val="00F04992"/>
    <w:rsid w:val="00F04B6E"/>
    <w:rsid w:val="00F04D85"/>
    <w:rsid w:val="00F04F7B"/>
    <w:rsid w:val="00F05174"/>
    <w:rsid w:val="00F05354"/>
    <w:rsid w:val="00F05514"/>
    <w:rsid w:val="00F0553F"/>
    <w:rsid w:val="00F055E7"/>
    <w:rsid w:val="00F0582C"/>
    <w:rsid w:val="00F05F78"/>
    <w:rsid w:val="00F06244"/>
    <w:rsid w:val="00F064B3"/>
    <w:rsid w:val="00F066FC"/>
    <w:rsid w:val="00F06C90"/>
    <w:rsid w:val="00F06DB0"/>
    <w:rsid w:val="00F07007"/>
    <w:rsid w:val="00F07011"/>
    <w:rsid w:val="00F0730D"/>
    <w:rsid w:val="00F07407"/>
    <w:rsid w:val="00F07C90"/>
    <w:rsid w:val="00F07CC1"/>
    <w:rsid w:val="00F101F9"/>
    <w:rsid w:val="00F10560"/>
    <w:rsid w:val="00F10FAC"/>
    <w:rsid w:val="00F115ED"/>
    <w:rsid w:val="00F11800"/>
    <w:rsid w:val="00F1183B"/>
    <w:rsid w:val="00F11E20"/>
    <w:rsid w:val="00F121A2"/>
    <w:rsid w:val="00F12458"/>
    <w:rsid w:val="00F12AC1"/>
    <w:rsid w:val="00F12C57"/>
    <w:rsid w:val="00F13184"/>
    <w:rsid w:val="00F1337E"/>
    <w:rsid w:val="00F136A6"/>
    <w:rsid w:val="00F13E97"/>
    <w:rsid w:val="00F13F3B"/>
    <w:rsid w:val="00F1481C"/>
    <w:rsid w:val="00F14AD6"/>
    <w:rsid w:val="00F156B9"/>
    <w:rsid w:val="00F15976"/>
    <w:rsid w:val="00F15ABA"/>
    <w:rsid w:val="00F15CA1"/>
    <w:rsid w:val="00F15D07"/>
    <w:rsid w:val="00F1674C"/>
    <w:rsid w:val="00F16899"/>
    <w:rsid w:val="00F1690D"/>
    <w:rsid w:val="00F16938"/>
    <w:rsid w:val="00F16A3E"/>
    <w:rsid w:val="00F16E26"/>
    <w:rsid w:val="00F172F3"/>
    <w:rsid w:val="00F178F5"/>
    <w:rsid w:val="00F17D12"/>
    <w:rsid w:val="00F204C5"/>
    <w:rsid w:val="00F20714"/>
    <w:rsid w:val="00F20879"/>
    <w:rsid w:val="00F20F8A"/>
    <w:rsid w:val="00F21EBF"/>
    <w:rsid w:val="00F21ECD"/>
    <w:rsid w:val="00F220DF"/>
    <w:rsid w:val="00F22102"/>
    <w:rsid w:val="00F2246C"/>
    <w:rsid w:val="00F22BE9"/>
    <w:rsid w:val="00F23181"/>
    <w:rsid w:val="00F23209"/>
    <w:rsid w:val="00F23933"/>
    <w:rsid w:val="00F23B6E"/>
    <w:rsid w:val="00F24319"/>
    <w:rsid w:val="00F24DB0"/>
    <w:rsid w:val="00F24DF3"/>
    <w:rsid w:val="00F24F69"/>
    <w:rsid w:val="00F25613"/>
    <w:rsid w:val="00F2571C"/>
    <w:rsid w:val="00F25D77"/>
    <w:rsid w:val="00F26A21"/>
    <w:rsid w:val="00F26C98"/>
    <w:rsid w:val="00F26FF8"/>
    <w:rsid w:val="00F2703A"/>
    <w:rsid w:val="00F273B0"/>
    <w:rsid w:val="00F274A3"/>
    <w:rsid w:val="00F2783F"/>
    <w:rsid w:val="00F2785E"/>
    <w:rsid w:val="00F27BDB"/>
    <w:rsid w:val="00F27D10"/>
    <w:rsid w:val="00F27E4D"/>
    <w:rsid w:val="00F30185"/>
    <w:rsid w:val="00F304A4"/>
    <w:rsid w:val="00F3082C"/>
    <w:rsid w:val="00F30E0A"/>
    <w:rsid w:val="00F3104E"/>
    <w:rsid w:val="00F318A3"/>
    <w:rsid w:val="00F31F42"/>
    <w:rsid w:val="00F32077"/>
    <w:rsid w:val="00F320CC"/>
    <w:rsid w:val="00F32802"/>
    <w:rsid w:val="00F32931"/>
    <w:rsid w:val="00F32F59"/>
    <w:rsid w:val="00F33547"/>
    <w:rsid w:val="00F3359C"/>
    <w:rsid w:val="00F3383A"/>
    <w:rsid w:val="00F33DB8"/>
    <w:rsid w:val="00F33DC3"/>
    <w:rsid w:val="00F33E9F"/>
    <w:rsid w:val="00F33FBF"/>
    <w:rsid w:val="00F34346"/>
    <w:rsid w:val="00F34918"/>
    <w:rsid w:val="00F34D04"/>
    <w:rsid w:val="00F353EC"/>
    <w:rsid w:val="00F35A21"/>
    <w:rsid w:val="00F35C4B"/>
    <w:rsid w:val="00F35D6A"/>
    <w:rsid w:val="00F35F51"/>
    <w:rsid w:val="00F361CC"/>
    <w:rsid w:val="00F3741C"/>
    <w:rsid w:val="00F37424"/>
    <w:rsid w:val="00F37454"/>
    <w:rsid w:val="00F3747E"/>
    <w:rsid w:val="00F37713"/>
    <w:rsid w:val="00F3797A"/>
    <w:rsid w:val="00F37E34"/>
    <w:rsid w:val="00F40042"/>
    <w:rsid w:val="00F40413"/>
    <w:rsid w:val="00F405BF"/>
    <w:rsid w:val="00F40810"/>
    <w:rsid w:val="00F4169B"/>
    <w:rsid w:val="00F41A02"/>
    <w:rsid w:val="00F41E37"/>
    <w:rsid w:val="00F42185"/>
    <w:rsid w:val="00F4232C"/>
    <w:rsid w:val="00F42535"/>
    <w:rsid w:val="00F4277E"/>
    <w:rsid w:val="00F427D9"/>
    <w:rsid w:val="00F42896"/>
    <w:rsid w:val="00F4294C"/>
    <w:rsid w:val="00F42D2F"/>
    <w:rsid w:val="00F42FAA"/>
    <w:rsid w:val="00F4307D"/>
    <w:rsid w:val="00F43B36"/>
    <w:rsid w:val="00F4486F"/>
    <w:rsid w:val="00F44C81"/>
    <w:rsid w:val="00F44DCE"/>
    <w:rsid w:val="00F44E7A"/>
    <w:rsid w:val="00F44EFF"/>
    <w:rsid w:val="00F45343"/>
    <w:rsid w:val="00F4575E"/>
    <w:rsid w:val="00F46027"/>
    <w:rsid w:val="00F46302"/>
    <w:rsid w:val="00F46305"/>
    <w:rsid w:val="00F463FA"/>
    <w:rsid w:val="00F46736"/>
    <w:rsid w:val="00F46CD6"/>
    <w:rsid w:val="00F46E87"/>
    <w:rsid w:val="00F47477"/>
    <w:rsid w:val="00F50018"/>
    <w:rsid w:val="00F5040D"/>
    <w:rsid w:val="00F50BE4"/>
    <w:rsid w:val="00F5120F"/>
    <w:rsid w:val="00F5158C"/>
    <w:rsid w:val="00F517C0"/>
    <w:rsid w:val="00F51B4B"/>
    <w:rsid w:val="00F51D2B"/>
    <w:rsid w:val="00F51D7F"/>
    <w:rsid w:val="00F51F92"/>
    <w:rsid w:val="00F525E1"/>
    <w:rsid w:val="00F528AD"/>
    <w:rsid w:val="00F531AF"/>
    <w:rsid w:val="00F5365A"/>
    <w:rsid w:val="00F54693"/>
    <w:rsid w:val="00F54BAD"/>
    <w:rsid w:val="00F54D2D"/>
    <w:rsid w:val="00F54D62"/>
    <w:rsid w:val="00F5506A"/>
    <w:rsid w:val="00F551DF"/>
    <w:rsid w:val="00F554AC"/>
    <w:rsid w:val="00F55766"/>
    <w:rsid w:val="00F55A50"/>
    <w:rsid w:val="00F55A9A"/>
    <w:rsid w:val="00F56209"/>
    <w:rsid w:val="00F5654C"/>
    <w:rsid w:val="00F56A82"/>
    <w:rsid w:val="00F56F50"/>
    <w:rsid w:val="00F5736F"/>
    <w:rsid w:val="00F573CC"/>
    <w:rsid w:val="00F57959"/>
    <w:rsid w:val="00F57BED"/>
    <w:rsid w:val="00F57E60"/>
    <w:rsid w:val="00F6006E"/>
    <w:rsid w:val="00F60198"/>
    <w:rsid w:val="00F60463"/>
    <w:rsid w:val="00F60734"/>
    <w:rsid w:val="00F60D8A"/>
    <w:rsid w:val="00F6204B"/>
    <w:rsid w:val="00F62713"/>
    <w:rsid w:val="00F634A5"/>
    <w:rsid w:val="00F63A0E"/>
    <w:rsid w:val="00F6438A"/>
    <w:rsid w:val="00F645EC"/>
    <w:rsid w:val="00F65008"/>
    <w:rsid w:val="00F651E1"/>
    <w:rsid w:val="00F654EC"/>
    <w:rsid w:val="00F65708"/>
    <w:rsid w:val="00F65E8D"/>
    <w:rsid w:val="00F66532"/>
    <w:rsid w:val="00F666AE"/>
    <w:rsid w:val="00F669CD"/>
    <w:rsid w:val="00F66B26"/>
    <w:rsid w:val="00F67063"/>
    <w:rsid w:val="00F67467"/>
    <w:rsid w:val="00F67FC7"/>
    <w:rsid w:val="00F701CF"/>
    <w:rsid w:val="00F70641"/>
    <w:rsid w:val="00F708A0"/>
    <w:rsid w:val="00F70B29"/>
    <w:rsid w:val="00F7102E"/>
    <w:rsid w:val="00F71030"/>
    <w:rsid w:val="00F71441"/>
    <w:rsid w:val="00F7151D"/>
    <w:rsid w:val="00F716CF"/>
    <w:rsid w:val="00F7195A"/>
    <w:rsid w:val="00F71AE6"/>
    <w:rsid w:val="00F71C7E"/>
    <w:rsid w:val="00F71F54"/>
    <w:rsid w:val="00F72342"/>
    <w:rsid w:val="00F726BC"/>
    <w:rsid w:val="00F7274E"/>
    <w:rsid w:val="00F72B0B"/>
    <w:rsid w:val="00F72BC8"/>
    <w:rsid w:val="00F72C8E"/>
    <w:rsid w:val="00F737DB"/>
    <w:rsid w:val="00F7381A"/>
    <w:rsid w:val="00F73E74"/>
    <w:rsid w:val="00F73F1D"/>
    <w:rsid w:val="00F74097"/>
    <w:rsid w:val="00F7459D"/>
    <w:rsid w:val="00F7472D"/>
    <w:rsid w:val="00F74830"/>
    <w:rsid w:val="00F75395"/>
    <w:rsid w:val="00F75AD1"/>
    <w:rsid w:val="00F75B93"/>
    <w:rsid w:val="00F7607B"/>
    <w:rsid w:val="00F7613A"/>
    <w:rsid w:val="00F76239"/>
    <w:rsid w:val="00F763DF"/>
    <w:rsid w:val="00F76A3C"/>
    <w:rsid w:val="00F76C91"/>
    <w:rsid w:val="00F7710A"/>
    <w:rsid w:val="00F771EF"/>
    <w:rsid w:val="00F77572"/>
    <w:rsid w:val="00F77AB6"/>
    <w:rsid w:val="00F77BDF"/>
    <w:rsid w:val="00F77E4D"/>
    <w:rsid w:val="00F80195"/>
    <w:rsid w:val="00F80399"/>
    <w:rsid w:val="00F80540"/>
    <w:rsid w:val="00F81223"/>
    <w:rsid w:val="00F81611"/>
    <w:rsid w:val="00F81C00"/>
    <w:rsid w:val="00F81D18"/>
    <w:rsid w:val="00F82396"/>
    <w:rsid w:val="00F82746"/>
    <w:rsid w:val="00F8286C"/>
    <w:rsid w:val="00F82EF4"/>
    <w:rsid w:val="00F830C1"/>
    <w:rsid w:val="00F836F9"/>
    <w:rsid w:val="00F83C57"/>
    <w:rsid w:val="00F84300"/>
    <w:rsid w:val="00F845D7"/>
    <w:rsid w:val="00F846C4"/>
    <w:rsid w:val="00F846D8"/>
    <w:rsid w:val="00F84751"/>
    <w:rsid w:val="00F847C2"/>
    <w:rsid w:val="00F84908"/>
    <w:rsid w:val="00F84A31"/>
    <w:rsid w:val="00F84D2D"/>
    <w:rsid w:val="00F854A7"/>
    <w:rsid w:val="00F85660"/>
    <w:rsid w:val="00F85792"/>
    <w:rsid w:val="00F859FD"/>
    <w:rsid w:val="00F85A99"/>
    <w:rsid w:val="00F85CC5"/>
    <w:rsid w:val="00F86427"/>
    <w:rsid w:val="00F868BA"/>
    <w:rsid w:val="00F86A43"/>
    <w:rsid w:val="00F86BBA"/>
    <w:rsid w:val="00F86E79"/>
    <w:rsid w:val="00F878E6"/>
    <w:rsid w:val="00F879C8"/>
    <w:rsid w:val="00F87A8E"/>
    <w:rsid w:val="00F903D2"/>
    <w:rsid w:val="00F90493"/>
    <w:rsid w:val="00F904CB"/>
    <w:rsid w:val="00F908BE"/>
    <w:rsid w:val="00F90A8A"/>
    <w:rsid w:val="00F91356"/>
    <w:rsid w:val="00F91362"/>
    <w:rsid w:val="00F916AC"/>
    <w:rsid w:val="00F91CCA"/>
    <w:rsid w:val="00F91F5F"/>
    <w:rsid w:val="00F92279"/>
    <w:rsid w:val="00F9276E"/>
    <w:rsid w:val="00F92A45"/>
    <w:rsid w:val="00F92C55"/>
    <w:rsid w:val="00F92D42"/>
    <w:rsid w:val="00F92E72"/>
    <w:rsid w:val="00F92F01"/>
    <w:rsid w:val="00F93335"/>
    <w:rsid w:val="00F93597"/>
    <w:rsid w:val="00F9366F"/>
    <w:rsid w:val="00F936CB"/>
    <w:rsid w:val="00F93A4A"/>
    <w:rsid w:val="00F93B00"/>
    <w:rsid w:val="00F9404B"/>
    <w:rsid w:val="00F943E3"/>
    <w:rsid w:val="00F94741"/>
    <w:rsid w:val="00F947EB"/>
    <w:rsid w:val="00F94D1B"/>
    <w:rsid w:val="00F94E9C"/>
    <w:rsid w:val="00F95194"/>
    <w:rsid w:val="00F9580D"/>
    <w:rsid w:val="00F95844"/>
    <w:rsid w:val="00F95BFA"/>
    <w:rsid w:val="00F95F91"/>
    <w:rsid w:val="00F9654A"/>
    <w:rsid w:val="00F965CD"/>
    <w:rsid w:val="00F9707C"/>
    <w:rsid w:val="00F9782B"/>
    <w:rsid w:val="00F97BEA"/>
    <w:rsid w:val="00F97FB5"/>
    <w:rsid w:val="00F97FF4"/>
    <w:rsid w:val="00FA023E"/>
    <w:rsid w:val="00FA0C55"/>
    <w:rsid w:val="00FA0DDE"/>
    <w:rsid w:val="00FA0DEC"/>
    <w:rsid w:val="00FA0F8F"/>
    <w:rsid w:val="00FA1000"/>
    <w:rsid w:val="00FA13B1"/>
    <w:rsid w:val="00FA19BC"/>
    <w:rsid w:val="00FA1A63"/>
    <w:rsid w:val="00FA1AF7"/>
    <w:rsid w:val="00FA2111"/>
    <w:rsid w:val="00FA2905"/>
    <w:rsid w:val="00FA2FAF"/>
    <w:rsid w:val="00FA31E4"/>
    <w:rsid w:val="00FA3443"/>
    <w:rsid w:val="00FA38FF"/>
    <w:rsid w:val="00FA3E82"/>
    <w:rsid w:val="00FA4101"/>
    <w:rsid w:val="00FA4178"/>
    <w:rsid w:val="00FA4207"/>
    <w:rsid w:val="00FA4925"/>
    <w:rsid w:val="00FA4BF9"/>
    <w:rsid w:val="00FA4C89"/>
    <w:rsid w:val="00FA4D07"/>
    <w:rsid w:val="00FA4DA9"/>
    <w:rsid w:val="00FA4DB6"/>
    <w:rsid w:val="00FA67C9"/>
    <w:rsid w:val="00FA6A6A"/>
    <w:rsid w:val="00FA6C7D"/>
    <w:rsid w:val="00FA6D4F"/>
    <w:rsid w:val="00FA70B7"/>
    <w:rsid w:val="00FA7157"/>
    <w:rsid w:val="00FA7194"/>
    <w:rsid w:val="00FA7BEF"/>
    <w:rsid w:val="00FB040F"/>
    <w:rsid w:val="00FB0D6F"/>
    <w:rsid w:val="00FB110F"/>
    <w:rsid w:val="00FB18B5"/>
    <w:rsid w:val="00FB1A79"/>
    <w:rsid w:val="00FB1F5E"/>
    <w:rsid w:val="00FB21D6"/>
    <w:rsid w:val="00FB272B"/>
    <w:rsid w:val="00FB28DB"/>
    <w:rsid w:val="00FB30E1"/>
    <w:rsid w:val="00FB3206"/>
    <w:rsid w:val="00FB38FB"/>
    <w:rsid w:val="00FB3A1F"/>
    <w:rsid w:val="00FB3B7C"/>
    <w:rsid w:val="00FB3F89"/>
    <w:rsid w:val="00FB4887"/>
    <w:rsid w:val="00FB49F3"/>
    <w:rsid w:val="00FB4AA2"/>
    <w:rsid w:val="00FB4D21"/>
    <w:rsid w:val="00FB5817"/>
    <w:rsid w:val="00FB6CBC"/>
    <w:rsid w:val="00FB7029"/>
    <w:rsid w:val="00FB762B"/>
    <w:rsid w:val="00FB7BEB"/>
    <w:rsid w:val="00FC00AE"/>
    <w:rsid w:val="00FC0521"/>
    <w:rsid w:val="00FC0555"/>
    <w:rsid w:val="00FC0642"/>
    <w:rsid w:val="00FC0E1A"/>
    <w:rsid w:val="00FC0F19"/>
    <w:rsid w:val="00FC1196"/>
    <w:rsid w:val="00FC1BB9"/>
    <w:rsid w:val="00FC1C5B"/>
    <w:rsid w:val="00FC1D16"/>
    <w:rsid w:val="00FC2357"/>
    <w:rsid w:val="00FC36FD"/>
    <w:rsid w:val="00FC3A6A"/>
    <w:rsid w:val="00FC3B5F"/>
    <w:rsid w:val="00FC3B6D"/>
    <w:rsid w:val="00FC3D7E"/>
    <w:rsid w:val="00FC3EC5"/>
    <w:rsid w:val="00FC3F82"/>
    <w:rsid w:val="00FC4524"/>
    <w:rsid w:val="00FC47AA"/>
    <w:rsid w:val="00FC4BCE"/>
    <w:rsid w:val="00FC4EDB"/>
    <w:rsid w:val="00FC585D"/>
    <w:rsid w:val="00FC5C79"/>
    <w:rsid w:val="00FC619F"/>
    <w:rsid w:val="00FC658E"/>
    <w:rsid w:val="00FC667F"/>
    <w:rsid w:val="00FC68F6"/>
    <w:rsid w:val="00FC6ADA"/>
    <w:rsid w:val="00FC7238"/>
    <w:rsid w:val="00FC73EE"/>
    <w:rsid w:val="00FC75CB"/>
    <w:rsid w:val="00FC7993"/>
    <w:rsid w:val="00FC7F32"/>
    <w:rsid w:val="00FC7FCA"/>
    <w:rsid w:val="00FD103F"/>
    <w:rsid w:val="00FD1B85"/>
    <w:rsid w:val="00FD1C63"/>
    <w:rsid w:val="00FD223F"/>
    <w:rsid w:val="00FD24C7"/>
    <w:rsid w:val="00FD24FB"/>
    <w:rsid w:val="00FD28AF"/>
    <w:rsid w:val="00FD2946"/>
    <w:rsid w:val="00FD2DBC"/>
    <w:rsid w:val="00FD31B5"/>
    <w:rsid w:val="00FD3278"/>
    <w:rsid w:val="00FD332B"/>
    <w:rsid w:val="00FD3836"/>
    <w:rsid w:val="00FD3FBE"/>
    <w:rsid w:val="00FD436D"/>
    <w:rsid w:val="00FD46A3"/>
    <w:rsid w:val="00FD4935"/>
    <w:rsid w:val="00FD4D19"/>
    <w:rsid w:val="00FD550D"/>
    <w:rsid w:val="00FD60B0"/>
    <w:rsid w:val="00FD6AC5"/>
    <w:rsid w:val="00FD6E42"/>
    <w:rsid w:val="00FD6E5D"/>
    <w:rsid w:val="00FD731D"/>
    <w:rsid w:val="00FD7678"/>
    <w:rsid w:val="00FD7770"/>
    <w:rsid w:val="00FD7A9B"/>
    <w:rsid w:val="00FD7B22"/>
    <w:rsid w:val="00FD7D89"/>
    <w:rsid w:val="00FE0AA2"/>
    <w:rsid w:val="00FE12A3"/>
    <w:rsid w:val="00FE1713"/>
    <w:rsid w:val="00FE1D6B"/>
    <w:rsid w:val="00FE1F76"/>
    <w:rsid w:val="00FE2462"/>
    <w:rsid w:val="00FE25D7"/>
    <w:rsid w:val="00FE270E"/>
    <w:rsid w:val="00FE296F"/>
    <w:rsid w:val="00FE2A0C"/>
    <w:rsid w:val="00FE2F7D"/>
    <w:rsid w:val="00FE303A"/>
    <w:rsid w:val="00FE33A3"/>
    <w:rsid w:val="00FE34D1"/>
    <w:rsid w:val="00FE3561"/>
    <w:rsid w:val="00FE3A24"/>
    <w:rsid w:val="00FE3FB6"/>
    <w:rsid w:val="00FE42BF"/>
    <w:rsid w:val="00FE4A87"/>
    <w:rsid w:val="00FE4DB4"/>
    <w:rsid w:val="00FE4F0C"/>
    <w:rsid w:val="00FE5398"/>
    <w:rsid w:val="00FE58E9"/>
    <w:rsid w:val="00FE5CC0"/>
    <w:rsid w:val="00FE5E21"/>
    <w:rsid w:val="00FE680A"/>
    <w:rsid w:val="00FE6913"/>
    <w:rsid w:val="00FE7002"/>
    <w:rsid w:val="00FE783F"/>
    <w:rsid w:val="00FE7C67"/>
    <w:rsid w:val="00FE7CEB"/>
    <w:rsid w:val="00FE7D0C"/>
    <w:rsid w:val="00FE7D3B"/>
    <w:rsid w:val="00FF0E62"/>
    <w:rsid w:val="00FF1275"/>
    <w:rsid w:val="00FF163A"/>
    <w:rsid w:val="00FF1928"/>
    <w:rsid w:val="00FF27E1"/>
    <w:rsid w:val="00FF3000"/>
    <w:rsid w:val="00FF3594"/>
    <w:rsid w:val="00FF3A24"/>
    <w:rsid w:val="00FF4398"/>
    <w:rsid w:val="00FF442A"/>
    <w:rsid w:val="00FF47DB"/>
    <w:rsid w:val="00FF4835"/>
    <w:rsid w:val="00FF4C3C"/>
    <w:rsid w:val="00FF4CBB"/>
    <w:rsid w:val="00FF6294"/>
    <w:rsid w:val="00FF6366"/>
    <w:rsid w:val="00FF6587"/>
    <w:rsid w:val="00FF6966"/>
    <w:rsid w:val="00FF69F5"/>
    <w:rsid w:val="00FF6C51"/>
    <w:rsid w:val="00FF6D37"/>
    <w:rsid w:val="00FF7465"/>
    <w:rsid w:val="00FF75F9"/>
    <w:rsid w:val="00FF776B"/>
    <w:rsid w:val="00FF79E1"/>
    <w:rsid w:val="00FF7A40"/>
    <w:rsid w:val="0205CCFC"/>
    <w:rsid w:val="04E7B10C"/>
    <w:rsid w:val="065B81BC"/>
    <w:rsid w:val="0C577A9B"/>
    <w:rsid w:val="0DB7A19B"/>
    <w:rsid w:val="0EEA10D3"/>
    <w:rsid w:val="10AAC725"/>
    <w:rsid w:val="139996D0"/>
    <w:rsid w:val="1A9F77A2"/>
    <w:rsid w:val="1C7F8581"/>
    <w:rsid w:val="1FB1F52E"/>
    <w:rsid w:val="20084D07"/>
    <w:rsid w:val="2018E773"/>
    <w:rsid w:val="24932021"/>
    <w:rsid w:val="24B3DC80"/>
    <w:rsid w:val="2C311074"/>
    <w:rsid w:val="324CEF82"/>
    <w:rsid w:val="3362B7E3"/>
    <w:rsid w:val="357E9D96"/>
    <w:rsid w:val="36431CBD"/>
    <w:rsid w:val="3842DAF9"/>
    <w:rsid w:val="3A2CADA1"/>
    <w:rsid w:val="3A322180"/>
    <w:rsid w:val="3D6064A7"/>
    <w:rsid w:val="4550D2DA"/>
    <w:rsid w:val="4595B1EA"/>
    <w:rsid w:val="47B8E049"/>
    <w:rsid w:val="48B5CC45"/>
    <w:rsid w:val="493FC8AA"/>
    <w:rsid w:val="4C3174BE"/>
    <w:rsid w:val="52BDD8E0"/>
    <w:rsid w:val="5CA3AD3D"/>
    <w:rsid w:val="5EC08359"/>
    <w:rsid w:val="609F1ED0"/>
    <w:rsid w:val="618336E9"/>
    <w:rsid w:val="62E5356E"/>
    <w:rsid w:val="644305A7"/>
    <w:rsid w:val="6BD69430"/>
    <w:rsid w:val="6BDD362F"/>
    <w:rsid w:val="6C48FCB3"/>
    <w:rsid w:val="6F36280C"/>
    <w:rsid w:val="70E8DB72"/>
    <w:rsid w:val="73AD12BA"/>
    <w:rsid w:val="74D7AFB6"/>
    <w:rsid w:val="78F6FBEB"/>
    <w:rsid w:val="7D0D892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3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7F3"/>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3E5A7A"/>
    <w:pPr>
      <w:spacing w:before="600" w:line="460" w:lineRule="exact"/>
      <w:outlineLvl w:val="0"/>
    </w:pPr>
    <w:rPr>
      <w:b/>
      <w:bCs w:val="0"/>
      <w:color w:val="2C384A" w:themeColor="accent1"/>
      <w:sz w:val="44"/>
    </w:rPr>
  </w:style>
  <w:style w:type="paragraph" w:styleId="Heading2">
    <w:name w:val="heading 2"/>
    <w:basedOn w:val="HeadingBase"/>
    <w:next w:val="Normal"/>
    <w:link w:val="Heading2Char"/>
    <w:qFormat/>
    <w:rsid w:val="00386297"/>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3E5A7A"/>
    <w:pPr>
      <w:spacing w:before="320" w:after="0" w:line="276" w:lineRule="auto"/>
      <w:outlineLvl w:val="2"/>
    </w:pPr>
    <w:rPr>
      <w:b/>
      <w:bCs w:val="0"/>
      <w:color w:val="2C384A" w:themeColor="accent1"/>
      <w:sz w:val="28"/>
      <w:szCs w:val="26"/>
    </w:rPr>
  </w:style>
  <w:style w:type="paragraph" w:styleId="Heading4">
    <w:name w:val="heading 4"/>
    <w:basedOn w:val="HeadingBase"/>
    <w:next w:val="Normal"/>
    <w:link w:val="Heading4Char"/>
    <w:qFormat/>
    <w:rsid w:val="003E5A7A"/>
    <w:pPr>
      <w:spacing w:before="280" w:after="0" w:line="276" w:lineRule="auto"/>
      <w:outlineLvl w:val="3"/>
    </w:pPr>
    <w:rPr>
      <w:rFonts w:ascii="Calibri Light" w:hAnsi="Calibri Light"/>
      <w:bCs w:val="0"/>
      <w:color w:val="5D779D" w:themeColor="accent3"/>
      <w:sz w:val="24"/>
      <w:szCs w:val="26"/>
    </w:rPr>
  </w:style>
  <w:style w:type="paragraph" w:styleId="Heading5">
    <w:name w:val="heading 5"/>
    <w:basedOn w:val="HeadingBase"/>
    <w:next w:val="Normal"/>
    <w:link w:val="Heading5Char"/>
    <w:rsid w:val="003E5A7A"/>
    <w:pPr>
      <w:spacing w:before="240" w:after="0" w:line="276" w:lineRule="auto"/>
      <w:outlineLvl w:val="4"/>
    </w:pPr>
    <w:rPr>
      <w:rFonts w:asciiTheme="majorHAnsi" w:hAnsiTheme="majorHAnsi"/>
      <w:b/>
      <w:bCs w:val="0"/>
      <w:iCs/>
      <w:color w:val="2C384A" w:themeColor="accent1"/>
      <w:sz w:val="22"/>
    </w:rPr>
  </w:style>
  <w:style w:type="paragraph" w:styleId="Heading6">
    <w:name w:val="heading 6"/>
    <w:basedOn w:val="HeadingBase"/>
    <w:next w:val="Normal"/>
    <w:link w:val="Heading6Char"/>
    <w:rsid w:val="00E349A7"/>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5A7A"/>
    <w:rPr>
      <w:rFonts w:ascii="Calibri" w:eastAsia="Times New Roman" w:hAnsi="Calibri" w:cs="Arial"/>
      <w:b/>
      <w:color w:val="2C384A" w:themeColor="accent1"/>
      <w:kern w:val="32"/>
      <w:sz w:val="44"/>
      <w:szCs w:val="36"/>
      <w:lang w:eastAsia="en-AU"/>
    </w:rPr>
  </w:style>
  <w:style w:type="character" w:customStyle="1" w:styleId="Heading2Char">
    <w:name w:val="Heading 2 Char"/>
    <w:basedOn w:val="DefaultParagraphFont"/>
    <w:link w:val="Heading2"/>
    <w:rsid w:val="00386297"/>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3E5A7A"/>
    <w:rPr>
      <w:rFonts w:ascii="Calibri" w:eastAsia="Times New Roman" w:hAnsi="Calibri" w:cs="Arial"/>
      <w:b/>
      <w:color w:val="2C384A" w:themeColor="accent1"/>
      <w:kern w:val="32"/>
      <w:sz w:val="28"/>
      <w:szCs w:val="26"/>
      <w:lang w:eastAsia="en-AU"/>
    </w:rPr>
  </w:style>
  <w:style w:type="character" w:customStyle="1" w:styleId="Heading4Char">
    <w:name w:val="Heading 4 Char"/>
    <w:basedOn w:val="DefaultParagraphFont"/>
    <w:link w:val="Heading4"/>
    <w:rsid w:val="003E5A7A"/>
    <w:rPr>
      <w:rFonts w:ascii="Calibri Light" w:eastAsia="Times New Roman" w:hAnsi="Calibri Light" w:cs="Arial"/>
      <w:color w:val="5D779D" w:themeColor="accent3"/>
      <w:kern w:val="32"/>
      <w:sz w:val="24"/>
      <w:szCs w:val="26"/>
      <w:lang w:eastAsia="en-AU"/>
    </w:rPr>
  </w:style>
  <w:style w:type="character" w:customStyle="1" w:styleId="Heading5Char">
    <w:name w:val="Heading 5 Char"/>
    <w:basedOn w:val="DefaultParagraphFont"/>
    <w:link w:val="Heading5"/>
    <w:rsid w:val="003E5A7A"/>
    <w:rPr>
      <w:rFonts w:asciiTheme="majorHAnsi" w:eastAsia="Times New Roman" w:hAnsiTheme="majorHAnsi" w:cs="Arial"/>
      <w:b/>
      <w:iCs/>
      <w:color w:val="2C384A" w:themeColor="accent1"/>
      <w:kern w:val="32"/>
      <w:szCs w:val="36"/>
      <w:lang w:eastAsia="en-AU"/>
    </w:rPr>
  </w:style>
  <w:style w:type="character" w:customStyle="1" w:styleId="Heading6Char">
    <w:name w:val="Heading 6 Char"/>
    <w:basedOn w:val="DefaultParagraphFont"/>
    <w:link w:val="Heading6"/>
    <w:rsid w:val="00E349A7"/>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8"/>
      </w:numPr>
      <w:spacing w:before="0"/>
    </w:pPr>
  </w:style>
  <w:style w:type="character" w:customStyle="1" w:styleId="DashChar">
    <w:name w:val="Dash Char"/>
    <w:basedOn w:val="DefaultParagraphFont"/>
    <w:link w:val="Dash"/>
    <w:locked/>
    <w:rsid w:val="00E349A7"/>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locked/>
    <w:rsid w:val="00E349A7"/>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E5318A"/>
    <w:rPr>
      <w:rFonts w:ascii="Calibri Light" w:eastAsia="Times New Roman" w:hAnsi="Calibri Light" w:cs="Times New Roman"/>
      <w:szCs w:val="20"/>
      <w:lang w:eastAsia="en-AU"/>
    </w:rPr>
  </w:style>
  <w:style w:type="paragraph" w:customStyle="1" w:styleId="BoxHeading">
    <w:name w:val="Box Heading"/>
    <w:basedOn w:val="Normal"/>
    <w:next w:val="Normal"/>
    <w:rsid w:val="00EB4B0B"/>
    <w:pPr>
      <w:keepNext/>
      <w:spacing w:before="240"/>
    </w:pPr>
    <w:rPr>
      <w:b/>
      <w:color w:val="2C384A" w:themeColor="accent1"/>
      <w:sz w:val="26"/>
      <w:szCs w:val="26"/>
    </w:rPr>
  </w:style>
  <w:style w:type="paragraph" w:customStyle="1" w:styleId="BoxText">
    <w:name w:val="Box Text"/>
    <w:basedOn w:val="Normal"/>
    <w:link w:val="BoxTextChar"/>
    <w:qFormat/>
    <w:rsid w:val="00E349A7"/>
  </w:style>
  <w:style w:type="paragraph" w:customStyle="1" w:styleId="Bullet">
    <w:name w:val="Bullet"/>
    <w:basedOn w:val="Normal"/>
    <w:link w:val="BulletChar"/>
    <w:qFormat/>
    <w:rsid w:val="00E5318A"/>
    <w:pPr>
      <w:numPr>
        <w:numId w:val="11"/>
      </w:numPr>
      <w:tabs>
        <w:tab w:val="left" w:pos="720"/>
      </w:tabs>
      <w:spacing w:before="0" w:line="276" w:lineRule="auto"/>
      <w:ind w:left="284"/>
    </w:pPr>
  </w:style>
  <w:style w:type="paragraph" w:customStyle="1" w:styleId="ChartandTableFootnoteAlpha">
    <w:name w:val="Chart and Table Footnote Alpha"/>
    <w:rsid w:val="0023305C"/>
    <w:pPr>
      <w:numPr>
        <w:numId w:val="6"/>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E97C19"/>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D2CFF"/>
    <w:pPr>
      <w:jc w:val="center"/>
    </w:pPr>
    <w:rPr>
      <w:b w:val="0"/>
      <w:bCs/>
    </w:rPr>
  </w:style>
  <w:style w:type="paragraph" w:customStyle="1" w:styleId="ReportDate">
    <w:name w:val="Report Date"/>
    <w:basedOn w:val="Normal"/>
    <w:link w:val="ReportDateChar"/>
    <w:rsid w:val="003E5A7A"/>
    <w:pPr>
      <w:keepNext/>
      <w:spacing w:before="0" w:after="360"/>
    </w:pPr>
    <w:rPr>
      <w:color w:val="EEEEEE" w:themeColor="background2"/>
      <w:sz w:val="32"/>
    </w:rPr>
  </w:style>
  <w:style w:type="paragraph" w:customStyle="1" w:styleId="Dash">
    <w:name w:val="Dash"/>
    <w:basedOn w:val="Normal"/>
    <w:link w:val="DashChar"/>
    <w:qFormat/>
    <w:rsid w:val="000E0B74"/>
    <w:pPr>
      <w:numPr>
        <w:ilvl w:val="1"/>
        <w:numId w:val="18"/>
      </w:numPr>
      <w:spacing w:before="0"/>
    </w:pPr>
  </w:style>
  <w:style w:type="paragraph" w:customStyle="1" w:styleId="DoubleDot">
    <w:name w:val="Double Dot"/>
    <w:basedOn w:val="Normal"/>
    <w:link w:val="DoubleDotChar"/>
    <w:qFormat/>
    <w:rsid w:val="000E0B74"/>
    <w:pPr>
      <w:numPr>
        <w:ilvl w:val="2"/>
        <w:numId w:val="18"/>
      </w:numPr>
      <w:spacing w:before="0"/>
    </w:pPr>
  </w:style>
  <w:style w:type="paragraph" w:customStyle="1" w:styleId="TableMainHeading">
    <w:name w:val="Table Main Heading"/>
    <w:basedOn w:val="Heading3"/>
    <w:next w:val="Normal"/>
    <w:rsid w:val="00E97C19"/>
    <w:pPr>
      <w:spacing w:before="120"/>
    </w:pPr>
    <w:rPr>
      <w:b w:val="0"/>
      <w:sz w:val="26"/>
    </w:rPr>
  </w:style>
  <w:style w:type="paragraph" w:customStyle="1" w:styleId="FooterEven">
    <w:name w:val="Footer Even"/>
    <w:basedOn w:val="Footer"/>
    <w:rsid w:val="00103F3C"/>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103F3C"/>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5"/>
      </w:numPr>
      <w:spacing w:before="0"/>
    </w:pPr>
  </w:style>
  <w:style w:type="paragraph" w:customStyle="1" w:styleId="OutlineNumbered2">
    <w:name w:val="Outline Numbered 2"/>
    <w:basedOn w:val="Normal"/>
    <w:rsid w:val="000E0B74"/>
    <w:pPr>
      <w:numPr>
        <w:ilvl w:val="1"/>
        <w:numId w:val="5"/>
      </w:numPr>
      <w:spacing w:before="0"/>
    </w:pPr>
  </w:style>
  <w:style w:type="paragraph" w:customStyle="1" w:styleId="OutlineNumbered3">
    <w:name w:val="Outline Numbered 3"/>
    <w:basedOn w:val="Normal"/>
    <w:rsid w:val="000E0B74"/>
    <w:pPr>
      <w:numPr>
        <w:ilvl w:val="2"/>
        <w:numId w:val="5"/>
      </w:numPr>
      <w:spacing w:before="0"/>
    </w:pPr>
  </w:style>
  <w:style w:type="paragraph" w:customStyle="1" w:styleId="SingleParagraph">
    <w:name w:val="Single Paragraph"/>
    <w:basedOn w:val="Normal"/>
    <w:next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A7236C"/>
    <w:pPr>
      <w:jc w:val="center"/>
    </w:pPr>
    <w:rPr>
      <w:b/>
      <w:color w:val="2C384A" w:themeColor="accent1"/>
      <w:sz w:val="20"/>
    </w:rPr>
  </w:style>
  <w:style w:type="paragraph" w:customStyle="1" w:styleId="TableColumnHeadingLeft">
    <w:name w:val="Table Column Heading Left"/>
    <w:basedOn w:val="TableTextLeft"/>
    <w:rsid w:val="00A7236C"/>
    <w:rPr>
      <w:b/>
      <w:color w:val="2C384A" w:themeColor="accent1"/>
      <w:sz w:val="20"/>
    </w:rPr>
  </w:style>
  <w:style w:type="paragraph" w:customStyle="1" w:styleId="TableColumnHeadingRight">
    <w:name w:val="Table Column Heading Right"/>
    <w:basedOn w:val="TableTextLeft"/>
    <w:rsid w:val="00A7236C"/>
    <w:pPr>
      <w:jc w:val="right"/>
    </w:pPr>
    <w:rPr>
      <w:b/>
      <w:color w:val="2C384A" w:themeColor="accent1"/>
      <w:sz w:val="20"/>
    </w:rPr>
  </w:style>
  <w:style w:type="table" w:styleId="TableGrid">
    <w:name w:val="Table Grid"/>
    <w:basedOn w:val="TableNormal"/>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A7236C"/>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3E5A7A"/>
    <w:pPr>
      <w:keepNext/>
      <w:tabs>
        <w:tab w:val="right" w:leader="dot" w:pos="9072"/>
      </w:tabs>
      <w:spacing w:before="40" w:after="20"/>
      <w:ind w:right="-2"/>
    </w:pPr>
    <w:rPr>
      <w:noProof/>
      <w:color w:val="2C384A" w:themeColor="accent1"/>
    </w:rPr>
  </w:style>
  <w:style w:type="paragraph" w:styleId="TOC3">
    <w:name w:val="toc 3"/>
    <w:basedOn w:val="Normal"/>
    <w:next w:val="Normal"/>
    <w:uiPriority w:val="39"/>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9"/>
      </w:numPr>
    </w:pPr>
  </w:style>
  <w:style w:type="paragraph" w:customStyle="1" w:styleId="Heading1Numbered">
    <w:name w:val="Heading 1 Numbered"/>
    <w:basedOn w:val="Heading1"/>
    <w:next w:val="Normal"/>
    <w:rsid w:val="00D256CA"/>
    <w:pPr>
      <w:numPr>
        <w:numId w:val="7"/>
      </w:numPr>
      <w:ind w:left="357" w:hanging="357"/>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7"/>
      </w:numPr>
      <w:ind w:left="284" w:hanging="284"/>
    </w:pPr>
  </w:style>
  <w:style w:type="paragraph" w:customStyle="1" w:styleId="Heading3Numbered">
    <w:name w:val="Heading 3 Numbered"/>
    <w:basedOn w:val="Heading3"/>
    <w:rsid w:val="00EE1BF1"/>
    <w:pPr>
      <w:numPr>
        <w:ilvl w:val="2"/>
        <w:numId w:val="7"/>
      </w:numPr>
      <w:ind w:left="284" w:hanging="284"/>
    </w:pPr>
  </w:style>
  <w:style w:type="paragraph" w:styleId="Title">
    <w:name w:val="Title"/>
    <w:basedOn w:val="Normal"/>
    <w:next w:val="Normal"/>
    <w:link w:val="TitleChar"/>
    <w:uiPriority w:val="10"/>
    <w:rsid w:val="00EE1BF1"/>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EE1BF1"/>
    <w:rPr>
      <w:rFonts w:ascii="Calibri" w:eastAsiaTheme="majorEastAsia" w:hAnsi="Calibri"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rsid w:val="00CB28E9"/>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CB28E9"/>
    <w:rPr>
      <w:rFonts w:ascii="Calibri" w:eastAsiaTheme="majorEastAsia" w:hAnsi="Calibri" w:cstheme="majorBidi"/>
      <w:iCs/>
      <w:color w:val="EEEEEE"/>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iPriority w:val="99"/>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uiPriority w:val="99"/>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6923D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3E5A7A"/>
    <w:rPr>
      <w:rFonts w:ascii="Calibri Light" w:eastAsia="Times New Roman" w:hAnsi="Calibri Light" w:cs="Times New Roman"/>
      <w:color w:val="EEEEEE" w:themeColor="background2"/>
      <w:sz w:val="32"/>
      <w:szCs w:val="20"/>
      <w:lang w:eastAsia="en-AU"/>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qFormat/>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E349A7"/>
    <w:rPr>
      <w:rFonts w:ascii="Calibri Light" w:eastAsia="Times New Roman" w:hAnsi="Calibri Light" w:cs="Times New Roman"/>
      <w:szCs w:val="20"/>
      <w:lang w:eastAsia="en-AU"/>
    </w:rPr>
  </w:style>
  <w:style w:type="paragraph" w:customStyle="1" w:styleId="Boxbullet">
    <w:name w:val="Box bullet"/>
    <w:basedOn w:val="Bullet"/>
    <w:rsid w:val="00E349A7"/>
    <w:pPr>
      <w:numPr>
        <w:numId w:val="10"/>
      </w:numPr>
      <w:tabs>
        <w:tab w:val="clear" w:pos="283"/>
        <w:tab w:val="num" w:pos="284"/>
        <w:tab w:val="num" w:pos="520"/>
      </w:tabs>
      <w:spacing w:before="60"/>
    </w:pPr>
    <w:rPr>
      <w:color w:val="0D0D0D" w:themeColor="text1" w:themeTint="F2"/>
    </w:rPr>
  </w:style>
  <w:style w:type="paragraph" w:customStyle="1" w:styleId="Boxdash">
    <w:name w:val="Box dash"/>
    <w:basedOn w:val="Dash"/>
    <w:rsid w:val="00E349A7"/>
    <w:pPr>
      <w:numPr>
        <w:numId w:val="10"/>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349A7"/>
    <w:pPr>
      <w:numPr>
        <w:numId w:val="10"/>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BE7EA5"/>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F5365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F5365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F5365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F5365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F5365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F5365A"/>
    <w:rPr>
      <w:rFonts w:ascii="Calibri" w:eastAsia="Times New Roman" w:hAnsi="Calibri" w:cs="Calibri"/>
      <w:b/>
      <w:color w:val="FF0000"/>
      <w:sz w:val="24"/>
      <w:szCs w:val="20"/>
      <w:lang w:eastAsia="en-AU"/>
    </w:rPr>
  </w:style>
  <w:style w:type="character" w:customStyle="1" w:styleId="ui-provider">
    <w:name w:val="ui-provider"/>
    <w:basedOn w:val="DefaultParagraphFont"/>
    <w:rsid w:val="007A182A"/>
  </w:style>
  <w:style w:type="paragraph" w:customStyle="1" w:styleId="Bullet1">
    <w:name w:val="Bullet 1"/>
    <w:basedOn w:val="Normal"/>
    <w:qFormat/>
    <w:rsid w:val="00A4515C"/>
    <w:pPr>
      <w:numPr>
        <w:numId w:val="13"/>
      </w:numPr>
      <w:suppressAutoHyphens/>
      <w:spacing w:after="60" w:line="280" w:lineRule="atLeast"/>
    </w:pPr>
    <w:rPr>
      <w:rFonts w:asciiTheme="minorHAnsi" w:eastAsiaTheme="minorHAnsi" w:hAnsiTheme="minorHAnsi" w:cstheme="minorBidi"/>
      <w:szCs w:val="22"/>
      <w:lang w:eastAsia="en-US"/>
    </w:rPr>
  </w:style>
  <w:style w:type="paragraph" w:customStyle="1" w:styleId="Bullet2">
    <w:name w:val="Bullet 2"/>
    <w:basedOn w:val="Bullet1"/>
    <w:qFormat/>
    <w:rsid w:val="00A4515C"/>
    <w:pPr>
      <w:numPr>
        <w:ilvl w:val="1"/>
      </w:numPr>
    </w:pPr>
  </w:style>
  <w:style w:type="paragraph" w:customStyle="1" w:styleId="Bullet3">
    <w:name w:val="Bullet 3"/>
    <w:basedOn w:val="Bullet2"/>
    <w:qFormat/>
    <w:rsid w:val="00A4515C"/>
    <w:pPr>
      <w:numPr>
        <w:ilvl w:val="2"/>
      </w:numPr>
    </w:pPr>
  </w:style>
  <w:style w:type="numbering" w:customStyle="1" w:styleId="BulletsList">
    <w:name w:val="Bullets List"/>
    <w:uiPriority w:val="99"/>
    <w:rsid w:val="00A4515C"/>
    <w:pPr>
      <w:numPr>
        <w:numId w:val="13"/>
      </w:numPr>
    </w:pPr>
  </w:style>
  <w:style w:type="paragraph" w:styleId="Revision">
    <w:name w:val="Revision"/>
    <w:hidden/>
    <w:uiPriority w:val="99"/>
    <w:semiHidden/>
    <w:rsid w:val="00051CAE"/>
    <w:pPr>
      <w:spacing w:after="0" w:line="240" w:lineRule="auto"/>
    </w:pPr>
    <w:rPr>
      <w:rFonts w:ascii="Calibri Light" w:eastAsia="Times New Roman" w:hAnsi="Calibri Light" w:cs="Times New Roman"/>
      <w:szCs w:val="20"/>
      <w:lang w:eastAsia="en-AU"/>
    </w:rPr>
  </w:style>
  <w:style w:type="paragraph" w:styleId="CommentSubject">
    <w:name w:val="annotation subject"/>
    <w:basedOn w:val="CommentText"/>
    <w:next w:val="CommentText"/>
    <w:link w:val="CommentSubjectChar"/>
    <w:uiPriority w:val="99"/>
    <w:semiHidden/>
    <w:unhideWhenUsed/>
    <w:rsid w:val="00A678FA"/>
    <w:rPr>
      <w:rFonts w:ascii="Calibri Light" w:hAnsi="Calibri Light"/>
      <w:b/>
      <w:bCs/>
    </w:rPr>
  </w:style>
  <w:style w:type="character" w:customStyle="1" w:styleId="CommentSubjectChar">
    <w:name w:val="Comment Subject Char"/>
    <w:basedOn w:val="CommentTextChar"/>
    <w:link w:val="CommentSubject"/>
    <w:uiPriority w:val="99"/>
    <w:semiHidden/>
    <w:rsid w:val="00A678FA"/>
    <w:rPr>
      <w:rFonts w:ascii="Calibri Light" w:eastAsia="Times New Roman" w:hAnsi="Calibri Light" w:cs="Times New Roman"/>
      <w:b/>
      <w:bCs/>
      <w:sz w:val="20"/>
      <w:szCs w:val="20"/>
      <w:lang w:eastAsia="en-AU"/>
    </w:rPr>
  </w:style>
  <w:style w:type="table" w:styleId="GridTable5Dark-Accent3">
    <w:name w:val="Grid Table 5 Dark Accent 3"/>
    <w:basedOn w:val="TableNormal"/>
    <w:uiPriority w:val="50"/>
    <w:rsid w:val="001256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3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D779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D779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D779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D779D" w:themeFill="accent3"/>
      </w:tcPr>
    </w:tblStylePr>
    <w:tblStylePr w:type="band1Vert">
      <w:tblPr/>
      <w:tcPr>
        <w:shd w:val="clear" w:color="auto" w:fill="BDC8D8" w:themeFill="accent3" w:themeFillTint="66"/>
      </w:tcPr>
    </w:tblStylePr>
    <w:tblStylePr w:type="band1Horz">
      <w:tblPr/>
      <w:tcPr>
        <w:shd w:val="clear" w:color="auto" w:fill="BDC8D8" w:themeFill="accent3" w:themeFillTint="66"/>
      </w:tcPr>
    </w:tblStylePr>
  </w:style>
  <w:style w:type="table" w:styleId="GridTable4-Accent3">
    <w:name w:val="Grid Table 4 Accent 3"/>
    <w:basedOn w:val="TableNormal"/>
    <w:uiPriority w:val="49"/>
    <w:rsid w:val="00C20F04"/>
    <w:pPr>
      <w:spacing w:after="0" w:line="240" w:lineRule="auto"/>
    </w:pPr>
    <w:tblPr>
      <w:tblStyleRowBandSize w:val="1"/>
      <w:tblStyleColBandSize w:val="1"/>
      <w:tblBorders>
        <w:top w:val="single" w:sz="4" w:space="0" w:color="9DADC5" w:themeColor="accent3" w:themeTint="99"/>
        <w:left w:val="single" w:sz="4" w:space="0" w:color="9DADC5" w:themeColor="accent3" w:themeTint="99"/>
        <w:bottom w:val="single" w:sz="4" w:space="0" w:color="9DADC5" w:themeColor="accent3" w:themeTint="99"/>
        <w:right w:val="single" w:sz="4" w:space="0" w:color="9DADC5" w:themeColor="accent3" w:themeTint="99"/>
        <w:insideH w:val="single" w:sz="4" w:space="0" w:color="9DADC5" w:themeColor="accent3" w:themeTint="99"/>
        <w:insideV w:val="single" w:sz="4" w:space="0" w:color="9DADC5" w:themeColor="accent3" w:themeTint="99"/>
      </w:tblBorders>
    </w:tblPr>
    <w:tblStylePr w:type="firstRow">
      <w:rPr>
        <w:b/>
        <w:bCs/>
        <w:color w:val="FFFFFF" w:themeColor="background1"/>
      </w:rPr>
      <w:tblPr/>
      <w:tcPr>
        <w:tcBorders>
          <w:top w:val="single" w:sz="4" w:space="0" w:color="5D779D" w:themeColor="accent3"/>
          <w:left w:val="single" w:sz="4" w:space="0" w:color="5D779D" w:themeColor="accent3"/>
          <w:bottom w:val="single" w:sz="4" w:space="0" w:color="5D779D" w:themeColor="accent3"/>
          <w:right w:val="single" w:sz="4" w:space="0" w:color="5D779D" w:themeColor="accent3"/>
          <w:insideH w:val="nil"/>
          <w:insideV w:val="nil"/>
        </w:tcBorders>
        <w:shd w:val="clear" w:color="auto" w:fill="5D779D" w:themeFill="accent3"/>
      </w:tcPr>
    </w:tblStylePr>
    <w:tblStylePr w:type="lastRow">
      <w:rPr>
        <w:b/>
        <w:bCs/>
      </w:rPr>
      <w:tblPr/>
      <w:tcPr>
        <w:tcBorders>
          <w:top w:val="double" w:sz="4" w:space="0" w:color="5D779D" w:themeColor="accent3"/>
        </w:tcBorders>
      </w:tcPr>
    </w:tblStylePr>
    <w:tblStylePr w:type="firstCol">
      <w:rPr>
        <w:b/>
        <w:bCs/>
      </w:rPr>
    </w:tblStylePr>
    <w:tblStylePr w:type="lastCol">
      <w:rPr>
        <w:b/>
        <w:bCs/>
      </w:rPr>
    </w:tblStylePr>
    <w:tblStylePr w:type="band1Vert">
      <w:tblPr/>
      <w:tcPr>
        <w:shd w:val="clear" w:color="auto" w:fill="DEE3EB" w:themeFill="accent3" w:themeFillTint="33"/>
      </w:tcPr>
    </w:tblStylePr>
    <w:tblStylePr w:type="band1Horz">
      <w:tblPr/>
      <w:tcPr>
        <w:shd w:val="clear" w:color="auto" w:fill="DEE3EB" w:themeFill="accent3" w:themeFillTint="33"/>
      </w:tcPr>
    </w:tblStylePr>
  </w:style>
  <w:style w:type="character" w:styleId="Mention">
    <w:name w:val="Mention"/>
    <w:basedOn w:val="DefaultParagraphFont"/>
    <w:uiPriority w:val="99"/>
    <w:unhideWhenUsed/>
    <w:rsid w:val="00CC3646"/>
    <w:rPr>
      <w:color w:val="2B579A"/>
      <w:shd w:val="clear" w:color="auto" w:fill="E1DFDD"/>
    </w:rPr>
  </w:style>
  <w:style w:type="paragraph" w:customStyle="1" w:styleId="NormalIndented">
    <w:name w:val="Normal Indented"/>
    <w:basedOn w:val="Normal"/>
    <w:qFormat/>
    <w:rsid w:val="00EF48DF"/>
    <w:pPr>
      <w:suppressAutoHyphens/>
      <w:spacing w:before="180" w:after="60" w:line="280" w:lineRule="atLeast"/>
      <w:ind w:left="284"/>
    </w:pPr>
    <w:rPr>
      <w:rFonts w:asciiTheme="minorHAnsi" w:eastAsiaTheme="minorHAnsi" w:hAnsiTheme="minorHAnsi" w:cstheme="minorBidi"/>
      <w:szCs w:val="22"/>
      <w:lang w:eastAsia="en-US"/>
    </w:rPr>
  </w:style>
  <w:style w:type="paragraph" w:customStyle="1" w:styleId="Boxindent">
    <w:name w:val="Box indent"/>
    <w:basedOn w:val="Normal"/>
    <w:qFormat/>
    <w:rsid w:val="00DD475B"/>
    <w:pPr>
      <w:suppressAutoHyphens/>
      <w:spacing w:before="180" w:after="60" w:line="280" w:lineRule="atLeast"/>
      <w:ind w:left="284"/>
    </w:pPr>
    <w:rPr>
      <w:rFonts w:asciiTheme="minorHAnsi" w:eastAsiaTheme="minorHAnsi" w:hAnsiTheme="minorHAnsi" w:cstheme="minorBidi"/>
      <w:szCs w:val="22"/>
      <w:lang w:eastAsia="en-US"/>
    </w:rPr>
  </w:style>
  <w:style w:type="table" w:styleId="GridTable4-Accent1">
    <w:name w:val="Grid Table 4 Accent 1"/>
    <w:basedOn w:val="TableNormal"/>
    <w:uiPriority w:val="49"/>
    <w:rsid w:val="009D4D15"/>
    <w:pPr>
      <w:spacing w:after="0" w:line="240" w:lineRule="auto"/>
    </w:pPr>
    <w:tblPr>
      <w:tblStyleRowBandSize w:val="1"/>
      <w:tblStyleColBandSize w:val="1"/>
      <w:tblBorders>
        <w:top w:val="single" w:sz="4" w:space="0" w:color="6B83A7" w:themeColor="accent1" w:themeTint="99"/>
        <w:left w:val="single" w:sz="4" w:space="0" w:color="6B83A7" w:themeColor="accent1" w:themeTint="99"/>
        <w:bottom w:val="single" w:sz="4" w:space="0" w:color="6B83A7" w:themeColor="accent1" w:themeTint="99"/>
        <w:right w:val="single" w:sz="4" w:space="0" w:color="6B83A7" w:themeColor="accent1" w:themeTint="99"/>
        <w:insideH w:val="single" w:sz="4" w:space="0" w:color="6B83A7" w:themeColor="accent1" w:themeTint="99"/>
        <w:insideV w:val="single" w:sz="4" w:space="0" w:color="6B83A7" w:themeColor="accent1" w:themeTint="99"/>
      </w:tblBorders>
    </w:tblPr>
    <w:tblStylePr w:type="firstRow">
      <w:rPr>
        <w:b/>
        <w:bCs/>
        <w:color w:val="FFFFFF" w:themeColor="background1"/>
      </w:rPr>
      <w:tblPr/>
      <w:tcPr>
        <w:tcBorders>
          <w:top w:val="single" w:sz="4" w:space="0" w:color="2C384A" w:themeColor="accent1"/>
          <w:left w:val="single" w:sz="4" w:space="0" w:color="2C384A" w:themeColor="accent1"/>
          <w:bottom w:val="single" w:sz="4" w:space="0" w:color="2C384A" w:themeColor="accent1"/>
          <w:right w:val="single" w:sz="4" w:space="0" w:color="2C384A" w:themeColor="accent1"/>
          <w:insideH w:val="nil"/>
          <w:insideV w:val="nil"/>
        </w:tcBorders>
        <w:shd w:val="clear" w:color="auto" w:fill="2C384A" w:themeFill="accent1"/>
      </w:tcPr>
    </w:tblStylePr>
    <w:tblStylePr w:type="lastRow">
      <w:rPr>
        <w:b/>
        <w:bCs/>
      </w:rPr>
      <w:tblPr/>
      <w:tcPr>
        <w:tcBorders>
          <w:top w:val="double" w:sz="4" w:space="0" w:color="2C384A" w:themeColor="accent1"/>
        </w:tcBorders>
      </w:tcPr>
    </w:tblStylePr>
    <w:tblStylePr w:type="firstCol">
      <w:rPr>
        <w:b/>
        <w:bCs/>
      </w:rPr>
    </w:tblStylePr>
    <w:tblStylePr w:type="lastCol">
      <w:rPr>
        <w:b/>
        <w:bCs/>
      </w:rPr>
    </w:tblStylePr>
    <w:tblStylePr w:type="band1Vert">
      <w:tblPr/>
      <w:tcPr>
        <w:shd w:val="clear" w:color="auto" w:fill="CDD5E1" w:themeFill="accent1" w:themeFillTint="33"/>
      </w:tcPr>
    </w:tblStylePr>
    <w:tblStylePr w:type="band1Horz">
      <w:tblPr/>
      <w:tcPr>
        <w:shd w:val="clear" w:color="auto" w:fill="CDD5E1" w:themeFill="accent1" w:themeFillTint="33"/>
      </w:tcPr>
    </w:tblStylePr>
  </w:style>
  <w:style w:type="paragraph" w:styleId="Caption">
    <w:name w:val="caption"/>
    <w:basedOn w:val="Normal"/>
    <w:next w:val="Normal"/>
    <w:uiPriority w:val="35"/>
    <w:unhideWhenUsed/>
    <w:qFormat/>
    <w:rsid w:val="00A3758B"/>
    <w:pPr>
      <w:spacing w:before="0" w:after="200"/>
    </w:pPr>
    <w:rPr>
      <w:i/>
      <w:iCs/>
      <w:color w:val="5F5F5F" w:themeColor="text2"/>
      <w:sz w:val="18"/>
      <w:szCs w:val="18"/>
    </w:rPr>
  </w:style>
  <w:style w:type="character" w:styleId="UnresolvedMention">
    <w:name w:val="Unresolved Mention"/>
    <w:basedOn w:val="DefaultParagraphFont"/>
    <w:uiPriority w:val="99"/>
    <w:semiHidden/>
    <w:unhideWhenUsed/>
    <w:rsid w:val="00DC7375"/>
    <w:rPr>
      <w:color w:val="605E5C"/>
      <w:shd w:val="clear" w:color="auto" w:fill="E1DFDD"/>
    </w:rPr>
  </w:style>
  <w:style w:type="table" w:styleId="ListTable3-Accent1">
    <w:name w:val="List Table 3 Accent 1"/>
    <w:basedOn w:val="TableNormal"/>
    <w:uiPriority w:val="48"/>
    <w:rsid w:val="0055624A"/>
    <w:pPr>
      <w:spacing w:after="0" w:line="240" w:lineRule="auto"/>
    </w:pPr>
    <w:tblPr>
      <w:tblStyleRowBandSize w:val="1"/>
      <w:tblStyleColBandSize w:val="1"/>
      <w:tblBorders>
        <w:top w:val="single" w:sz="4" w:space="0" w:color="2C384A" w:themeColor="accent1"/>
        <w:left w:val="single" w:sz="4" w:space="0" w:color="2C384A" w:themeColor="accent1"/>
        <w:bottom w:val="single" w:sz="4" w:space="0" w:color="2C384A" w:themeColor="accent1"/>
        <w:right w:val="single" w:sz="4" w:space="0" w:color="2C384A" w:themeColor="accent1"/>
      </w:tblBorders>
    </w:tblPr>
    <w:tblStylePr w:type="firstRow">
      <w:rPr>
        <w:b/>
        <w:bCs/>
        <w:color w:val="FFFFFF" w:themeColor="background1"/>
      </w:rPr>
      <w:tblPr/>
      <w:tcPr>
        <w:shd w:val="clear" w:color="auto" w:fill="2C384A" w:themeFill="accent1"/>
      </w:tcPr>
    </w:tblStylePr>
    <w:tblStylePr w:type="lastRow">
      <w:rPr>
        <w:b/>
        <w:bCs/>
      </w:rPr>
      <w:tblPr/>
      <w:tcPr>
        <w:tcBorders>
          <w:top w:val="double" w:sz="4" w:space="0" w:color="2C384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384A" w:themeColor="accent1"/>
          <w:right w:val="single" w:sz="4" w:space="0" w:color="2C384A" w:themeColor="accent1"/>
        </w:tcBorders>
      </w:tcPr>
    </w:tblStylePr>
    <w:tblStylePr w:type="band1Horz">
      <w:tblPr/>
      <w:tcPr>
        <w:tcBorders>
          <w:top w:val="single" w:sz="4" w:space="0" w:color="2C384A" w:themeColor="accent1"/>
          <w:bottom w:val="single" w:sz="4" w:space="0" w:color="2C384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384A" w:themeColor="accent1"/>
          <w:left w:val="nil"/>
        </w:tcBorders>
      </w:tcPr>
    </w:tblStylePr>
    <w:tblStylePr w:type="swCell">
      <w:tblPr/>
      <w:tcPr>
        <w:tcBorders>
          <w:top w:val="double" w:sz="4" w:space="0" w:color="2C384A" w:themeColor="accent1"/>
          <w:right w:val="nil"/>
        </w:tcBorders>
      </w:tcPr>
    </w:tblStylePr>
  </w:style>
  <w:style w:type="table" w:styleId="GridTable1Light-Accent1">
    <w:name w:val="Grid Table 1 Light Accent 1"/>
    <w:basedOn w:val="TableNormal"/>
    <w:uiPriority w:val="46"/>
    <w:rsid w:val="0072197D"/>
    <w:pPr>
      <w:spacing w:after="0" w:line="240" w:lineRule="auto"/>
    </w:pPr>
    <w:tblPr>
      <w:tblStyleRowBandSize w:val="1"/>
      <w:tblStyleColBandSize w:val="1"/>
      <w:tblBorders>
        <w:top w:val="single" w:sz="4" w:space="0" w:color="9CACC4" w:themeColor="accent1" w:themeTint="66"/>
        <w:left w:val="single" w:sz="4" w:space="0" w:color="9CACC4" w:themeColor="accent1" w:themeTint="66"/>
        <w:bottom w:val="single" w:sz="4" w:space="0" w:color="9CACC4" w:themeColor="accent1" w:themeTint="66"/>
        <w:right w:val="single" w:sz="4" w:space="0" w:color="9CACC4" w:themeColor="accent1" w:themeTint="66"/>
        <w:insideH w:val="single" w:sz="4" w:space="0" w:color="9CACC4" w:themeColor="accent1" w:themeTint="66"/>
        <w:insideV w:val="single" w:sz="4" w:space="0" w:color="9CACC4" w:themeColor="accent1" w:themeTint="66"/>
      </w:tblBorders>
    </w:tblPr>
    <w:tblStylePr w:type="firstRow">
      <w:rPr>
        <w:b/>
        <w:bCs/>
      </w:rPr>
      <w:tblPr/>
      <w:tcPr>
        <w:tcBorders>
          <w:bottom w:val="single" w:sz="12" w:space="0" w:color="6B83A7" w:themeColor="accent1" w:themeTint="99"/>
        </w:tcBorders>
      </w:tcPr>
    </w:tblStylePr>
    <w:tblStylePr w:type="lastRow">
      <w:rPr>
        <w:b/>
        <w:bCs/>
      </w:rPr>
      <w:tblPr/>
      <w:tcPr>
        <w:tcBorders>
          <w:top w:val="double" w:sz="2" w:space="0" w:color="6B83A7" w:themeColor="accent1" w:themeTint="99"/>
        </w:tcBorders>
      </w:tcPr>
    </w:tblStylePr>
    <w:tblStylePr w:type="firstCol">
      <w:rPr>
        <w:b/>
        <w:bCs/>
      </w:rPr>
    </w:tblStylePr>
    <w:tblStylePr w:type="lastCol">
      <w:rPr>
        <w:b/>
        <w:bCs/>
      </w:rPr>
    </w:tblStylePr>
  </w:style>
  <w:style w:type="paragraph" w:styleId="ListBullet">
    <w:name w:val="List Bullet"/>
    <w:basedOn w:val="Normal"/>
    <w:uiPriority w:val="99"/>
    <w:unhideWhenUsed/>
    <w:rsid w:val="000B6F96"/>
    <w:pPr>
      <w:numPr>
        <w:numId w:val="22"/>
      </w:numPr>
      <w:contextualSpacing/>
    </w:pPr>
  </w:style>
  <w:style w:type="character" w:styleId="Strong">
    <w:name w:val="Strong"/>
    <w:basedOn w:val="DefaultParagraphFont"/>
    <w:uiPriority w:val="22"/>
    <w:qFormat/>
    <w:rsid w:val="00FE2A0C"/>
    <w:rPr>
      <w:b/>
      <w:bCs/>
    </w:rPr>
  </w:style>
  <w:style w:type="character" w:customStyle="1" w:styleId="A5">
    <w:name w:val="A5"/>
    <w:uiPriority w:val="99"/>
    <w:rsid w:val="00910BDE"/>
    <w:rPr>
      <w:rFonts w:cs="Swiss 721 BT"/>
      <w:color w:val="000000"/>
      <w:sz w:val="20"/>
      <w:szCs w:val="20"/>
    </w:rPr>
  </w:style>
  <w:style w:type="paragraph" w:styleId="NormalWeb">
    <w:name w:val="Normal (Web)"/>
    <w:basedOn w:val="Normal"/>
    <w:uiPriority w:val="99"/>
    <w:semiHidden/>
    <w:unhideWhenUsed/>
    <w:rsid w:val="00C81A7B"/>
    <w:rPr>
      <w:rFonts w:ascii="Times New Roman" w:hAnsi="Times New Roman"/>
      <w:sz w:val="24"/>
      <w:szCs w:val="24"/>
    </w:rPr>
  </w:style>
  <w:style w:type="paragraph" w:customStyle="1" w:styleId="Heading1-NOTOC">
    <w:name w:val="Heading 1 - NO TOC"/>
    <w:basedOn w:val="Heading1"/>
    <w:qFormat/>
    <w:rsid w:val="00C47BA1"/>
    <w:pPr>
      <w:outlineLvl w:val="9"/>
    </w:pPr>
  </w:style>
  <w:style w:type="character" w:styleId="SubtleReference">
    <w:name w:val="Subtle Reference"/>
    <w:basedOn w:val="DefaultParagraphFont"/>
    <w:uiPriority w:val="31"/>
    <w:rsid w:val="00E1756A"/>
    <w:rPr>
      <w:smallCaps/>
      <w:color w:val="5A5A5A" w:themeColor="text1" w:themeTint="A5"/>
    </w:rPr>
  </w:style>
  <w:style w:type="character" w:styleId="Emphasis">
    <w:name w:val="Emphasis"/>
    <w:basedOn w:val="DefaultParagraphFont"/>
    <w:uiPriority w:val="20"/>
    <w:rsid w:val="006E3684"/>
    <w:rPr>
      <w:i/>
      <w:iCs/>
    </w:rPr>
  </w:style>
  <w:style w:type="paragraph" w:styleId="NoSpacing">
    <w:name w:val="No Spacing"/>
    <w:uiPriority w:val="1"/>
    <w:rsid w:val="00AC2C5F"/>
    <w:pPr>
      <w:spacing w:after="0" w:line="240" w:lineRule="auto"/>
    </w:pPr>
    <w:rPr>
      <w:rFonts w:ascii="Calibri Light" w:eastAsia="Times New Roman" w:hAnsi="Calibri Light" w:cs="Times New Roman"/>
      <w:szCs w:val="20"/>
      <w:lang w:eastAsia="en-AU"/>
    </w:rPr>
  </w:style>
  <w:style w:type="character" w:styleId="IntenseReference">
    <w:name w:val="Intense Reference"/>
    <w:basedOn w:val="DefaultParagraphFont"/>
    <w:uiPriority w:val="32"/>
    <w:rsid w:val="0015746F"/>
    <w:rPr>
      <w:b/>
      <w:bCs/>
      <w:smallCaps/>
      <w:color w:val="2C384A"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898">
      <w:bodyDiv w:val="1"/>
      <w:marLeft w:val="0"/>
      <w:marRight w:val="0"/>
      <w:marTop w:val="0"/>
      <w:marBottom w:val="0"/>
      <w:divBdr>
        <w:top w:val="none" w:sz="0" w:space="0" w:color="auto"/>
        <w:left w:val="none" w:sz="0" w:space="0" w:color="auto"/>
        <w:bottom w:val="none" w:sz="0" w:space="0" w:color="auto"/>
        <w:right w:val="none" w:sz="0" w:space="0" w:color="auto"/>
      </w:divBdr>
    </w:div>
    <w:div w:id="18513554">
      <w:bodyDiv w:val="1"/>
      <w:marLeft w:val="0"/>
      <w:marRight w:val="0"/>
      <w:marTop w:val="0"/>
      <w:marBottom w:val="0"/>
      <w:divBdr>
        <w:top w:val="none" w:sz="0" w:space="0" w:color="auto"/>
        <w:left w:val="none" w:sz="0" w:space="0" w:color="auto"/>
        <w:bottom w:val="none" w:sz="0" w:space="0" w:color="auto"/>
        <w:right w:val="none" w:sz="0" w:space="0" w:color="auto"/>
      </w:divBdr>
    </w:div>
    <w:div w:id="18699680">
      <w:bodyDiv w:val="1"/>
      <w:marLeft w:val="0"/>
      <w:marRight w:val="0"/>
      <w:marTop w:val="0"/>
      <w:marBottom w:val="0"/>
      <w:divBdr>
        <w:top w:val="none" w:sz="0" w:space="0" w:color="auto"/>
        <w:left w:val="none" w:sz="0" w:space="0" w:color="auto"/>
        <w:bottom w:val="none" w:sz="0" w:space="0" w:color="auto"/>
        <w:right w:val="none" w:sz="0" w:space="0" w:color="auto"/>
      </w:divBdr>
    </w:div>
    <w:div w:id="50424038">
      <w:bodyDiv w:val="1"/>
      <w:marLeft w:val="0"/>
      <w:marRight w:val="0"/>
      <w:marTop w:val="0"/>
      <w:marBottom w:val="0"/>
      <w:divBdr>
        <w:top w:val="none" w:sz="0" w:space="0" w:color="auto"/>
        <w:left w:val="none" w:sz="0" w:space="0" w:color="auto"/>
        <w:bottom w:val="none" w:sz="0" w:space="0" w:color="auto"/>
        <w:right w:val="none" w:sz="0" w:space="0" w:color="auto"/>
      </w:divBdr>
    </w:div>
    <w:div w:id="88236285">
      <w:bodyDiv w:val="1"/>
      <w:marLeft w:val="0"/>
      <w:marRight w:val="0"/>
      <w:marTop w:val="0"/>
      <w:marBottom w:val="0"/>
      <w:divBdr>
        <w:top w:val="none" w:sz="0" w:space="0" w:color="auto"/>
        <w:left w:val="none" w:sz="0" w:space="0" w:color="auto"/>
        <w:bottom w:val="none" w:sz="0" w:space="0" w:color="auto"/>
        <w:right w:val="none" w:sz="0" w:space="0" w:color="auto"/>
      </w:divBdr>
    </w:div>
    <w:div w:id="127674430">
      <w:bodyDiv w:val="1"/>
      <w:marLeft w:val="0"/>
      <w:marRight w:val="0"/>
      <w:marTop w:val="0"/>
      <w:marBottom w:val="0"/>
      <w:divBdr>
        <w:top w:val="none" w:sz="0" w:space="0" w:color="auto"/>
        <w:left w:val="none" w:sz="0" w:space="0" w:color="auto"/>
        <w:bottom w:val="none" w:sz="0" w:space="0" w:color="auto"/>
        <w:right w:val="none" w:sz="0" w:space="0" w:color="auto"/>
      </w:divBdr>
    </w:div>
    <w:div w:id="129178955">
      <w:bodyDiv w:val="1"/>
      <w:marLeft w:val="0"/>
      <w:marRight w:val="0"/>
      <w:marTop w:val="0"/>
      <w:marBottom w:val="0"/>
      <w:divBdr>
        <w:top w:val="none" w:sz="0" w:space="0" w:color="auto"/>
        <w:left w:val="none" w:sz="0" w:space="0" w:color="auto"/>
        <w:bottom w:val="none" w:sz="0" w:space="0" w:color="auto"/>
        <w:right w:val="none" w:sz="0" w:space="0" w:color="auto"/>
      </w:divBdr>
    </w:div>
    <w:div w:id="129708970">
      <w:bodyDiv w:val="1"/>
      <w:marLeft w:val="0"/>
      <w:marRight w:val="0"/>
      <w:marTop w:val="0"/>
      <w:marBottom w:val="0"/>
      <w:divBdr>
        <w:top w:val="none" w:sz="0" w:space="0" w:color="auto"/>
        <w:left w:val="none" w:sz="0" w:space="0" w:color="auto"/>
        <w:bottom w:val="none" w:sz="0" w:space="0" w:color="auto"/>
        <w:right w:val="none" w:sz="0" w:space="0" w:color="auto"/>
      </w:divBdr>
    </w:div>
    <w:div w:id="138307174">
      <w:bodyDiv w:val="1"/>
      <w:marLeft w:val="0"/>
      <w:marRight w:val="0"/>
      <w:marTop w:val="0"/>
      <w:marBottom w:val="0"/>
      <w:divBdr>
        <w:top w:val="none" w:sz="0" w:space="0" w:color="auto"/>
        <w:left w:val="none" w:sz="0" w:space="0" w:color="auto"/>
        <w:bottom w:val="none" w:sz="0" w:space="0" w:color="auto"/>
        <w:right w:val="none" w:sz="0" w:space="0" w:color="auto"/>
      </w:divBdr>
    </w:div>
    <w:div w:id="157160194">
      <w:bodyDiv w:val="1"/>
      <w:marLeft w:val="0"/>
      <w:marRight w:val="0"/>
      <w:marTop w:val="0"/>
      <w:marBottom w:val="0"/>
      <w:divBdr>
        <w:top w:val="none" w:sz="0" w:space="0" w:color="auto"/>
        <w:left w:val="none" w:sz="0" w:space="0" w:color="auto"/>
        <w:bottom w:val="none" w:sz="0" w:space="0" w:color="auto"/>
        <w:right w:val="none" w:sz="0" w:space="0" w:color="auto"/>
      </w:divBdr>
    </w:div>
    <w:div w:id="170411119">
      <w:bodyDiv w:val="1"/>
      <w:marLeft w:val="0"/>
      <w:marRight w:val="0"/>
      <w:marTop w:val="0"/>
      <w:marBottom w:val="0"/>
      <w:divBdr>
        <w:top w:val="none" w:sz="0" w:space="0" w:color="auto"/>
        <w:left w:val="none" w:sz="0" w:space="0" w:color="auto"/>
        <w:bottom w:val="none" w:sz="0" w:space="0" w:color="auto"/>
        <w:right w:val="none" w:sz="0" w:space="0" w:color="auto"/>
      </w:divBdr>
    </w:div>
    <w:div w:id="213125636">
      <w:bodyDiv w:val="1"/>
      <w:marLeft w:val="0"/>
      <w:marRight w:val="0"/>
      <w:marTop w:val="0"/>
      <w:marBottom w:val="0"/>
      <w:divBdr>
        <w:top w:val="none" w:sz="0" w:space="0" w:color="auto"/>
        <w:left w:val="none" w:sz="0" w:space="0" w:color="auto"/>
        <w:bottom w:val="none" w:sz="0" w:space="0" w:color="auto"/>
        <w:right w:val="none" w:sz="0" w:space="0" w:color="auto"/>
      </w:divBdr>
    </w:div>
    <w:div w:id="218709075">
      <w:bodyDiv w:val="1"/>
      <w:marLeft w:val="0"/>
      <w:marRight w:val="0"/>
      <w:marTop w:val="0"/>
      <w:marBottom w:val="0"/>
      <w:divBdr>
        <w:top w:val="none" w:sz="0" w:space="0" w:color="auto"/>
        <w:left w:val="none" w:sz="0" w:space="0" w:color="auto"/>
        <w:bottom w:val="none" w:sz="0" w:space="0" w:color="auto"/>
        <w:right w:val="none" w:sz="0" w:space="0" w:color="auto"/>
      </w:divBdr>
    </w:div>
    <w:div w:id="218787176">
      <w:bodyDiv w:val="1"/>
      <w:marLeft w:val="0"/>
      <w:marRight w:val="0"/>
      <w:marTop w:val="0"/>
      <w:marBottom w:val="0"/>
      <w:divBdr>
        <w:top w:val="none" w:sz="0" w:space="0" w:color="auto"/>
        <w:left w:val="none" w:sz="0" w:space="0" w:color="auto"/>
        <w:bottom w:val="none" w:sz="0" w:space="0" w:color="auto"/>
        <w:right w:val="none" w:sz="0" w:space="0" w:color="auto"/>
      </w:divBdr>
    </w:div>
    <w:div w:id="234780588">
      <w:bodyDiv w:val="1"/>
      <w:marLeft w:val="0"/>
      <w:marRight w:val="0"/>
      <w:marTop w:val="0"/>
      <w:marBottom w:val="0"/>
      <w:divBdr>
        <w:top w:val="none" w:sz="0" w:space="0" w:color="auto"/>
        <w:left w:val="none" w:sz="0" w:space="0" w:color="auto"/>
        <w:bottom w:val="none" w:sz="0" w:space="0" w:color="auto"/>
        <w:right w:val="none" w:sz="0" w:space="0" w:color="auto"/>
      </w:divBdr>
    </w:div>
    <w:div w:id="235936565">
      <w:bodyDiv w:val="1"/>
      <w:marLeft w:val="0"/>
      <w:marRight w:val="0"/>
      <w:marTop w:val="0"/>
      <w:marBottom w:val="0"/>
      <w:divBdr>
        <w:top w:val="none" w:sz="0" w:space="0" w:color="auto"/>
        <w:left w:val="none" w:sz="0" w:space="0" w:color="auto"/>
        <w:bottom w:val="none" w:sz="0" w:space="0" w:color="auto"/>
        <w:right w:val="none" w:sz="0" w:space="0" w:color="auto"/>
      </w:divBdr>
    </w:div>
    <w:div w:id="290329156">
      <w:bodyDiv w:val="1"/>
      <w:marLeft w:val="0"/>
      <w:marRight w:val="0"/>
      <w:marTop w:val="0"/>
      <w:marBottom w:val="0"/>
      <w:divBdr>
        <w:top w:val="none" w:sz="0" w:space="0" w:color="auto"/>
        <w:left w:val="none" w:sz="0" w:space="0" w:color="auto"/>
        <w:bottom w:val="none" w:sz="0" w:space="0" w:color="auto"/>
        <w:right w:val="none" w:sz="0" w:space="0" w:color="auto"/>
      </w:divBdr>
    </w:div>
    <w:div w:id="295839158">
      <w:bodyDiv w:val="1"/>
      <w:marLeft w:val="0"/>
      <w:marRight w:val="0"/>
      <w:marTop w:val="0"/>
      <w:marBottom w:val="0"/>
      <w:divBdr>
        <w:top w:val="none" w:sz="0" w:space="0" w:color="auto"/>
        <w:left w:val="none" w:sz="0" w:space="0" w:color="auto"/>
        <w:bottom w:val="none" w:sz="0" w:space="0" w:color="auto"/>
        <w:right w:val="none" w:sz="0" w:space="0" w:color="auto"/>
      </w:divBdr>
    </w:div>
    <w:div w:id="308444715">
      <w:bodyDiv w:val="1"/>
      <w:marLeft w:val="0"/>
      <w:marRight w:val="0"/>
      <w:marTop w:val="0"/>
      <w:marBottom w:val="0"/>
      <w:divBdr>
        <w:top w:val="none" w:sz="0" w:space="0" w:color="auto"/>
        <w:left w:val="none" w:sz="0" w:space="0" w:color="auto"/>
        <w:bottom w:val="none" w:sz="0" w:space="0" w:color="auto"/>
        <w:right w:val="none" w:sz="0" w:space="0" w:color="auto"/>
      </w:divBdr>
    </w:div>
    <w:div w:id="327250493">
      <w:bodyDiv w:val="1"/>
      <w:marLeft w:val="0"/>
      <w:marRight w:val="0"/>
      <w:marTop w:val="0"/>
      <w:marBottom w:val="0"/>
      <w:divBdr>
        <w:top w:val="none" w:sz="0" w:space="0" w:color="auto"/>
        <w:left w:val="none" w:sz="0" w:space="0" w:color="auto"/>
        <w:bottom w:val="none" w:sz="0" w:space="0" w:color="auto"/>
        <w:right w:val="none" w:sz="0" w:space="0" w:color="auto"/>
      </w:divBdr>
    </w:div>
    <w:div w:id="394471761">
      <w:bodyDiv w:val="1"/>
      <w:marLeft w:val="0"/>
      <w:marRight w:val="0"/>
      <w:marTop w:val="0"/>
      <w:marBottom w:val="0"/>
      <w:divBdr>
        <w:top w:val="none" w:sz="0" w:space="0" w:color="auto"/>
        <w:left w:val="none" w:sz="0" w:space="0" w:color="auto"/>
        <w:bottom w:val="none" w:sz="0" w:space="0" w:color="auto"/>
        <w:right w:val="none" w:sz="0" w:space="0" w:color="auto"/>
      </w:divBdr>
    </w:div>
    <w:div w:id="431633619">
      <w:bodyDiv w:val="1"/>
      <w:marLeft w:val="0"/>
      <w:marRight w:val="0"/>
      <w:marTop w:val="0"/>
      <w:marBottom w:val="0"/>
      <w:divBdr>
        <w:top w:val="none" w:sz="0" w:space="0" w:color="auto"/>
        <w:left w:val="none" w:sz="0" w:space="0" w:color="auto"/>
        <w:bottom w:val="none" w:sz="0" w:space="0" w:color="auto"/>
        <w:right w:val="none" w:sz="0" w:space="0" w:color="auto"/>
      </w:divBdr>
      <w:divsChild>
        <w:div w:id="1799184830">
          <w:marLeft w:val="0"/>
          <w:marRight w:val="0"/>
          <w:marTop w:val="0"/>
          <w:marBottom w:val="0"/>
          <w:divBdr>
            <w:top w:val="none" w:sz="0" w:space="0" w:color="auto"/>
            <w:left w:val="none" w:sz="0" w:space="0" w:color="auto"/>
            <w:bottom w:val="none" w:sz="0" w:space="0" w:color="auto"/>
            <w:right w:val="none" w:sz="0" w:space="0" w:color="auto"/>
          </w:divBdr>
        </w:div>
      </w:divsChild>
    </w:div>
    <w:div w:id="449474367">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81585908">
      <w:bodyDiv w:val="1"/>
      <w:marLeft w:val="0"/>
      <w:marRight w:val="0"/>
      <w:marTop w:val="0"/>
      <w:marBottom w:val="0"/>
      <w:divBdr>
        <w:top w:val="none" w:sz="0" w:space="0" w:color="auto"/>
        <w:left w:val="none" w:sz="0" w:space="0" w:color="auto"/>
        <w:bottom w:val="none" w:sz="0" w:space="0" w:color="auto"/>
        <w:right w:val="none" w:sz="0" w:space="0" w:color="auto"/>
      </w:divBdr>
    </w:div>
    <w:div w:id="498352385">
      <w:bodyDiv w:val="1"/>
      <w:marLeft w:val="0"/>
      <w:marRight w:val="0"/>
      <w:marTop w:val="0"/>
      <w:marBottom w:val="0"/>
      <w:divBdr>
        <w:top w:val="none" w:sz="0" w:space="0" w:color="auto"/>
        <w:left w:val="none" w:sz="0" w:space="0" w:color="auto"/>
        <w:bottom w:val="none" w:sz="0" w:space="0" w:color="auto"/>
        <w:right w:val="none" w:sz="0" w:space="0" w:color="auto"/>
      </w:divBdr>
    </w:div>
    <w:div w:id="503328164">
      <w:bodyDiv w:val="1"/>
      <w:marLeft w:val="0"/>
      <w:marRight w:val="0"/>
      <w:marTop w:val="0"/>
      <w:marBottom w:val="0"/>
      <w:divBdr>
        <w:top w:val="none" w:sz="0" w:space="0" w:color="auto"/>
        <w:left w:val="none" w:sz="0" w:space="0" w:color="auto"/>
        <w:bottom w:val="none" w:sz="0" w:space="0" w:color="auto"/>
        <w:right w:val="none" w:sz="0" w:space="0" w:color="auto"/>
      </w:divBdr>
    </w:div>
    <w:div w:id="505291162">
      <w:bodyDiv w:val="1"/>
      <w:marLeft w:val="0"/>
      <w:marRight w:val="0"/>
      <w:marTop w:val="0"/>
      <w:marBottom w:val="0"/>
      <w:divBdr>
        <w:top w:val="none" w:sz="0" w:space="0" w:color="auto"/>
        <w:left w:val="none" w:sz="0" w:space="0" w:color="auto"/>
        <w:bottom w:val="none" w:sz="0" w:space="0" w:color="auto"/>
        <w:right w:val="none" w:sz="0" w:space="0" w:color="auto"/>
      </w:divBdr>
    </w:div>
    <w:div w:id="536241192">
      <w:bodyDiv w:val="1"/>
      <w:marLeft w:val="0"/>
      <w:marRight w:val="0"/>
      <w:marTop w:val="0"/>
      <w:marBottom w:val="0"/>
      <w:divBdr>
        <w:top w:val="none" w:sz="0" w:space="0" w:color="auto"/>
        <w:left w:val="none" w:sz="0" w:space="0" w:color="auto"/>
        <w:bottom w:val="none" w:sz="0" w:space="0" w:color="auto"/>
        <w:right w:val="none" w:sz="0" w:space="0" w:color="auto"/>
      </w:divBdr>
    </w:div>
    <w:div w:id="588388146">
      <w:bodyDiv w:val="1"/>
      <w:marLeft w:val="0"/>
      <w:marRight w:val="0"/>
      <w:marTop w:val="0"/>
      <w:marBottom w:val="0"/>
      <w:divBdr>
        <w:top w:val="none" w:sz="0" w:space="0" w:color="auto"/>
        <w:left w:val="none" w:sz="0" w:space="0" w:color="auto"/>
        <w:bottom w:val="none" w:sz="0" w:space="0" w:color="auto"/>
        <w:right w:val="none" w:sz="0" w:space="0" w:color="auto"/>
      </w:divBdr>
    </w:div>
    <w:div w:id="610745313">
      <w:bodyDiv w:val="1"/>
      <w:marLeft w:val="0"/>
      <w:marRight w:val="0"/>
      <w:marTop w:val="0"/>
      <w:marBottom w:val="0"/>
      <w:divBdr>
        <w:top w:val="none" w:sz="0" w:space="0" w:color="auto"/>
        <w:left w:val="none" w:sz="0" w:space="0" w:color="auto"/>
        <w:bottom w:val="none" w:sz="0" w:space="0" w:color="auto"/>
        <w:right w:val="none" w:sz="0" w:space="0" w:color="auto"/>
      </w:divBdr>
    </w:div>
    <w:div w:id="632448330">
      <w:bodyDiv w:val="1"/>
      <w:marLeft w:val="0"/>
      <w:marRight w:val="0"/>
      <w:marTop w:val="0"/>
      <w:marBottom w:val="0"/>
      <w:divBdr>
        <w:top w:val="none" w:sz="0" w:space="0" w:color="auto"/>
        <w:left w:val="none" w:sz="0" w:space="0" w:color="auto"/>
        <w:bottom w:val="none" w:sz="0" w:space="0" w:color="auto"/>
        <w:right w:val="none" w:sz="0" w:space="0" w:color="auto"/>
      </w:divBdr>
    </w:div>
    <w:div w:id="645940144">
      <w:bodyDiv w:val="1"/>
      <w:marLeft w:val="0"/>
      <w:marRight w:val="0"/>
      <w:marTop w:val="0"/>
      <w:marBottom w:val="0"/>
      <w:divBdr>
        <w:top w:val="none" w:sz="0" w:space="0" w:color="auto"/>
        <w:left w:val="none" w:sz="0" w:space="0" w:color="auto"/>
        <w:bottom w:val="none" w:sz="0" w:space="0" w:color="auto"/>
        <w:right w:val="none" w:sz="0" w:space="0" w:color="auto"/>
      </w:divBdr>
    </w:div>
    <w:div w:id="647129859">
      <w:bodyDiv w:val="1"/>
      <w:marLeft w:val="0"/>
      <w:marRight w:val="0"/>
      <w:marTop w:val="0"/>
      <w:marBottom w:val="0"/>
      <w:divBdr>
        <w:top w:val="none" w:sz="0" w:space="0" w:color="auto"/>
        <w:left w:val="none" w:sz="0" w:space="0" w:color="auto"/>
        <w:bottom w:val="none" w:sz="0" w:space="0" w:color="auto"/>
        <w:right w:val="none" w:sz="0" w:space="0" w:color="auto"/>
      </w:divBdr>
    </w:div>
    <w:div w:id="654264170">
      <w:bodyDiv w:val="1"/>
      <w:marLeft w:val="0"/>
      <w:marRight w:val="0"/>
      <w:marTop w:val="0"/>
      <w:marBottom w:val="0"/>
      <w:divBdr>
        <w:top w:val="none" w:sz="0" w:space="0" w:color="auto"/>
        <w:left w:val="none" w:sz="0" w:space="0" w:color="auto"/>
        <w:bottom w:val="none" w:sz="0" w:space="0" w:color="auto"/>
        <w:right w:val="none" w:sz="0" w:space="0" w:color="auto"/>
      </w:divBdr>
    </w:div>
    <w:div w:id="679157555">
      <w:bodyDiv w:val="1"/>
      <w:marLeft w:val="0"/>
      <w:marRight w:val="0"/>
      <w:marTop w:val="0"/>
      <w:marBottom w:val="0"/>
      <w:divBdr>
        <w:top w:val="none" w:sz="0" w:space="0" w:color="auto"/>
        <w:left w:val="none" w:sz="0" w:space="0" w:color="auto"/>
        <w:bottom w:val="none" w:sz="0" w:space="0" w:color="auto"/>
        <w:right w:val="none" w:sz="0" w:space="0" w:color="auto"/>
      </w:divBdr>
    </w:div>
    <w:div w:id="747654953">
      <w:bodyDiv w:val="1"/>
      <w:marLeft w:val="0"/>
      <w:marRight w:val="0"/>
      <w:marTop w:val="0"/>
      <w:marBottom w:val="0"/>
      <w:divBdr>
        <w:top w:val="none" w:sz="0" w:space="0" w:color="auto"/>
        <w:left w:val="none" w:sz="0" w:space="0" w:color="auto"/>
        <w:bottom w:val="none" w:sz="0" w:space="0" w:color="auto"/>
        <w:right w:val="none" w:sz="0" w:space="0" w:color="auto"/>
      </w:divBdr>
    </w:div>
    <w:div w:id="787743429">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65405984">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907308451">
      <w:bodyDiv w:val="1"/>
      <w:marLeft w:val="0"/>
      <w:marRight w:val="0"/>
      <w:marTop w:val="0"/>
      <w:marBottom w:val="0"/>
      <w:divBdr>
        <w:top w:val="none" w:sz="0" w:space="0" w:color="auto"/>
        <w:left w:val="none" w:sz="0" w:space="0" w:color="auto"/>
        <w:bottom w:val="none" w:sz="0" w:space="0" w:color="auto"/>
        <w:right w:val="none" w:sz="0" w:space="0" w:color="auto"/>
      </w:divBdr>
    </w:div>
    <w:div w:id="972835526">
      <w:bodyDiv w:val="1"/>
      <w:marLeft w:val="0"/>
      <w:marRight w:val="0"/>
      <w:marTop w:val="0"/>
      <w:marBottom w:val="0"/>
      <w:divBdr>
        <w:top w:val="none" w:sz="0" w:space="0" w:color="auto"/>
        <w:left w:val="none" w:sz="0" w:space="0" w:color="auto"/>
        <w:bottom w:val="none" w:sz="0" w:space="0" w:color="auto"/>
        <w:right w:val="none" w:sz="0" w:space="0" w:color="auto"/>
      </w:divBdr>
    </w:div>
    <w:div w:id="990868467">
      <w:bodyDiv w:val="1"/>
      <w:marLeft w:val="0"/>
      <w:marRight w:val="0"/>
      <w:marTop w:val="0"/>
      <w:marBottom w:val="0"/>
      <w:divBdr>
        <w:top w:val="none" w:sz="0" w:space="0" w:color="auto"/>
        <w:left w:val="none" w:sz="0" w:space="0" w:color="auto"/>
        <w:bottom w:val="none" w:sz="0" w:space="0" w:color="auto"/>
        <w:right w:val="none" w:sz="0" w:space="0" w:color="auto"/>
      </w:divBdr>
    </w:div>
    <w:div w:id="1036271336">
      <w:bodyDiv w:val="1"/>
      <w:marLeft w:val="0"/>
      <w:marRight w:val="0"/>
      <w:marTop w:val="0"/>
      <w:marBottom w:val="0"/>
      <w:divBdr>
        <w:top w:val="none" w:sz="0" w:space="0" w:color="auto"/>
        <w:left w:val="none" w:sz="0" w:space="0" w:color="auto"/>
        <w:bottom w:val="none" w:sz="0" w:space="0" w:color="auto"/>
        <w:right w:val="none" w:sz="0" w:space="0" w:color="auto"/>
      </w:divBdr>
    </w:div>
    <w:div w:id="1051535092">
      <w:bodyDiv w:val="1"/>
      <w:marLeft w:val="0"/>
      <w:marRight w:val="0"/>
      <w:marTop w:val="0"/>
      <w:marBottom w:val="0"/>
      <w:divBdr>
        <w:top w:val="none" w:sz="0" w:space="0" w:color="auto"/>
        <w:left w:val="none" w:sz="0" w:space="0" w:color="auto"/>
        <w:bottom w:val="none" w:sz="0" w:space="0" w:color="auto"/>
        <w:right w:val="none" w:sz="0" w:space="0" w:color="auto"/>
      </w:divBdr>
    </w:div>
    <w:div w:id="1100950367">
      <w:bodyDiv w:val="1"/>
      <w:marLeft w:val="0"/>
      <w:marRight w:val="0"/>
      <w:marTop w:val="0"/>
      <w:marBottom w:val="0"/>
      <w:divBdr>
        <w:top w:val="none" w:sz="0" w:space="0" w:color="auto"/>
        <w:left w:val="none" w:sz="0" w:space="0" w:color="auto"/>
        <w:bottom w:val="none" w:sz="0" w:space="0" w:color="auto"/>
        <w:right w:val="none" w:sz="0" w:space="0" w:color="auto"/>
      </w:divBdr>
    </w:div>
    <w:div w:id="1111901698">
      <w:bodyDiv w:val="1"/>
      <w:marLeft w:val="0"/>
      <w:marRight w:val="0"/>
      <w:marTop w:val="0"/>
      <w:marBottom w:val="0"/>
      <w:divBdr>
        <w:top w:val="none" w:sz="0" w:space="0" w:color="auto"/>
        <w:left w:val="none" w:sz="0" w:space="0" w:color="auto"/>
        <w:bottom w:val="none" w:sz="0" w:space="0" w:color="auto"/>
        <w:right w:val="none" w:sz="0" w:space="0" w:color="auto"/>
      </w:divBdr>
    </w:div>
    <w:div w:id="1131895794">
      <w:bodyDiv w:val="1"/>
      <w:marLeft w:val="0"/>
      <w:marRight w:val="0"/>
      <w:marTop w:val="0"/>
      <w:marBottom w:val="0"/>
      <w:divBdr>
        <w:top w:val="none" w:sz="0" w:space="0" w:color="auto"/>
        <w:left w:val="none" w:sz="0" w:space="0" w:color="auto"/>
        <w:bottom w:val="none" w:sz="0" w:space="0" w:color="auto"/>
        <w:right w:val="none" w:sz="0" w:space="0" w:color="auto"/>
      </w:divBdr>
    </w:div>
    <w:div w:id="1134517418">
      <w:bodyDiv w:val="1"/>
      <w:marLeft w:val="0"/>
      <w:marRight w:val="0"/>
      <w:marTop w:val="0"/>
      <w:marBottom w:val="0"/>
      <w:divBdr>
        <w:top w:val="none" w:sz="0" w:space="0" w:color="auto"/>
        <w:left w:val="none" w:sz="0" w:space="0" w:color="auto"/>
        <w:bottom w:val="none" w:sz="0" w:space="0" w:color="auto"/>
        <w:right w:val="none" w:sz="0" w:space="0" w:color="auto"/>
      </w:divBdr>
    </w:div>
    <w:div w:id="1139103966">
      <w:bodyDiv w:val="1"/>
      <w:marLeft w:val="0"/>
      <w:marRight w:val="0"/>
      <w:marTop w:val="0"/>
      <w:marBottom w:val="0"/>
      <w:divBdr>
        <w:top w:val="none" w:sz="0" w:space="0" w:color="auto"/>
        <w:left w:val="none" w:sz="0" w:space="0" w:color="auto"/>
        <w:bottom w:val="none" w:sz="0" w:space="0" w:color="auto"/>
        <w:right w:val="none" w:sz="0" w:space="0" w:color="auto"/>
      </w:divBdr>
    </w:div>
    <w:div w:id="1193574240">
      <w:bodyDiv w:val="1"/>
      <w:marLeft w:val="0"/>
      <w:marRight w:val="0"/>
      <w:marTop w:val="0"/>
      <w:marBottom w:val="0"/>
      <w:divBdr>
        <w:top w:val="none" w:sz="0" w:space="0" w:color="auto"/>
        <w:left w:val="none" w:sz="0" w:space="0" w:color="auto"/>
        <w:bottom w:val="none" w:sz="0" w:space="0" w:color="auto"/>
        <w:right w:val="none" w:sz="0" w:space="0" w:color="auto"/>
      </w:divBdr>
    </w:div>
    <w:div w:id="1194882286">
      <w:bodyDiv w:val="1"/>
      <w:marLeft w:val="0"/>
      <w:marRight w:val="0"/>
      <w:marTop w:val="0"/>
      <w:marBottom w:val="0"/>
      <w:divBdr>
        <w:top w:val="none" w:sz="0" w:space="0" w:color="auto"/>
        <w:left w:val="none" w:sz="0" w:space="0" w:color="auto"/>
        <w:bottom w:val="none" w:sz="0" w:space="0" w:color="auto"/>
        <w:right w:val="none" w:sz="0" w:space="0" w:color="auto"/>
      </w:divBdr>
    </w:div>
    <w:div w:id="1304314449">
      <w:bodyDiv w:val="1"/>
      <w:marLeft w:val="0"/>
      <w:marRight w:val="0"/>
      <w:marTop w:val="0"/>
      <w:marBottom w:val="0"/>
      <w:divBdr>
        <w:top w:val="none" w:sz="0" w:space="0" w:color="auto"/>
        <w:left w:val="none" w:sz="0" w:space="0" w:color="auto"/>
        <w:bottom w:val="none" w:sz="0" w:space="0" w:color="auto"/>
        <w:right w:val="none" w:sz="0" w:space="0" w:color="auto"/>
      </w:divBdr>
    </w:div>
    <w:div w:id="1372614263">
      <w:bodyDiv w:val="1"/>
      <w:marLeft w:val="0"/>
      <w:marRight w:val="0"/>
      <w:marTop w:val="0"/>
      <w:marBottom w:val="0"/>
      <w:divBdr>
        <w:top w:val="none" w:sz="0" w:space="0" w:color="auto"/>
        <w:left w:val="none" w:sz="0" w:space="0" w:color="auto"/>
        <w:bottom w:val="none" w:sz="0" w:space="0" w:color="auto"/>
        <w:right w:val="none" w:sz="0" w:space="0" w:color="auto"/>
      </w:divBdr>
    </w:div>
    <w:div w:id="1382634674">
      <w:bodyDiv w:val="1"/>
      <w:marLeft w:val="0"/>
      <w:marRight w:val="0"/>
      <w:marTop w:val="0"/>
      <w:marBottom w:val="0"/>
      <w:divBdr>
        <w:top w:val="none" w:sz="0" w:space="0" w:color="auto"/>
        <w:left w:val="none" w:sz="0" w:space="0" w:color="auto"/>
        <w:bottom w:val="none" w:sz="0" w:space="0" w:color="auto"/>
        <w:right w:val="none" w:sz="0" w:space="0" w:color="auto"/>
      </w:divBdr>
    </w:div>
    <w:div w:id="1392071480">
      <w:bodyDiv w:val="1"/>
      <w:marLeft w:val="0"/>
      <w:marRight w:val="0"/>
      <w:marTop w:val="0"/>
      <w:marBottom w:val="0"/>
      <w:divBdr>
        <w:top w:val="none" w:sz="0" w:space="0" w:color="auto"/>
        <w:left w:val="none" w:sz="0" w:space="0" w:color="auto"/>
        <w:bottom w:val="none" w:sz="0" w:space="0" w:color="auto"/>
        <w:right w:val="none" w:sz="0" w:space="0" w:color="auto"/>
      </w:divBdr>
    </w:div>
    <w:div w:id="1419789993">
      <w:bodyDiv w:val="1"/>
      <w:marLeft w:val="0"/>
      <w:marRight w:val="0"/>
      <w:marTop w:val="0"/>
      <w:marBottom w:val="0"/>
      <w:divBdr>
        <w:top w:val="none" w:sz="0" w:space="0" w:color="auto"/>
        <w:left w:val="none" w:sz="0" w:space="0" w:color="auto"/>
        <w:bottom w:val="none" w:sz="0" w:space="0" w:color="auto"/>
        <w:right w:val="none" w:sz="0" w:space="0" w:color="auto"/>
      </w:divBdr>
    </w:div>
    <w:div w:id="1421026415">
      <w:bodyDiv w:val="1"/>
      <w:marLeft w:val="0"/>
      <w:marRight w:val="0"/>
      <w:marTop w:val="0"/>
      <w:marBottom w:val="0"/>
      <w:divBdr>
        <w:top w:val="none" w:sz="0" w:space="0" w:color="auto"/>
        <w:left w:val="none" w:sz="0" w:space="0" w:color="auto"/>
        <w:bottom w:val="none" w:sz="0" w:space="0" w:color="auto"/>
        <w:right w:val="none" w:sz="0" w:space="0" w:color="auto"/>
      </w:divBdr>
    </w:div>
    <w:div w:id="1432970948">
      <w:bodyDiv w:val="1"/>
      <w:marLeft w:val="0"/>
      <w:marRight w:val="0"/>
      <w:marTop w:val="0"/>
      <w:marBottom w:val="0"/>
      <w:divBdr>
        <w:top w:val="none" w:sz="0" w:space="0" w:color="auto"/>
        <w:left w:val="none" w:sz="0" w:space="0" w:color="auto"/>
        <w:bottom w:val="none" w:sz="0" w:space="0" w:color="auto"/>
        <w:right w:val="none" w:sz="0" w:space="0" w:color="auto"/>
      </w:divBdr>
    </w:div>
    <w:div w:id="1436169161">
      <w:bodyDiv w:val="1"/>
      <w:marLeft w:val="0"/>
      <w:marRight w:val="0"/>
      <w:marTop w:val="0"/>
      <w:marBottom w:val="0"/>
      <w:divBdr>
        <w:top w:val="none" w:sz="0" w:space="0" w:color="auto"/>
        <w:left w:val="none" w:sz="0" w:space="0" w:color="auto"/>
        <w:bottom w:val="none" w:sz="0" w:space="0" w:color="auto"/>
        <w:right w:val="none" w:sz="0" w:space="0" w:color="auto"/>
      </w:divBdr>
    </w:div>
    <w:div w:id="1471825793">
      <w:bodyDiv w:val="1"/>
      <w:marLeft w:val="0"/>
      <w:marRight w:val="0"/>
      <w:marTop w:val="0"/>
      <w:marBottom w:val="0"/>
      <w:divBdr>
        <w:top w:val="none" w:sz="0" w:space="0" w:color="auto"/>
        <w:left w:val="none" w:sz="0" w:space="0" w:color="auto"/>
        <w:bottom w:val="none" w:sz="0" w:space="0" w:color="auto"/>
        <w:right w:val="none" w:sz="0" w:space="0" w:color="auto"/>
      </w:divBdr>
    </w:div>
    <w:div w:id="1534616457">
      <w:bodyDiv w:val="1"/>
      <w:marLeft w:val="0"/>
      <w:marRight w:val="0"/>
      <w:marTop w:val="0"/>
      <w:marBottom w:val="0"/>
      <w:divBdr>
        <w:top w:val="none" w:sz="0" w:space="0" w:color="auto"/>
        <w:left w:val="none" w:sz="0" w:space="0" w:color="auto"/>
        <w:bottom w:val="none" w:sz="0" w:space="0" w:color="auto"/>
        <w:right w:val="none" w:sz="0" w:space="0" w:color="auto"/>
      </w:divBdr>
    </w:div>
    <w:div w:id="1551651111">
      <w:bodyDiv w:val="1"/>
      <w:marLeft w:val="0"/>
      <w:marRight w:val="0"/>
      <w:marTop w:val="0"/>
      <w:marBottom w:val="0"/>
      <w:divBdr>
        <w:top w:val="none" w:sz="0" w:space="0" w:color="auto"/>
        <w:left w:val="none" w:sz="0" w:space="0" w:color="auto"/>
        <w:bottom w:val="none" w:sz="0" w:space="0" w:color="auto"/>
        <w:right w:val="none" w:sz="0" w:space="0" w:color="auto"/>
      </w:divBdr>
    </w:div>
    <w:div w:id="1580091093">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627394052">
      <w:bodyDiv w:val="1"/>
      <w:marLeft w:val="0"/>
      <w:marRight w:val="0"/>
      <w:marTop w:val="0"/>
      <w:marBottom w:val="0"/>
      <w:divBdr>
        <w:top w:val="none" w:sz="0" w:space="0" w:color="auto"/>
        <w:left w:val="none" w:sz="0" w:space="0" w:color="auto"/>
        <w:bottom w:val="none" w:sz="0" w:space="0" w:color="auto"/>
        <w:right w:val="none" w:sz="0" w:space="0" w:color="auto"/>
      </w:divBdr>
    </w:div>
    <w:div w:id="1638220840">
      <w:bodyDiv w:val="1"/>
      <w:marLeft w:val="0"/>
      <w:marRight w:val="0"/>
      <w:marTop w:val="0"/>
      <w:marBottom w:val="0"/>
      <w:divBdr>
        <w:top w:val="none" w:sz="0" w:space="0" w:color="auto"/>
        <w:left w:val="none" w:sz="0" w:space="0" w:color="auto"/>
        <w:bottom w:val="none" w:sz="0" w:space="0" w:color="auto"/>
        <w:right w:val="none" w:sz="0" w:space="0" w:color="auto"/>
      </w:divBdr>
    </w:div>
    <w:div w:id="1656912210">
      <w:bodyDiv w:val="1"/>
      <w:marLeft w:val="0"/>
      <w:marRight w:val="0"/>
      <w:marTop w:val="0"/>
      <w:marBottom w:val="0"/>
      <w:divBdr>
        <w:top w:val="none" w:sz="0" w:space="0" w:color="auto"/>
        <w:left w:val="none" w:sz="0" w:space="0" w:color="auto"/>
        <w:bottom w:val="none" w:sz="0" w:space="0" w:color="auto"/>
        <w:right w:val="none" w:sz="0" w:space="0" w:color="auto"/>
      </w:divBdr>
    </w:div>
    <w:div w:id="1658611810">
      <w:bodyDiv w:val="1"/>
      <w:marLeft w:val="0"/>
      <w:marRight w:val="0"/>
      <w:marTop w:val="0"/>
      <w:marBottom w:val="0"/>
      <w:divBdr>
        <w:top w:val="none" w:sz="0" w:space="0" w:color="auto"/>
        <w:left w:val="none" w:sz="0" w:space="0" w:color="auto"/>
        <w:bottom w:val="none" w:sz="0" w:space="0" w:color="auto"/>
        <w:right w:val="none" w:sz="0" w:space="0" w:color="auto"/>
      </w:divBdr>
    </w:div>
    <w:div w:id="1667902196">
      <w:bodyDiv w:val="1"/>
      <w:marLeft w:val="0"/>
      <w:marRight w:val="0"/>
      <w:marTop w:val="0"/>
      <w:marBottom w:val="0"/>
      <w:divBdr>
        <w:top w:val="none" w:sz="0" w:space="0" w:color="auto"/>
        <w:left w:val="none" w:sz="0" w:space="0" w:color="auto"/>
        <w:bottom w:val="none" w:sz="0" w:space="0" w:color="auto"/>
        <w:right w:val="none" w:sz="0" w:space="0" w:color="auto"/>
      </w:divBdr>
    </w:div>
    <w:div w:id="1706755124">
      <w:bodyDiv w:val="1"/>
      <w:marLeft w:val="0"/>
      <w:marRight w:val="0"/>
      <w:marTop w:val="0"/>
      <w:marBottom w:val="0"/>
      <w:divBdr>
        <w:top w:val="none" w:sz="0" w:space="0" w:color="auto"/>
        <w:left w:val="none" w:sz="0" w:space="0" w:color="auto"/>
        <w:bottom w:val="none" w:sz="0" w:space="0" w:color="auto"/>
        <w:right w:val="none" w:sz="0" w:space="0" w:color="auto"/>
      </w:divBdr>
    </w:div>
    <w:div w:id="1707368202">
      <w:bodyDiv w:val="1"/>
      <w:marLeft w:val="0"/>
      <w:marRight w:val="0"/>
      <w:marTop w:val="0"/>
      <w:marBottom w:val="0"/>
      <w:divBdr>
        <w:top w:val="none" w:sz="0" w:space="0" w:color="auto"/>
        <w:left w:val="none" w:sz="0" w:space="0" w:color="auto"/>
        <w:bottom w:val="none" w:sz="0" w:space="0" w:color="auto"/>
        <w:right w:val="none" w:sz="0" w:space="0" w:color="auto"/>
      </w:divBdr>
    </w:div>
    <w:div w:id="1728987401">
      <w:bodyDiv w:val="1"/>
      <w:marLeft w:val="0"/>
      <w:marRight w:val="0"/>
      <w:marTop w:val="0"/>
      <w:marBottom w:val="0"/>
      <w:divBdr>
        <w:top w:val="none" w:sz="0" w:space="0" w:color="auto"/>
        <w:left w:val="none" w:sz="0" w:space="0" w:color="auto"/>
        <w:bottom w:val="none" w:sz="0" w:space="0" w:color="auto"/>
        <w:right w:val="none" w:sz="0" w:space="0" w:color="auto"/>
      </w:divBdr>
    </w:div>
    <w:div w:id="1748378548">
      <w:bodyDiv w:val="1"/>
      <w:marLeft w:val="0"/>
      <w:marRight w:val="0"/>
      <w:marTop w:val="0"/>
      <w:marBottom w:val="0"/>
      <w:divBdr>
        <w:top w:val="none" w:sz="0" w:space="0" w:color="auto"/>
        <w:left w:val="none" w:sz="0" w:space="0" w:color="auto"/>
        <w:bottom w:val="none" w:sz="0" w:space="0" w:color="auto"/>
        <w:right w:val="none" w:sz="0" w:space="0" w:color="auto"/>
      </w:divBdr>
    </w:div>
    <w:div w:id="1763377275">
      <w:bodyDiv w:val="1"/>
      <w:marLeft w:val="0"/>
      <w:marRight w:val="0"/>
      <w:marTop w:val="0"/>
      <w:marBottom w:val="0"/>
      <w:divBdr>
        <w:top w:val="none" w:sz="0" w:space="0" w:color="auto"/>
        <w:left w:val="none" w:sz="0" w:space="0" w:color="auto"/>
        <w:bottom w:val="none" w:sz="0" w:space="0" w:color="auto"/>
        <w:right w:val="none" w:sz="0" w:space="0" w:color="auto"/>
      </w:divBdr>
    </w:div>
    <w:div w:id="1775511341">
      <w:bodyDiv w:val="1"/>
      <w:marLeft w:val="0"/>
      <w:marRight w:val="0"/>
      <w:marTop w:val="0"/>
      <w:marBottom w:val="0"/>
      <w:divBdr>
        <w:top w:val="none" w:sz="0" w:space="0" w:color="auto"/>
        <w:left w:val="none" w:sz="0" w:space="0" w:color="auto"/>
        <w:bottom w:val="none" w:sz="0" w:space="0" w:color="auto"/>
        <w:right w:val="none" w:sz="0" w:space="0" w:color="auto"/>
      </w:divBdr>
    </w:div>
    <w:div w:id="1798254769">
      <w:bodyDiv w:val="1"/>
      <w:marLeft w:val="0"/>
      <w:marRight w:val="0"/>
      <w:marTop w:val="0"/>
      <w:marBottom w:val="0"/>
      <w:divBdr>
        <w:top w:val="none" w:sz="0" w:space="0" w:color="auto"/>
        <w:left w:val="none" w:sz="0" w:space="0" w:color="auto"/>
        <w:bottom w:val="none" w:sz="0" w:space="0" w:color="auto"/>
        <w:right w:val="none" w:sz="0" w:space="0" w:color="auto"/>
      </w:divBdr>
    </w:div>
    <w:div w:id="1846045050">
      <w:bodyDiv w:val="1"/>
      <w:marLeft w:val="0"/>
      <w:marRight w:val="0"/>
      <w:marTop w:val="0"/>
      <w:marBottom w:val="0"/>
      <w:divBdr>
        <w:top w:val="none" w:sz="0" w:space="0" w:color="auto"/>
        <w:left w:val="none" w:sz="0" w:space="0" w:color="auto"/>
        <w:bottom w:val="none" w:sz="0" w:space="0" w:color="auto"/>
        <w:right w:val="none" w:sz="0" w:space="0" w:color="auto"/>
      </w:divBdr>
    </w:div>
    <w:div w:id="1930888674">
      <w:bodyDiv w:val="1"/>
      <w:marLeft w:val="0"/>
      <w:marRight w:val="0"/>
      <w:marTop w:val="0"/>
      <w:marBottom w:val="0"/>
      <w:divBdr>
        <w:top w:val="none" w:sz="0" w:space="0" w:color="auto"/>
        <w:left w:val="none" w:sz="0" w:space="0" w:color="auto"/>
        <w:bottom w:val="none" w:sz="0" w:space="0" w:color="auto"/>
        <w:right w:val="none" w:sz="0" w:space="0" w:color="auto"/>
      </w:divBdr>
    </w:div>
    <w:div w:id="1985699524">
      <w:bodyDiv w:val="1"/>
      <w:marLeft w:val="0"/>
      <w:marRight w:val="0"/>
      <w:marTop w:val="0"/>
      <w:marBottom w:val="0"/>
      <w:divBdr>
        <w:top w:val="none" w:sz="0" w:space="0" w:color="auto"/>
        <w:left w:val="none" w:sz="0" w:space="0" w:color="auto"/>
        <w:bottom w:val="none" w:sz="0" w:space="0" w:color="auto"/>
        <w:right w:val="none" w:sz="0" w:space="0" w:color="auto"/>
      </w:divBdr>
    </w:div>
    <w:div w:id="2025473695">
      <w:bodyDiv w:val="1"/>
      <w:marLeft w:val="0"/>
      <w:marRight w:val="0"/>
      <w:marTop w:val="0"/>
      <w:marBottom w:val="0"/>
      <w:divBdr>
        <w:top w:val="none" w:sz="0" w:space="0" w:color="auto"/>
        <w:left w:val="none" w:sz="0" w:space="0" w:color="auto"/>
        <w:bottom w:val="none" w:sz="0" w:space="0" w:color="auto"/>
        <w:right w:val="none" w:sz="0" w:space="0" w:color="auto"/>
      </w:divBdr>
    </w:div>
    <w:div w:id="2029285530">
      <w:bodyDiv w:val="1"/>
      <w:marLeft w:val="0"/>
      <w:marRight w:val="0"/>
      <w:marTop w:val="0"/>
      <w:marBottom w:val="0"/>
      <w:divBdr>
        <w:top w:val="none" w:sz="0" w:space="0" w:color="auto"/>
        <w:left w:val="none" w:sz="0" w:space="0" w:color="auto"/>
        <w:bottom w:val="none" w:sz="0" w:space="0" w:color="auto"/>
        <w:right w:val="none" w:sz="0" w:space="0" w:color="auto"/>
      </w:divBdr>
    </w:div>
    <w:div w:id="2051688594">
      <w:bodyDiv w:val="1"/>
      <w:marLeft w:val="0"/>
      <w:marRight w:val="0"/>
      <w:marTop w:val="0"/>
      <w:marBottom w:val="0"/>
      <w:divBdr>
        <w:top w:val="none" w:sz="0" w:space="0" w:color="auto"/>
        <w:left w:val="none" w:sz="0" w:space="0" w:color="auto"/>
        <w:bottom w:val="none" w:sz="0" w:space="0" w:color="auto"/>
        <w:right w:val="none" w:sz="0" w:space="0" w:color="auto"/>
      </w:divBdr>
    </w:div>
    <w:div w:id="2063090411">
      <w:bodyDiv w:val="1"/>
      <w:marLeft w:val="0"/>
      <w:marRight w:val="0"/>
      <w:marTop w:val="0"/>
      <w:marBottom w:val="0"/>
      <w:divBdr>
        <w:top w:val="none" w:sz="0" w:space="0" w:color="auto"/>
        <w:left w:val="none" w:sz="0" w:space="0" w:color="auto"/>
        <w:bottom w:val="none" w:sz="0" w:space="0" w:color="auto"/>
        <w:right w:val="none" w:sz="0" w:space="0" w:color="auto"/>
      </w:divBdr>
    </w:div>
    <w:div w:id="2099907489">
      <w:bodyDiv w:val="1"/>
      <w:marLeft w:val="0"/>
      <w:marRight w:val="0"/>
      <w:marTop w:val="0"/>
      <w:marBottom w:val="0"/>
      <w:divBdr>
        <w:top w:val="none" w:sz="0" w:space="0" w:color="auto"/>
        <w:left w:val="none" w:sz="0" w:space="0" w:color="auto"/>
        <w:bottom w:val="none" w:sz="0" w:space="0" w:color="auto"/>
        <w:right w:val="none" w:sz="0" w:space="0" w:color="auto"/>
      </w:divBdr>
      <w:divsChild>
        <w:div w:id="1854030270">
          <w:marLeft w:val="0"/>
          <w:marRight w:val="0"/>
          <w:marTop w:val="0"/>
          <w:marBottom w:val="0"/>
          <w:divBdr>
            <w:top w:val="none" w:sz="0" w:space="0" w:color="auto"/>
            <w:left w:val="none" w:sz="0" w:space="0" w:color="auto"/>
            <w:bottom w:val="none" w:sz="0" w:space="0" w:color="auto"/>
            <w:right w:val="none" w:sz="0" w:space="0" w:color="auto"/>
          </w:divBdr>
        </w:div>
      </w:divsChild>
    </w:div>
    <w:div w:id="2102527114">
      <w:bodyDiv w:val="1"/>
      <w:marLeft w:val="0"/>
      <w:marRight w:val="0"/>
      <w:marTop w:val="0"/>
      <w:marBottom w:val="0"/>
      <w:divBdr>
        <w:top w:val="none" w:sz="0" w:space="0" w:color="auto"/>
        <w:left w:val="none" w:sz="0" w:space="0" w:color="auto"/>
        <w:bottom w:val="none" w:sz="0" w:space="0" w:color="auto"/>
        <w:right w:val="none" w:sz="0" w:space="0" w:color="auto"/>
      </w:divBdr>
    </w:div>
    <w:div w:id="211655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3.0/au/deed.en" TargetMode="External"/><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header" Target="header9.xml"/><Relationship Id="rId21" Type="http://schemas.openxmlformats.org/officeDocument/2006/relationships/footer" Target="footer4.xml"/><Relationship Id="rId34" Type="http://schemas.openxmlformats.org/officeDocument/2006/relationships/footer" Target="footer9.xml"/><Relationship Id="rId42" Type="http://schemas.openxmlformats.org/officeDocument/2006/relationships/footer" Target="footer14.xml"/><Relationship Id="rId47" Type="http://schemas.openxmlformats.org/officeDocument/2006/relationships/image" Target="media/image10.png"/><Relationship Id="rId50" Type="http://schemas.openxmlformats.org/officeDocument/2006/relationships/footer" Target="footer17.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2.xml"/><Relationship Id="rId29" Type="http://schemas.openxmlformats.org/officeDocument/2006/relationships/header" Target="header8.xml"/><Relationship Id="rId11" Type="http://schemas.openxmlformats.org/officeDocument/2006/relationships/hyperlink" Target="https://creativecommons.org/licenses/by/4.0/" TargetMode="External"/><Relationship Id="rId24" Type="http://schemas.openxmlformats.org/officeDocument/2006/relationships/image" Target="media/image4.png"/><Relationship Id="rId32" Type="http://schemas.openxmlformats.org/officeDocument/2006/relationships/image" Target="media/image6.png"/><Relationship Id="rId37" Type="http://schemas.openxmlformats.org/officeDocument/2006/relationships/footer" Target="footer11.xml"/><Relationship Id="rId40" Type="http://schemas.openxmlformats.org/officeDocument/2006/relationships/header" Target="header10.xml"/><Relationship Id="rId45" Type="http://schemas.openxmlformats.org/officeDocument/2006/relationships/image" Target="media/image9.jpeg"/><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image" Target="media/image8.png"/><Relationship Id="rId49" Type="http://schemas.openxmlformats.org/officeDocument/2006/relationships/footer" Target="footer16.xml"/><Relationship Id="rId10" Type="http://schemas.openxmlformats.org/officeDocument/2006/relationships/image" Target="media/image2.wmf"/><Relationship Id="rId19" Type="http://schemas.openxmlformats.org/officeDocument/2006/relationships/header" Target="header4.xml"/><Relationship Id="rId31" Type="http://schemas.openxmlformats.org/officeDocument/2006/relationships/image" Target="media/image5.png"/><Relationship Id="rId44" Type="http://schemas.openxmlformats.org/officeDocument/2006/relationships/footer" Target="footer15.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reativecommons.org/licenses/by/4.0/legalcode" TargetMode="Externa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header" Target="header11.xml"/><Relationship Id="rId48" Type="http://schemas.openxmlformats.org/officeDocument/2006/relationships/image" Target="media/image11.png"/><Relationship Id="rId8" Type="http://schemas.openxmlformats.org/officeDocument/2006/relationships/hyperlink" Target="https://creativecommons.org/licenses/by/4.0/"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pmc.gov.au/honours-and-symbols/commonwealth-coat-arms" TargetMode="External"/><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image" Target="media/image7.png"/><Relationship Id="rId38" Type="http://schemas.openxmlformats.org/officeDocument/2006/relationships/footer" Target="footer12.xml"/><Relationship Id="rId46" Type="http://schemas.openxmlformats.org/officeDocument/2006/relationships/hyperlink" Target="https://www.socialscienceregistry.org/trials/15006" TargetMode="External"/><Relationship Id="rId20" Type="http://schemas.openxmlformats.org/officeDocument/2006/relationships/footer" Target="footer3.xml"/><Relationship Id="rId41"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evaluation.treasury.gov.au/publications/charity-on-time-submission-trial" TargetMode="External"/><Relationship Id="rId1" Type="http://schemas.openxmlformats.org/officeDocument/2006/relationships/hyperlink" Target="https://www.socialscienceregistry.org/trials/15006" TargetMode="Externa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8337</Words>
  <Characters>46809</Characters>
  <Application>Microsoft Office Word</Application>
  <DocSecurity>0</DocSecurity>
  <Lines>873</Lines>
  <Paragraphs>405</Paragraphs>
  <ScaleCrop>false</ScaleCrop>
  <HeadingPairs>
    <vt:vector size="2" baseType="variant">
      <vt:variant>
        <vt:lpstr>Title</vt:lpstr>
      </vt:variant>
      <vt:variant>
        <vt:i4>1</vt:i4>
      </vt:variant>
    </vt:vector>
  </HeadingPairs>
  <TitlesOfParts>
    <vt:vector size="1" baseType="lpstr">
      <vt:lpstr>Improving on-time submission rates for charity Annual Information Statements: a randomised trial</vt:lpstr>
    </vt:vector>
  </TitlesOfParts>
  <Company/>
  <LinksUpToDate>false</LinksUpToDate>
  <CharactersWithSpaces>54831</CharactersWithSpaces>
  <SharedDoc>false</SharedDoc>
  <HLinks>
    <vt:vector size="204" baseType="variant">
      <vt:variant>
        <vt:i4>7798898</vt:i4>
      </vt:variant>
      <vt:variant>
        <vt:i4>174</vt:i4>
      </vt:variant>
      <vt:variant>
        <vt:i4>0</vt:i4>
      </vt:variant>
      <vt:variant>
        <vt:i4>5</vt:i4>
      </vt:variant>
      <vt:variant>
        <vt:lpwstr>https://www.socialscienceregistry.org/trials/15006</vt:lpwstr>
      </vt:variant>
      <vt:variant>
        <vt:lpwstr/>
      </vt:variant>
      <vt:variant>
        <vt:i4>1441844</vt:i4>
      </vt:variant>
      <vt:variant>
        <vt:i4>167</vt:i4>
      </vt:variant>
      <vt:variant>
        <vt:i4>0</vt:i4>
      </vt:variant>
      <vt:variant>
        <vt:i4>5</vt:i4>
      </vt:variant>
      <vt:variant>
        <vt:lpwstr/>
      </vt:variant>
      <vt:variant>
        <vt:lpwstr>_Toc207712043</vt:lpwstr>
      </vt:variant>
      <vt:variant>
        <vt:i4>1441844</vt:i4>
      </vt:variant>
      <vt:variant>
        <vt:i4>161</vt:i4>
      </vt:variant>
      <vt:variant>
        <vt:i4>0</vt:i4>
      </vt:variant>
      <vt:variant>
        <vt:i4>5</vt:i4>
      </vt:variant>
      <vt:variant>
        <vt:lpwstr/>
      </vt:variant>
      <vt:variant>
        <vt:lpwstr>_Toc207712042</vt:lpwstr>
      </vt:variant>
      <vt:variant>
        <vt:i4>1441844</vt:i4>
      </vt:variant>
      <vt:variant>
        <vt:i4>155</vt:i4>
      </vt:variant>
      <vt:variant>
        <vt:i4>0</vt:i4>
      </vt:variant>
      <vt:variant>
        <vt:i4>5</vt:i4>
      </vt:variant>
      <vt:variant>
        <vt:lpwstr/>
      </vt:variant>
      <vt:variant>
        <vt:lpwstr>_Toc207712041</vt:lpwstr>
      </vt:variant>
      <vt:variant>
        <vt:i4>1441844</vt:i4>
      </vt:variant>
      <vt:variant>
        <vt:i4>149</vt:i4>
      </vt:variant>
      <vt:variant>
        <vt:i4>0</vt:i4>
      </vt:variant>
      <vt:variant>
        <vt:i4>5</vt:i4>
      </vt:variant>
      <vt:variant>
        <vt:lpwstr/>
      </vt:variant>
      <vt:variant>
        <vt:lpwstr>_Toc207712040</vt:lpwstr>
      </vt:variant>
      <vt:variant>
        <vt:i4>1114164</vt:i4>
      </vt:variant>
      <vt:variant>
        <vt:i4>143</vt:i4>
      </vt:variant>
      <vt:variant>
        <vt:i4>0</vt:i4>
      </vt:variant>
      <vt:variant>
        <vt:i4>5</vt:i4>
      </vt:variant>
      <vt:variant>
        <vt:lpwstr/>
      </vt:variant>
      <vt:variant>
        <vt:lpwstr>_Toc207712039</vt:lpwstr>
      </vt:variant>
      <vt:variant>
        <vt:i4>1114164</vt:i4>
      </vt:variant>
      <vt:variant>
        <vt:i4>137</vt:i4>
      </vt:variant>
      <vt:variant>
        <vt:i4>0</vt:i4>
      </vt:variant>
      <vt:variant>
        <vt:i4>5</vt:i4>
      </vt:variant>
      <vt:variant>
        <vt:lpwstr/>
      </vt:variant>
      <vt:variant>
        <vt:lpwstr>_Toc207712038</vt:lpwstr>
      </vt:variant>
      <vt:variant>
        <vt:i4>1114164</vt:i4>
      </vt:variant>
      <vt:variant>
        <vt:i4>131</vt:i4>
      </vt:variant>
      <vt:variant>
        <vt:i4>0</vt:i4>
      </vt:variant>
      <vt:variant>
        <vt:i4>5</vt:i4>
      </vt:variant>
      <vt:variant>
        <vt:lpwstr/>
      </vt:variant>
      <vt:variant>
        <vt:lpwstr>_Toc207712037</vt:lpwstr>
      </vt:variant>
      <vt:variant>
        <vt:i4>1114164</vt:i4>
      </vt:variant>
      <vt:variant>
        <vt:i4>125</vt:i4>
      </vt:variant>
      <vt:variant>
        <vt:i4>0</vt:i4>
      </vt:variant>
      <vt:variant>
        <vt:i4>5</vt:i4>
      </vt:variant>
      <vt:variant>
        <vt:lpwstr/>
      </vt:variant>
      <vt:variant>
        <vt:lpwstr>_Toc207712036</vt:lpwstr>
      </vt:variant>
      <vt:variant>
        <vt:i4>1114164</vt:i4>
      </vt:variant>
      <vt:variant>
        <vt:i4>119</vt:i4>
      </vt:variant>
      <vt:variant>
        <vt:i4>0</vt:i4>
      </vt:variant>
      <vt:variant>
        <vt:i4>5</vt:i4>
      </vt:variant>
      <vt:variant>
        <vt:lpwstr/>
      </vt:variant>
      <vt:variant>
        <vt:lpwstr>_Toc207712035</vt:lpwstr>
      </vt:variant>
      <vt:variant>
        <vt:i4>1114164</vt:i4>
      </vt:variant>
      <vt:variant>
        <vt:i4>113</vt:i4>
      </vt:variant>
      <vt:variant>
        <vt:i4>0</vt:i4>
      </vt:variant>
      <vt:variant>
        <vt:i4>5</vt:i4>
      </vt:variant>
      <vt:variant>
        <vt:lpwstr/>
      </vt:variant>
      <vt:variant>
        <vt:lpwstr>_Toc207712034</vt:lpwstr>
      </vt:variant>
      <vt:variant>
        <vt:i4>1114164</vt:i4>
      </vt:variant>
      <vt:variant>
        <vt:i4>107</vt:i4>
      </vt:variant>
      <vt:variant>
        <vt:i4>0</vt:i4>
      </vt:variant>
      <vt:variant>
        <vt:i4>5</vt:i4>
      </vt:variant>
      <vt:variant>
        <vt:lpwstr/>
      </vt:variant>
      <vt:variant>
        <vt:lpwstr>_Toc207712033</vt:lpwstr>
      </vt:variant>
      <vt:variant>
        <vt:i4>1114164</vt:i4>
      </vt:variant>
      <vt:variant>
        <vt:i4>101</vt:i4>
      </vt:variant>
      <vt:variant>
        <vt:i4>0</vt:i4>
      </vt:variant>
      <vt:variant>
        <vt:i4>5</vt:i4>
      </vt:variant>
      <vt:variant>
        <vt:lpwstr/>
      </vt:variant>
      <vt:variant>
        <vt:lpwstr>_Toc207712032</vt:lpwstr>
      </vt:variant>
      <vt:variant>
        <vt:i4>1114164</vt:i4>
      </vt:variant>
      <vt:variant>
        <vt:i4>95</vt:i4>
      </vt:variant>
      <vt:variant>
        <vt:i4>0</vt:i4>
      </vt:variant>
      <vt:variant>
        <vt:i4>5</vt:i4>
      </vt:variant>
      <vt:variant>
        <vt:lpwstr/>
      </vt:variant>
      <vt:variant>
        <vt:lpwstr>_Toc207712031</vt:lpwstr>
      </vt:variant>
      <vt:variant>
        <vt:i4>1114164</vt:i4>
      </vt:variant>
      <vt:variant>
        <vt:i4>89</vt:i4>
      </vt:variant>
      <vt:variant>
        <vt:i4>0</vt:i4>
      </vt:variant>
      <vt:variant>
        <vt:i4>5</vt:i4>
      </vt:variant>
      <vt:variant>
        <vt:lpwstr/>
      </vt:variant>
      <vt:variant>
        <vt:lpwstr>_Toc207712030</vt:lpwstr>
      </vt:variant>
      <vt:variant>
        <vt:i4>1048628</vt:i4>
      </vt:variant>
      <vt:variant>
        <vt:i4>83</vt:i4>
      </vt:variant>
      <vt:variant>
        <vt:i4>0</vt:i4>
      </vt:variant>
      <vt:variant>
        <vt:i4>5</vt:i4>
      </vt:variant>
      <vt:variant>
        <vt:lpwstr/>
      </vt:variant>
      <vt:variant>
        <vt:lpwstr>_Toc207712029</vt:lpwstr>
      </vt:variant>
      <vt:variant>
        <vt:i4>1048628</vt:i4>
      </vt:variant>
      <vt:variant>
        <vt:i4>77</vt:i4>
      </vt:variant>
      <vt:variant>
        <vt:i4>0</vt:i4>
      </vt:variant>
      <vt:variant>
        <vt:i4>5</vt:i4>
      </vt:variant>
      <vt:variant>
        <vt:lpwstr/>
      </vt:variant>
      <vt:variant>
        <vt:lpwstr>_Toc207712028</vt:lpwstr>
      </vt:variant>
      <vt:variant>
        <vt:i4>1048628</vt:i4>
      </vt:variant>
      <vt:variant>
        <vt:i4>71</vt:i4>
      </vt:variant>
      <vt:variant>
        <vt:i4>0</vt:i4>
      </vt:variant>
      <vt:variant>
        <vt:i4>5</vt:i4>
      </vt:variant>
      <vt:variant>
        <vt:lpwstr/>
      </vt:variant>
      <vt:variant>
        <vt:lpwstr>_Toc207712027</vt:lpwstr>
      </vt:variant>
      <vt:variant>
        <vt:i4>1048628</vt:i4>
      </vt:variant>
      <vt:variant>
        <vt:i4>65</vt:i4>
      </vt:variant>
      <vt:variant>
        <vt:i4>0</vt:i4>
      </vt:variant>
      <vt:variant>
        <vt:i4>5</vt:i4>
      </vt:variant>
      <vt:variant>
        <vt:lpwstr/>
      </vt:variant>
      <vt:variant>
        <vt:lpwstr>_Toc207712026</vt:lpwstr>
      </vt:variant>
      <vt:variant>
        <vt:i4>1048628</vt:i4>
      </vt:variant>
      <vt:variant>
        <vt:i4>59</vt:i4>
      </vt:variant>
      <vt:variant>
        <vt:i4>0</vt:i4>
      </vt:variant>
      <vt:variant>
        <vt:i4>5</vt:i4>
      </vt:variant>
      <vt:variant>
        <vt:lpwstr/>
      </vt:variant>
      <vt:variant>
        <vt:lpwstr>_Toc207712025</vt:lpwstr>
      </vt:variant>
      <vt:variant>
        <vt:i4>1048628</vt:i4>
      </vt:variant>
      <vt:variant>
        <vt:i4>53</vt:i4>
      </vt:variant>
      <vt:variant>
        <vt:i4>0</vt:i4>
      </vt:variant>
      <vt:variant>
        <vt:i4>5</vt:i4>
      </vt:variant>
      <vt:variant>
        <vt:lpwstr/>
      </vt:variant>
      <vt:variant>
        <vt:lpwstr>_Toc207712024</vt:lpwstr>
      </vt:variant>
      <vt:variant>
        <vt:i4>1048628</vt:i4>
      </vt:variant>
      <vt:variant>
        <vt:i4>47</vt:i4>
      </vt:variant>
      <vt:variant>
        <vt:i4>0</vt:i4>
      </vt:variant>
      <vt:variant>
        <vt:i4>5</vt:i4>
      </vt:variant>
      <vt:variant>
        <vt:lpwstr/>
      </vt:variant>
      <vt:variant>
        <vt:lpwstr>_Toc207712023</vt:lpwstr>
      </vt:variant>
      <vt:variant>
        <vt:i4>1048628</vt:i4>
      </vt:variant>
      <vt:variant>
        <vt:i4>41</vt:i4>
      </vt:variant>
      <vt:variant>
        <vt:i4>0</vt:i4>
      </vt:variant>
      <vt:variant>
        <vt:i4>5</vt:i4>
      </vt:variant>
      <vt:variant>
        <vt:lpwstr/>
      </vt:variant>
      <vt:variant>
        <vt:lpwstr>_Toc207712022</vt:lpwstr>
      </vt:variant>
      <vt:variant>
        <vt:i4>1048628</vt:i4>
      </vt:variant>
      <vt:variant>
        <vt:i4>35</vt:i4>
      </vt:variant>
      <vt:variant>
        <vt:i4>0</vt:i4>
      </vt:variant>
      <vt:variant>
        <vt:i4>5</vt:i4>
      </vt:variant>
      <vt:variant>
        <vt:lpwstr/>
      </vt:variant>
      <vt:variant>
        <vt:lpwstr>_Toc207712021</vt:lpwstr>
      </vt:variant>
      <vt:variant>
        <vt:i4>1048628</vt:i4>
      </vt:variant>
      <vt:variant>
        <vt:i4>29</vt:i4>
      </vt:variant>
      <vt:variant>
        <vt:i4>0</vt:i4>
      </vt:variant>
      <vt:variant>
        <vt:i4>5</vt:i4>
      </vt:variant>
      <vt:variant>
        <vt:lpwstr/>
      </vt:variant>
      <vt:variant>
        <vt:lpwstr>_Toc207712020</vt:lpwstr>
      </vt:variant>
      <vt:variant>
        <vt:i4>1245236</vt:i4>
      </vt:variant>
      <vt:variant>
        <vt:i4>23</vt:i4>
      </vt:variant>
      <vt:variant>
        <vt:i4>0</vt:i4>
      </vt:variant>
      <vt:variant>
        <vt:i4>5</vt:i4>
      </vt:variant>
      <vt:variant>
        <vt:lpwstr/>
      </vt:variant>
      <vt:variant>
        <vt:lpwstr>_Toc207712019</vt:lpwstr>
      </vt:variant>
      <vt:variant>
        <vt:i4>1245236</vt:i4>
      </vt:variant>
      <vt:variant>
        <vt:i4>17</vt:i4>
      </vt:variant>
      <vt:variant>
        <vt:i4>0</vt:i4>
      </vt:variant>
      <vt:variant>
        <vt:i4>5</vt:i4>
      </vt:variant>
      <vt:variant>
        <vt:lpwstr/>
      </vt:variant>
      <vt:variant>
        <vt:lpwstr>_Toc207712018</vt:lpwstr>
      </vt:variant>
      <vt:variant>
        <vt:i4>5111827</vt:i4>
      </vt:variant>
      <vt:variant>
        <vt:i4>12</vt:i4>
      </vt:variant>
      <vt:variant>
        <vt:i4>0</vt:i4>
      </vt:variant>
      <vt:variant>
        <vt:i4>5</vt:i4>
      </vt:variant>
      <vt:variant>
        <vt:lpwstr>http://creativecommons.org/licenses/by/3.0/au/deed.en</vt:lpwstr>
      </vt:variant>
      <vt:variant>
        <vt:lpwstr/>
      </vt:variant>
      <vt:variant>
        <vt:i4>65560</vt:i4>
      </vt:variant>
      <vt:variant>
        <vt:i4>9</vt:i4>
      </vt:variant>
      <vt:variant>
        <vt:i4>0</vt:i4>
      </vt:variant>
      <vt:variant>
        <vt:i4>5</vt:i4>
      </vt:variant>
      <vt:variant>
        <vt:lpwstr>https://www.pmc.gov.au/honours-and-symbols/commonwealth-coat-arms</vt:lpwstr>
      </vt:variant>
      <vt:variant>
        <vt:lpwstr/>
      </vt:variant>
      <vt:variant>
        <vt:i4>5308424</vt:i4>
      </vt:variant>
      <vt:variant>
        <vt:i4>6</vt:i4>
      </vt:variant>
      <vt:variant>
        <vt:i4>0</vt:i4>
      </vt:variant>
      <vt:variant>
        <vt:i4>5</vt:i4>
      </vt:variant>
      <vt:variant>
        <vt:lpwstr>https://creativecommons.org/licenses/by/4.0/</vt:lpwstr>
      </vt:variant>
      <vt:variant>
        <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ariant>
        <vt:i4>5308496</vt:i4>
      </vt:variant>
      <vt:variant>
        <vt:i4>3</vt:i4>
      </vt:variant>
      <vt:variant>
        <vt:i4>0</vt:i4>
      </vt:variant>
      <vt:variant>
        <vt:i4>5</vt:i4>
      </vt:variant>
      <vt:variant>
        <vt:lpwstr>https://evaluation.treasury.gov.au/publications/charity-on-time-submission-trial</vt:lpwstr>
      </vt:variant>
      <vt:variant>
        <vt:lpwstr/>
      </vt:variant>
      <vt:variant>
        <vt:i4>7798898</vt:i4>
      </vt:variant>
      <vt:variant>
        <vt:i4>0</vt:i4>
      </vt:variant>
      <vt:variant>
        <vt:i4>0</vt:i4>
      </vt:variant>
      <vt:variant>
        <vt:i4>5</vt:i4>
      </vt:variant>
      <vt:variant>
        <vt:lpwstr>https://www.socialscienceregistry.org/trials/15006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Improving on-time submission rates for charity Annual Information Statements: a randomised trial</dc:title>
  <dc:subject/>
  <dc:creator>Treasury; Australian Centre for Evaluation</dc:creator>
  <cp:keywords/>
  <cp:lastModifiedBy/>
  <cp:revision>1</cp:revision>
  <dcterms:created xsi:type="dcterms:W3CDTF">2025-09-11T02:40:00Z</dcterms:created>
  <dcterms:modified xsi:type="dcterms:W3CDTF">2025-09-11T02:41:00Z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2025-09-11T02:40:59Z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2294a665-87cb-48b9-bfe4-74fb0110511f</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