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A56F" w14:textId="4D1804D1" w:rsidR="000C2A48" w:rsidRDefault="001E3D33" w:rsidP="000C2A48">
      <w:r>
        <w:rPr>
          <w:noProof/>
          <w14:ligatures w14:val="none"/>
        </w:rPr>
        <w:drawing>
          <wp:anchor distT="0" distB="0" distL="114300" distR="114300" simplePos="0" relativeHeight="251658241" behindDoc="0" locked="1" layoutInCell="1" allowOverlap="1" wp14:anchorId="0ADB69B1" wp14:editId="07EEAF3D">
            <wp:simplePos x="0" y="0"/>
            <wp:positionH relativeFrom="margin">
              <wp:align>left</wp:align>
            </wp:positionH>
            <wp:positionV relativeFrom="paragraph">
              <wp:posOffset>-868680</wp:posOffset>
            </wp:positionV>
            <wp:extent cx="5760000" cy="543600"/>
            <wp:effectExtent l="0" t="0" r="0" b="8890"/>
            <wp:wrapNone/>
            <wp:docPr id="2349503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50318"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0" cy="543600"/>
                    </a:xfrm>
                    <a:prstGeom prst="rect">
                      <a:avLst/>
                    </a:prstGeom>
                  </pic:spPr>
                </pic:pic>
              </a:graphicData>
            </a:graphic>
            <wp14:sizeRelH relativeFrom="page">
              <wp14:pctWidth>0</wp14:pctWidth>
            </wp14:sizeRelH>
            <wp14:sizeRelV relativeFrom="page">
              <wp14:pctHeight>0</wp14:pctHeight>
            </wp14:sizeRelV>
          </wp:anchor>
        </w:drawing>
      </w:r>
      <w:r w:rsidR="00516F1F">
        <w:rPr>
          <w:noProof/>
          <w:lang w:eastAsia="en-AU"/>
        </w:rPr>
        <w:drawing>
          <wp:anchor distT="0" distB="0" distL="114300" distR="114300" simplePos="0" relativeHeight="251658240" behindDoc="1" locked="0" layoutInCell="1" allowOverlap="1" wp14:anchorId="45BD05A4" wp14:editId="66A1FD87">
            <wp:simplePos x="0" y="0"/>
            <wp:positionH relativeFrom="page">
              <wp:posOffset>1905</wp:posOffset>
            </wp:positionH>
            <wp:positionV relativeFrom="page">
              <wp:posOffset>1270</wp:posOffset>
            </wp:positionV>
            <wp:extent cx="7558768" cy="10692000"/>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p w14:paraId="0DAD309D" w14:textId="1EEFE862" w:rsidR="00A83C6D" w:rsidRPr="00A83C6D" w:rsidRDefault="587384A8" w:rsidP="009E0FA7">
      <w:pPr>
        <w:pStyle w:val="Title"/>
      </w:pPr>
      <w:r w:rsidRPr="2798AF85">
        <w:t>Pre</w:t>
      </w:r>
      <w:r w:rsidR="00573EF3">
        <w:noBreakHyphen/>
      </w:r>
      <w:r w:rsidR="58A6E58A" w:rsidRPr="2798AF85">
        <w:t>a</w:t>
      </w:r>
      <w:r w:rsidR="49D091D1" w:rsidRPr="2798AF85">
        <w:t xml:space="preserve">nalysis </w:t>
      </w:r>
      <w:r w:rsidR="112D406B" w:rsidRPr="2798AF85">
        <w:t>p</w:t>
      </w:r>
      <w:r w:rsidR="49D091D1" w:rsidRPr="2798AF85">
        <w:t xml:space="preserve">lan: </w:t>
      </w:r>
      <w:r w:rsidR="00CC36AE" w:rsidRPr="00CC36AE">
        <w:t>Improving on</w:t>
      </w:r>
      <w:r w:rsidR="00573EF3">
        <w:noBreakHyphen/>
      </w:r>
      <w:r w:rsidR="00CC36AE" w:rsidRPr="00CC36AE">
        <w:t>time submission rates for charities</w:t>
      </w:r>
    </w:p>
    <w:p w14:paraId="482EB1B2" w14:textId="77777777" w:rsidR="006C4DD1" w:rsidRDefault="006C4DD1" w:rsidP="006C4DD1"/>
    <w:p w14:paraId="4263CCDF" w14:textId="77777777" w:rsidR="005D3E0C" w:rsidRDefault="005D3E0C" w:rsidP="006C4DD1">
      <w:pPr>
        <w:sectPr w:rsidR="005D3E0C" w:rsidSect="00516F1F">
          <w:headerReference w:type="default" r:id="rId9"/>
          <w:footerReference w:type="default" r:id="rId10"/>
          <w:headerReference w:type="first" r:id="rId11"/>
          <w:footerReference w:type="first" r:id="rId12"/>
          <w:type w:val="continuous"/>
          <w:pgSz w:w="11906" w:h="16838" w:code="9"/>
          <w:pgMar w:top="2268" w:right="1418" w:bottom="1418" w:left="1418" w:header="567" w:footer="624" w:gutter="0"/>
          <w:cols w:space="708"/>
          <w:titlePg/>
          <w:docGrid w:linePitch="360"/>
        </w:sectPr>
      </w:pPr>
    </w:p>
    <w:p w14:paraId="03671A1C" w14:textId="77777777" w:rsidR="002A4981" w:rsidRDefault="002A4981" w:rsidP="002A4981">
      <w:pPr>
        <w:pStyle w:val="Heading1"/>
      </w:pPr>
      <w:bookmarkStart w:id="0" w:name="_Toc208322628"/>
      <w:r>
        <w:lastRenderedPageBreak/>
        <w:t>Contents</w:t>
      </w:r>
      <w:bookmarkEnd w:id="0"/>
    </w:p>
    <w:p w14:paraId="3C00BD33" w14:textId="77777777" w:rsidR="002A4981" w:rsidRDefault="002A4981" w:rsidP="002A4981">
      <w:pPr>
        <w:pStyle w:val="NoSpacing"/>
      </w:pPr>
    </w:p>
    <w:sdt>
      <w:sdtPr>
        <w:rPr>
          <w:rFonts w:eastAsiaTheme="minorEastAsia"/>
          <w:b w:val="0"/>
          <w:bCs/>
          <w:sz w:val="22"/>
          <w:szCs w:val="23"/>
        </w:rPr>
        <w:id w:val="1490156968"/>
        <w:docPartObj>
          <w:docPartGallery w:val="Table of Contents"/>
          <w:docPartUnique/>
        </w:docPartObj>
      </w:sdtPr>
      <w:sdtEndPr>
        <w:rPr>
          <w:rFonts w:eastAsiaTheme="minorHAnsi"/>
          <w:bCs w:val="0"/>
          <w:szCs w:val="24"/>
        </w:rPr>
      </w:sdtEndPr>
      <w:sdtContent>
        <w:p w14:paraId="1F085FB3" w14:textId="32794725" w:rsidR="002A4981" w:rsidRDefault="190DE392">
          <w:pPr>
            <w:pStyle w:val="TOC1"/>
            <w:rPr>
              <w:rFonts w:eastAsiaTheme="minorEastAsia"/>
              <w:b w:val="0"/>
              <w:noProof/>
              <w:sz w:val="24"/>
              <w:lang w:eastAsia="en-AU"/>
            </w:rPr>
          </w:pPr>
          <w:r>
            <w:fldChar w:fldCharType="begin"/>
          </w:r>
          <w:r w:rsidR="00A36A44">
            <w:instrText>TOC \o "1-3" \h \z \u</w:instrText>
          </w:r>
          <w:r>
            <w:fldChar w:fldCharType="separate"/>
          </w:r>
          <w:hyperlink w:anchor="_Toc208322629" w:history="1">
            <w:r w:rsidR="002A4981" w:rsidRPr="00F9316E">
              <w:rPr>
                <w:rStyle w:val="Hyperlink"/>
                <w:noProof/>
              </w:rPr>
              <w:t>Summary table</w:t>
            </w:r>
            <w:r w:rsidR="002A4981">
              <w:rPr>
                <w:noProof/>
                <w:webHidden/>
              </w:rPr>
              <w:tab/>
            </w:r>
            <w:r w:rsidR="002A4981">
              <w:rPr>
                <w:noProof/>
                <w:webHidden/>
              </w:rPr>
              <w:fldChar w:fldCharType="begin"/>
            </w:r>
            <w:r w:rsidR="002A4981">
              <w:rPr>
                <w:noProof/>
                <w:webHidden/>
              </w:rPr>
              <w:instrText xml:space="preserve"> PAGEREF _Toc208322629 \h </w:instrText>
            </w:r>
            <w:r w:rsidR="002A4981">
              <w:rPr>
                <w:noProof/>
                <w:webHidden/>
              </w:rPr>
            </w:r>
            <w:r w:rsidR="002A4981">
              <w:rPr>
                <w:noProof/>
                <w:webHidden/>
              </w:rPr>
              <w:fldChar w:fldCharType="separate"/>
            </w:r>
            <w:r w:rsidR="002A4981">
              <w:rPr>
                <w:noProof/>
                <w:webHidden/>
              </w:rPr>
              <w:t>3</w:t>
            </w:r>
            <w:r w:rsidR="002A4981">
              <w:rPr>
                <w:noProof/>
                <w:webHidden/>
              </w:rPr>
              <w:fldChar w:fldCharType="end"/>
            </w:r>
          </w:hyperlink>
        </w:p>
        <w:p w14:paraId="1F4C0FA6" w14:textId="75CEA0B0" w:rsidR="002A4981" w:rsidRDefault="002A4981">
          <w:pPr>
            <w:pStyle w:val="TOC1"/>
            <w:rPr>
              <w:rFonts w:eastAsiaTheme="minorEastAsia"/>
              <w:b w:val="0"/>
              <w:noProof/>
              <w:sz w:val="24"/>
              <w:lang w:eastAsia="en-AU"/>
            </w:rPr>
          </w:pPr>
          <w:hyperlink w:anchor="_Toc208322630" w:history="1">
            <w:r w:rsidRPr="00F9316E">
              <w:rPr>
                <w:rStyle w:val="Hyperlink"/>
                <w:noProof/>
              </w:rPr>
              <w:t>Policy context</w:t>
            </w:r>
            <w:r>
              <w:rPr>
                <w:noProof/>
                <w:webHidden/>
              </w:rPr>
              <w:tab/>
            </w:r>
            <w:r>
              <w:rPr>
                <w:noProof/>
                <w:webHidden/>
              </w:rPr>
              <w:fldChar w:fldCharType="begin"/>
            </w:r>
            <w:r>
              <w:rPr>
                <w:noProof/>
                <w:webHidden/>
              </w:rPr>
              <w:instrText xml:space="preserve"> PAGEREF _Toc208322630 \h </w:instrText>
            </w:r>
            <w:r>
              <w:rPr>
                <w:noProof/>
                <w:webHidden/>
              </w:rPr>
            </w:r>
            <w:r>
              <w:rPr>
                <w:noProof/>
                <w:webHidden/>
              </w:rPr>
              <w:fldChar w:fldCharType="separate"/>
            </w:r>
            <w:r>
              <w:rPr>
                <w:noProof/>
                <w:webHidden/>
              </w:rPr>
              <w:t>4</w:t>
            </w:r>
            <w:r>
              <w:rPr>
                <w:noProof/>
                <w:webHidden/>
              </w:rPr>
              <w:fldChar w:fldCharType="end"/>
            </w:r>
          </w:hyperlink>
        </w:p>
        <w:p w14:paraId="440120EE" w14:textId="64C696D4" w:rsidR="002A4981" w:rsidRDefault="002A4981">
          <w:pPr>
            <w:pStyle w:val="TOC1"/>
            <w:rPr>
              <w:rFonts w:eastAsiaTheme="minorEastAsia"/>
              <w:b w:val="0"/>
              <w:noProof/>
              <w:sz w:val="24"/>
              <w:lang w:eastAsia="en-AU"/>
            </w:rPr>
          </w:pPr>
          <w:hyperlink w:anchor="_Toc208322631" w:history="1">
            <w:r w:rsidRPr="00F9316E">
              <w:rPr>
                <w:rStyle w:val="Hyperlink"/>
                <w:noProof/>
              </w:rPr>
              <w:t>Trial aim</w:t>
            </w:r>
            <w:r>
              <w:rPr>
                <w:noProof/>
                <w:webHidden/>
              </w:rPr>
              <w:tab/>
            </w:r>
            <w:r>
              <w:rPr>
                <w:noProof/>
                <w:webHidden/>
              </w:rPr>
              <w:fldChar w:fldCharType="begin"/>
            </w:r>
            <w:r>
              <w:rPr>
                <w:noProof/>
                <w:webHidden/>
              </w:rPr>
              <w:instrText xml:space="preserve"> PAGEREF _Toc208322631 \h </w:instrText>
            </w:r>
            <w:r>
              <w:rPr>
                <w:noProof/>
                <w:webHidden/>
              </w:rPr>
            </w:r>
            <w:r>
              <w:rPr>
                <w:noProof/>
                <w:webHidden/>
              </w:rPr>
              <w:fldChar w:fldCharType="separate"/>
            </w:r>
            <w:r>
              <w:rPr>
                <w:noProof/>
                <w:webHidden/>
              </w:rPr>
              <w:t>4</w:t>
            </w:r>
            <w:r>
              <w:rPr>
                <w:noProof/>
                <w:webHidden/>
              </w:rPr>
              <w:fldChar w:fldCharType="end"/>
            </w:r>
          </w:hyperlink>
        </w:p>
        <w:p w14:paraId="7A592B31" w14:textId="420F274C" w:rsidR="002A4981" w:rsidRDefault="002A4981">
          <w:pPr>
            <w:pStyle w:val="TOC1"/>
            <w:rPr>
              <w:rFonts w:eastAsiaTheme="minorEastAsia"/>
              <w:b w:val="0"/>
              <w:noProof/>
              <w:sz w:val="24"/>
              <w:lang w:eastAsia="en-AU"/>
            </w:rPr>
          </w:pPr>
          <w:hyperlink w:anchor="_Toc208322632" w:history="1">
            <w:r w:rsidRPr="00F9316E">
              <w:rPr>
                <w:rStyle w:val="Hyperlink"/>
                <w:noProof/>
              </w:rPr>
              <w:t>Intervention Type: Two-arm randomised controlled trial</w:t>
            </w:r>
            <w:r>
              <w:rPr>
                <w:noProof/>
                <w:webHidden/>
              </w:rPr>
              <w:tab/>
            </w:r>
            <w:r>
              <w:rPr>
                <w:noProof/>
                <w:webHidden/>
              </w:rPr>
              <w:fldChar w:fldCharType="begin"/>
            </w:r>
            <w:r>
              <w:rPr>
                <w:noProof/>
                <w:webHidden/>
              </w:rPr>
              <w:instrText xml:space="preserve"> PAGEREF _Toc208322632 \h </w:instrText>
            </w:r>
            <w:r>
              <w:rPr>
                <w:noProof/>
                <w:webHidden/>
              </w:rPr>
            </w:r>
            <w:r>
              <w:rPr>
                <w:noProof/>
                <w:webHidden/>
              </w:rPr>
              <w:fldChar w:fldCharType="separate"/>
            </w:r>
            <w:r>
              <w:rPr>
                <w:noProof/>
                <w:webHidden/>
              </w:rPr>
              <w:t>5</w:t>
            </w:r>
            <w:r>
              <w:rPr>
                <w:noProof/>
                <w:webHidden/>
              </w:rPr>
              <w:fldChar w:fldCharType="end"/>
            </w:r>
          </w:hyperlink>
        </w:p>
        <w:p w14:paraId="49DAE3BF" w14:textId="0C9AE275" w:rsidR="002A4981" w:rsidRDefault="002A4981">
          <w:pPr>
            <w:pStyle w:val="TOC2"/>
            <w:rPr>
              <w:rFonts w:eastAsiaTheme="minorEastAsia"/>
              <w:noProof/>
              <w:sz w:val="24"/>
              <w:lang w:eastAsia="en-AU"/>
            </w:rPr>
          </w:pPr>
          <w:hyperlink w:anchor="_Toc208322633" w:history="1">
            <w:r w:rsidRPr="00F9316E">
              <w:rPr>
                <w:rStyle w:val="Hyperlink"/>
                <w:noProof/>
              </w:rPr>
              <w:t>Determination of Responsible Person</w:t>
            </w:r>
            <w:r>
              <w:rPr>
                <w:noProof/>
                <w:webHidden/>
              </w:rPr>
              <w:tab/>
            </w:r>
            <w:r>
              <w:rPr>
                <w:noProof/>
                <w:webHidden/>
              </w:rPr>
              <w:fldChar w:fldCharType="begin"/>
            </w:r>
            <w:r>
              <w:rPr>
                <w:noProof/>
                <w:webHidden/>
              </w:rPr>
              <w:instrText xml:space="preserve"> PAGEREF _Toc208322633 \h </w:instrText>
            </w:r>
            <w:r>
              <w:rPr>
                <w:noProof/>
                <w:webHidden/>
              </w:rPr>
            </w:r>
            <w:r>
              <w:rPr>
                <w:noProof/>
                <w:webHidden/>
              </w:rPr>
              <w:fldChar w:fldCharType="separate"/>
            </w:r>
            <w:r>
              <w:rPr>
                <w:noProof/>
                <w:webHidden/>
              </w:rPr>
              <w:t>5</w:t>
            </w:r>
            <w:r>
              <w:rPr>
                <w:noProof/>
                <w:webHidden/>
              </w:rPr>
              <w:fldChar w:fldCharType="end"/>
            </w:r>
          </w:hyperlink>
        </w:p>
        <w:p w14:paraId="6D5FF46B" w14:textId="669BB662" w:rsidR="002A4981" w:rsidRDefault="002A4981">
          <w:pPr>
            <w:pStyle w:val="TOC1"/>
            <w:rPr>
              <w:rFonts w:eastAsiaTheme="minorEastAsia"/>
              <w:b w:val="0"/>
              <w:noProof/>
              <w:sz w:val="24"/>
              <w:lang w:eastAsia="en-AU"/>
            </w:rPr>
          </w:pPr>
          <w:hyperlink w:anchor="_Toc208322634" w:history="1">
            <w:r w:rsidRPr="00F9316E">
              <w:rPr>
                <w:rStyle w:val="Hyperlink"/>
                <w:noProof/>
              </w:rPr>
              <w:t>Outcome measures</w:t>
            </w:r>
            <w:r>
              <w:rPr>
                <w:noProof/>
                <w:webHidden/>
              </w:rPr>
              <w:tab/>
            </w:r>
            <w:r>
              <w:rPr>
                <w:noProof/>
                <w:webHidden/>
              </w:rPr>
              <w:fldChar w:fldCharType="begin"/>
            </w:r>
            <w:r>
              <w:rPr>
                <w:noProof/>
                <w:webHidden/>
              </w:rPr>
              <w:instrText xml:space="preserve"> PAGEREF _Toc208322634 \h </w:instrText>
            </w:r>
            <w:r>
              <w:rPr>
                <w:noProof/>
                <w:webHidden/>
              </w:rPr>
            </w:r>
            <w:r>
              <w:rPr>
                <w:noProof/>
                <w:webHidden/>
              </w:rPr>
              <w:fldChar w:fldCharType="separate"/>
            </w:r>
            <w:r>
              <w:rPr>
                <w:noProof/>
                <w:webHidden/>
              </w:rPr>
              <w:t>6</w:t>
            </w:r>
            <w:r>
              <w:rPr>
                <w:noProof/>
                <w:webHidden/>
              </w:rPr>
              <w:fldChar w:fldCharType="end"/>
            </w:r>
          </w:hyperlink>
        </w:p>
        <w:p w14:paraId="1530AB81" w14:textId="0726D6D4" w:rsidR="002A4981" w:rsidRDefault="002A4981">
          <w:pPr>
            <w:pStyle w:val="TOC2"/>
            <w:rPr>
              <w:rFonts w:eastAsiaTheme="minorEastAsia"/>
              <w:noProof/>
              <w:sz w:val="24"/>
              <w:lang w:eastAsia="en-AU"/>
            </w:rPr>
          </w:pPr>
          <w:hyperlink w:anchor="_Toc208322635" w:history="1">
            <w:r w:rsidRPr="00F9316E">
              <w:rPr>
                <w:rStyle w:val="Hyperlink"/>
                <w:noProof/>
              </w:rPr>
              <w:t>Primary outcome</w:t>
            </w:r>
            <w:r>
              <w:rPr>
                <w:noProof/>
                <w:webHidden/>
              </w:rPr>
              <w:tab/>
            </w:r>
            <w:r>
              <w:rPr>
                <w:noProof/>
                <w:webHidden/>
              </w:rPr>
              <w:fldChar w:fldCharType="begin"/>
            </w:r>
            <w:r>
              <w:rPr>
                <w:noProof/>
                <w:webHidden/>
              </w:rPr>
              <w:instrText xml:space="preserve"> PAGEREF _Toc208322635 \h </w:instrText>
            </w:r>
            <w:r>
              <w:rPr>
                <w:noProof/>
                <w:webHidden/>
              </w:rPr>
            </w:r>
            <w:r>
              <w:rPr>
                <w:noProof/>
                <w:webHidden/>
              </w:rPr>
              <w:fldChar w:fldCharType="separate"/>
            </w:r>
            <w:r>
              <w:rPr>
                <w:noProof/>
                <w:webHidden/>
              </w:rPr>
              <w:t>6</w:t>
            </w:r>
            <w:r>
              <w:rPr>
                <w:noProof/>
                <w:webHidden/>
              </w:rPr>
              <w:fldChar w:fldCharType="end"/>
            </w:r>
          </w:hyperlink>
        </w:p>
        <w:p w14:paraId="07302672" w14:textId="3396585E" w:rsidR="002A4981" w:rsidRDefault="002A4981">
          <w:pPr>
            <w:pStyle w:val="TOC2"/>
            <w:rPr>
              <w:rFonts w:eastAsiaTheme="minorEastAsia"/>
              <w:noProof/>
              <w:sz w:val="24"/>
              <w:lang w:eastAsia="en-AU"/>
            </w:rPr>
          </w:pPr>
          <w:hyperlink w:anchor="_Toc208322636" w:history="1">
            <w:r w:rsidRPr="00F9316E">
              <w:rPr>
                <w:rStyle w:val="Hyperlink"/>
                <w:noProof/>
              </w:rPr>
              <w:t>Secondary outcome</w:t>
            </w:r>
            <w:r>
              <w:rPr>
                <w:noProof/>
                <w:webHidden/>
              </w:rPr>
              <w:tab/>
            </w:r>
            <w:r>
              <w:rPr>
                <w:noProof/>
                <w:webHidden/>
              </w:rPr>
              <w:fldChar w:fldCharType="begin"/>
            </w:r>
            <w:r>
              <w:rPr>
                <w:noProof/>
                <w:webHidden/>
              </w:rPr>
              <w:instrText xml:space="preserve"> PAGEREF _Toc208322636 \h </w:instrText>
            </w:r>
            <w:r>
              <w:rPr>
                <w:noProof/>
                <w:webHidden/>
              </w:rPr>
            </w:r>
            <w:r>
              <w:rPr>
                <w:noProof/>
                <w:webHidden/>
              </w:rPr>
              <w:fldChar w:fldCharType="separate"/>
            </w:r>
            <w:r>
              <w:rPr>
                <w:noProof/>
                <w:webHidden/>
              </w:rPr>
              <w:t>6</w:t>
            </w:r>
            <w:r>
              <w:rPr>
                <w:noProof/>
                <w:webHidden/>
              </w:rPr>
              <w:fldChar w:fldCharType="end"/>
            </w:r>
          </w:hyperlink>
        </w:p>
        <w:p w14:paraId="5D3F87D4" w14:textId="1E5FFCB8" w:rsidR="002A4981" w:rsidRDefault="002A4981">
          <w:pPr>
            <w:pStyle w:val="TOC1"/>
            <w:rPr>
              <w:rFonts w:eastAsiaTheme="minorEastAsia"/>
              <w:b w:val="0"/>
              <w:noProof/>
              <w:sz w:val="24"/>
              <w:lang w:eastAsia="en-AU"/>
            </w:rPr>
          </w:pPr>
          <w:hyperlink w:anchor="_Toc208322637" w:history="1">
            <w:r w:rsidRPr="00F9316E">
              <w:rPr>
                <w:rStyle w:val="Hyperlink"/>
                <w:noProof/>
              </w:rPr>
              <w:t>Population of interest and sample collection</w:t>
            </w:r>
            <w:r>
              <w:rPr>
                <w:noProof/>
                <w:webHidden/>
              </w:rPr>
              <w:tab/>
            </w:r>
            <w:r>
              <w:rPr>
                <w:noProof/>
                <w:webHidden/>
              </w:rPr>
              <w:fldChar w:fldCharType="begin"/>
            </w:r>
            <w:r>
              <w:rPr>
                <w:noProof/>
                <w:webHidden/>
              </w:rPr>
              <w:instrText xml:space="preserve"> PAGEREF _Toc208322637 \h </w:instrText>
            </w:r>
            <w:r>
              <w:rPr>
                <w:noProof/>
                <w:webHidden/>
              </w:rPr>
            </w:r>
            <w:r>
              <w:rPr>
                <w:noProof/>
                <w:webHidden/>
              </w:rPr>
              <w:fldChar w:fldCharType="separate"/>
            </w:r>
            <w:r>
              <w:rPr>
                <w:noProof/>
                <w:webHidden/>
              </w:rPr>
              <w:t>7</w:t>
            </w:r>
            <w:r>
              <w:rPr>
                <w:noProof/>
                <w:webHidden/>
              </w:rPr>
              <w:fldChar w:fldCharType="end"/>
            </w:r>
          </w:hyperlink>
        </w:p>
        <w:p w14:paraId="694AB47E" w14:textId="3228323C" w:rsidR="002A4981" w:rsidRDefault="002A4981">
          <w:pPr>
            <w:pStyle w:val="TOC1"/>
            <w:rPr>
              <w:rFonts w:eastAsiaTheme="minorEastAsia"/>
              <w:b w:val="0"/>
              <w:noProof/>
              <w:sz w:val="24"/>
              <w:lang w:eastAsia="en-AU"/>
            </w:rPr>
          </w:pPr>
          <w:hyperlink w:anchor="_Toc208322638" w:history="1">
            <w:r w:rsidRPr="00F9316E">
              <w:rPr>
                <w:rStyle w:val="Hyperlink"/>
                <w:noProof/>
              </w:rPr>
              <w:t>Sample size calculations</w:t>
            </w:r>
            <w:r>
              <w:rPr>
                <w:noProof/>
                <w:webHidden/>
              </w:rPr>
              <w:tab/>
            </w:r>
            <w:r>
              <w:rPr>
                <w:noProof/>
                <w:webHidden/>
              </w:rPr>
              <w:fldChar w:fldCharType="begin"/>
            </w:r>
            <w:r>
              <w:rPr>
                <w:noProof/>
                <w:webHidden/>
              </w:rPr>
              <w:instrText xml:space="preserve"> PAGEREF _Toc208322638 \h </w:instrText>
            </w:r>
            <w:r>
              <w:rPr>
                <w:noProof/>
                <w:webHidden/>
              </w:rPr>
            </w:r>
            <w:r>
              <w:rPr>
                <w:noProof/>
                <w:webHidden/>
              </w:rPr>
              <w:fldChar w:fldCharType="separate"/>
            </w:r>
            <w:r>
              <w:rPr>
                <w:noProof/>
                <w:webHidden/>
              </w:rPr>
              <w:t>7</w:t>
            </w:r>
            <w:r>
              <w:rPr>
                <w:noProof/>
                <w:webHidden/>
              </w:rPr>
              <w:fldChar w:fldCharType="end"/>
            </w:r>
          </w:hyperlink>
        </w:p>
        <w:p w14:paraId="71FB35DD" w14:textId="48A65CA4" w:rsidR="002A4981" w:rsidRDefault="002A4981">
          <w:pPr>
            <w:pStyle w:val="TOC1"/>
            <w:rPr>
              <w:rFonts w:eastAsiaTheme="minorEastAsia"/>
              <w:b w:val="0"/>
              <w:noProof/>
              <w:sz w:val="24"/>
              <w:lang w:eastAsia="en-AU"/>
            </w:rPr>
          </w:pPr>
          <w:hyperlink w:anchor="_Toc208322639" w:history="1">
            <w:r w:rsidRPr="00F9316E">
              <w:rPr>
                <w:rStyle w:val="Hyperlink"/>
                <w:noProof/>
              </w:rPr>
              <w:t>Hypotheses</w:t>
            </w:r>
            <w:r>
              <w:rPr>
                <w:noProof/>
                <w:webHidden/>
              </w:rPr>
              <w:tab/>
            </w:r>
            <w:r>
              <w:rPr>
                <w:noProof/>
                <w:webHidden/>
              </w:rPr>
              <w:fldChar w:fldCharType="begin"/>
            </w:r>
            <w:r>
              <w:rPr>
                <w:noProof/>
                <w:webHidden/>
              </w:rPr>
              <w:instrText xml:space="preserve"> PAGEREF _Toc208322639 \h </w:instrText>
            </w:r>
            <w:r>
              <w:rPr>
                <w:noProof/>
                <w:webHidden/>
              </w:rPr>
            </w:r>
            <w:r>
              <w:rPr>
                <w:noProof/>
                <w:webHidden/>
              </w:rPr>
              <w:fldChar w:fldCharType="separate"/>
            </w:r>
            <w:r>
              <w:rPr>
                <w:noProof/>
                <w:webHidden/>
              </w:rPr>
              <w:t>8</w:t>
            </w:r>
            <w:r>
              <w:rPr>
                <w:noProof/>
                <w:webHidden/>
              </w:rPr>
              <w:fldChar w:fldCharType="end"/>
            </w:r>
          </w:hyperlink>
        </w:p>
        <w:p w14:paraId="4D4E554C" w14:textId="13D86AD2" w:rsidR="002A4981" w:rsidRDefault="002A4981">
          <w:pPr>
            <w:pStyle w:val="TOC1"/>
            <w:rPr>
              <w:rFonts w:eastAsiaTheme="minorEastAsia"/>
              <w:b w:val="0"/>
              <w:noProof/>
              <w:sz w:val="24"/>
              <w:lang w:eastAsia="en-AU"/>
            </w:rPr>
          </w:pPr>
          <w:hyperlink w:anchor="_Toc208322640" w:history="1">
            <w:r w:rsidRPr="00F9316E">
              <w:rPr>
                <w:rStyle w:val="Hyperlink"/>
                <w:noProof/>
              </w:rPr>
              <w:t>Randomisation</w:t>
            </w:r>
            <w:r>
              <w:rPr>
                <w:noProof/>
                <w:webHidden/>
              </w:rPr>
              <w:tab/>
            </w:r>
            <w:r>
              <w:rPr>
                <w:noProof/>
                <w:webHidden/>
              </w:rPr>
              <w:fldChar w:fldCharType="begin"/>
            </w:r>
            <w:r>
              <w:rPr>
                <w:noProof/>
                <w:webHidden/>
              </w:rPr>
              <w:instrText xml:space="preserve"> PAGEREF _Toc208322640 \h </w:instrText>
            </w:r>
            <w:r>
              <w:rPr>
                <w:noProof/>
                <w:webHidden/>
              </w:rPr>
            </w:r>
            <w:r>
              <w:rPr>
                <w:noProof/>
                <w:webHidden/>
              </w:rPr>
              <w:fldChar w:fldCharType="separate"/>
            </w:r>
            <w:r>
              <w:rPr>
                <w:noProof/>
                <w:webHidden/>
              </w:rPr>
              <w:t>8</w:t>
            </w:r>
            <w:r>
              <w:rPr>
                <w:noProof/>
                <w:webHidden/>
              </w:rPr>
              <w:fldChar w:fldCharType="end"/>
            </w:r>
          </w:hyperlink>
        </w:p>
        <w:p w14:paraId="512B21BF" w14:textId="3292F47C" w:rsidR="002A4981" w:rsidRDefault="002A4981">
          <w:pPr>
            <w:pStyle w:val="TOC1"/>
            <w:rPr>
              <w:rFonts w:eastAsiaTheme="minorEastAsia"/>
              <w:b w:val="0"/>
              <w:noProof/>
              <w:sz w:val="24"/>
              <w:lang w:eastAsia="en-AU"/>
            </w:rPr>
          </w:pPr>
          <w:hyperlink w:anchor="_Toc208322641" w:history="1">
            <w:r w:rsidRPr="00F9316E">
              <w:rPr>
                <w:rStyle w:val="Hyperlink"/>
                <w:noProof/>
              </w:rPr>
              <w:t>Method of analysis</w:t>
            </w:r>
            <w:r>
              <w:rPr>
                <w:noProof/>
                <w:webHidden/>
              </w:rPr>
              <w:tab/>
            </w:r>
            <w:r>
              <w:rPr>
                <w:noProof/>
                <w:webHidden/>
              </w:rPr>
              <w:fldChar w:fldCharType="begin"/>
            </w:r>
            <w:r>
              <w:rPr>
                <w:noProof/>
                <w:webHidden/>
              </w:rPr>
              <w:instrText xml:space="preserve"> PAGEREF _Toc208322641 \h </w:instrText>
            </w:r>
            <w:r>
              <w:rPr>
                <w:noProof/>
                <w:webHidden/>
              </w:rPr>
            </w:r>
            <w:r>
              <w:rPr>
                <w:noProof/>
                <w:webHidden/>
              </w:rPr>
              <w:fldChar w:fldCharType="separate"/>
            </w:r>
            <w:r>
              <w:rPr>
                <w:noProof/>
                <w:webHidden/>
              </w:rPr>
              <w:t>9</w:t>
            </w:r>
            <w:r>
              <w:rPr>
                <w:noProof/>
                <w:webHidden/>
              </w:rPr>
              <w:fldChar w:fldCharType="end"/>
            </w:r>
          </w:hyperlink>
        </w:p>
        <w:p w14:paraId="7EBA6DC1" w14:textId="1E044BF8" w:rsidR="002A4981" w:rsidRDefault="002A4981">
          <w:pPr>
            <w:pStyle w:val="TOC2"/>
            <w:rPr>
              <w:rFonts w:eastAsiaTheme="minorEastAsia"/>
              <w:noProof/>
              <w:sz w:val="24"/>
              <w:lang w:eastAsia="en-AU"/>
            </w:rPr>
          </w:pPr>
          <w:hyperlink w:anchor="_Toc208322642" w:history="1">
            <w:r w:rsidRPr="00F9316E">
              <w:rPr>
                <w:rStyle w:val="Hyperlink"/>
                <w:noProof/>
              </w:rPr>
              <w:t>Primary outcome analysis</w:t>
            </w:r>
            <w:r>
              <w:rPr>
                <w:noProof/>
                <w:webHidden/>
              </w:rPr>
              <w:tab/>
            </w:r>
            <w:r>
              <w:rPr>
                <w:noProof/>
                <w:webHidden/>
              </w:rPr>
              <w:fldChar w:fldCharType="begin"/>
            </w:r>
            <w:r>
              <w:rPr>
                <w:noProof/>
                <w:webHidden/>
              </w:rPr>
              <w:instrText xml:space="preserve"> PAGEREF _Toc208322642 \h </w:instrText>
            </w:r>
            <w:r>
              <w:rPr>
                <w:noProof/>
                <w:webHidden/>
              </w:rPr>
            </w:r>
            <w:r>
              <w:rPr>
                <w:noProof/>
                <w:webHidden/>
              </w:rPr>
              <w:fldChar w:fldCharType="separate"/>
            </w:r>
            <w:r>
              <w:rPr>
                <w:noProof/>
                <w:webHidden/>
              </w:rPr>
              <w:t>9</w:t>
            </w:r>
            <w:r>
              <w:rPr>
                <w:noProof/>
                <w:webHidden/>
              </w:rPr>
              <w:fldChar w:fldCharType="end"/>
            </w:r>
          </w:hyperlink>
        </w:p>
        <w:p w14:paraId="51118F5B" w14:textId="67C26BD8" w:rsidR="002A4981" w:rsidRDefault="002A4981">
          <w:pPr>
            <w:pStyle w:val="TOC2"/>
            <w:rPr>
              <w:rFonts w:eastAsiaTheme="minorEastAsia"/>
              <w:noProof/>
              <w:sz w:val="24"/>
              <w:lang w:eastAsia="en-AU"/>
            </w:rPr>
          </w:pPr>
          <w:hyperlink w:anchor="_Toc208322643" w:history="1">
            <w:r w:rsidRPr="00F9316E">
              <w:rPr>
                <w:rStyle w:val="Hyperlink"/>
                <w:noProof/>
              </w:rPr>
              <w:t>Secondary outcome analysis</w:t>
            </w:r>
            <w:r>
              <w:rPr>
                <w:noProof/>
                <w:webHidden/>
              </w:rPr>
              <w:tab/>
            </w:r>
            <w:r>
              <w:rPr>
                <w:noProof/>
                <w:webHidden/>
              </w:rPr>
              <w:fldChar w:fldCharType="begin"/>
            </w:r>
            <w:r>
              <w:rPr>
                <w:noProof/>
                <w:webHidden/>
              </w:rPr>
              <w:instrText xml:space="preserve"> PAGEREF _Toc208322643 \h </w:instrText>
            </w:r>
            <w:r>
              <w:rPr>
                <w:noProof/>
                <w:webHidden/>
              </w:rPr>
            </w:r>
            <w:r>
              <w:rPr>
                <w:noProof/>
                <w:webHidden/>
              </w:rPr>
              <w:fldChar w:fldCharType="separate"/>
            </w:r>
            <w:r>
              <w:rPr>
                <w:noProof/>
                <w:webHidden/>
              </w:rPr>
              <w:t>10</w:t>
            </w:r>
            <w:r>
              <w:rPr>
                <w:noProof/>
                <w:webHidden/>
              </w:rPr>
              <w:fldChar w:fldCharType="end"/>
            </w:r>
          </w:hyperlink>
        </w:p>
        <w:p w14:paraId="29B574D8" w14:textId="43E4BF80" w:rsidR="002A4981" w:rsidRDefault="002A4981">
          <w:pPr>
            <w:pStyle w:val="TOC2"/>
            <w:rPr>
              <w:rFonts w:eastAsiaTheme="minorEastAsia"/>
              <w:noProof/>
              <w:sz w:val="24"/>
              <w:lang w:eastAsia="en-AU"/>
            </w:rPr>
          </w:pPr>
          <w:hyperlink w:anchor="_Toc208322644" w:history="1">
            <w:r w:rsidRPr="00F9316E">
              <w:rPr>
                <w:rStyle w:val="Hyperlink"/>
                <w:noProof/>
              </w:rPr>
              <w:t>Exploratory subgroup analysis</w:t>
            </w:r>
            <w:r>
              <w:rPr>
                <w:noProof/>
                <w:webHidden/>
              </w:rPr>
              <w:tab/>
            </w:r>
            <w:r>
              <w:rPr>
                <w:noProof/>
                <w:webHidden/>
              </w:rPr>
              <w:fldChar w:fldCharType="begin"/>
            </w:r>
            <w:r>
              <w:rPr>
                <w:noProof/>
                <w:webHidden/>
              </w:rPr>
              <w:instrText xml:space="preserve"> PAGEREF _Toc208322644 \h </w:instrText>
            </w:r>
            <w:r>
              <w:rPr>
                <w:noProof/>
                <w:webHidden/>
              </w:rPr>
            </w:r>
            <w:r>
              <w:rPr>
                <w:noProof/>
                <w:webHidden/>
              </w:rPr>
              <w:fldChar w:fldCharType="separate"/>
            </w:r>
            <w:r>
              <w:rPr>
                <w:noProof/>
                <w:webHidden/>
              </w:rPr>
              <w:t>11</w:t>
            </w:r>
            <w:r>
              <w:rPr>
                <w:noProof/>
                <w:webHidden/>
              </w:rPr>
              <w:fldChar w:fldCharType="end"/>
            </w:r>
          </w:hyperlink>
        </w:p>
        <w:p w14:paraId="315053B1" w14:textId="128C0719" w:rsidR="002A4981" w:rsidRDefault="002A4981">
          <w:pPr>
            <w:pStyle w:val="TOC2"/>
            <w:rPr>
              <w:rFonts w:eastAsiaTheme="minorEastAsia"/>
              <w:noProof/>
              <w:sz w:val="24"/>
              <w:lang w:eastAsia="en-AU"/>
            </w:rPr>
          </w:pPr>
          <w:hyperlink w:anchor="_Toc208322645" w:history="1">
            <w:r w:rsidRPr="00F9316E">
              <w:rPr>
                <w:rStyle w:val="Hyperlink"/>
                <w:noProof/>
              </w:rPr>
              <w:t>Additional analysis</w:t>
            </w:r>
            <w:r>
              <w:rPr>
                <w:noProof/>
                <w:webHidden/>
              </w:rPr>
              <w:tab/>
            </w:r>
            <w:r>
              <w:rPr>
                <w:noProof/>
                <w:webHidden/>
              </w:rPr>
              <w:fldChar w:fldCharType="begin"/>
            </w:r>
            <w:r>
              <w:rPr>
                <w:noProof/>
                <w:webHidden/>
              </w:rPr>
              <w:instrText xml:space="preserve"> PAGEREF _Toc208322645 \h </w:instrText>
            </w:r>
            <w:r>
              <w:rPr>
                <w:noProof/>
                <w:webHidden/>
              </w:rPr>
            </w:r>
            <w:r>
              <w:rPr>
                <w:noProof/>
                <w:webHidden/>
              </w:rPr>
              <w:fldChar w:fldCharType="separate"/>
            </w:r>
            <w:r>
              <w:rPr>
                <w:noProof/>
                <w:webHidden/>
              </w:rPr>
              <w:t>13</w:t>
            </w:r>
            <w:r>
              <w:rPr>
                <w:noProof/>
                <w:webHidden/>
              </w:rPr>
              <w:fldChar w:fldCharType="end"/>
            </w:r>
          </w:hyperlink>
        </w:p>
        <w:p w14:paraId="71A7833E" w14:textId="732047B8" w:rsidR="002A4981" w:rsidRDefault="002A4981">
          <w:pPr>
            <w:pStyle w:val="TOC1"/>
            <w:rPr>
              <w:rFonts w:eastAsiaTheme="minorEastAsia"/>
              <w:b w:val="0"/>
              <w:noProof/>
              <w:sz w:val="24"/>
              <w:lang w:eastAsia="en-AU"/>
            </w:rPr>
          </w:pPr>
          <w:hyperlink w:anchor="_Toc208322646" w:history="1">
            <w:r w:rsidRPr="00F9316E">
              <w:rPr>
                <w:rStyle w:val="Hyperlink"/>
                <w:noProof/>
              </w:rPr>
              <w:t>Trial threats</w:t>
            </w:r>
            <w:r>
              <w:rPr>
                <w:noProof/>
                <w:webHidden/>
              </w:rPr>
              <w:tab/>
            </w:r>
            <w:r>
              <w:rPr>
                <w:noProof/>
                <w:webHidden/>
              </w:rPr>
              <w:fldChar w:fldCharType="begin"/>
            </w:r>
            <w:r>
              <w:rPr>
                <w:noProof/>
                <w:webHidden/>
              </w:rPr>
              <w:instrText xml:space="preserve"> PAGEREF _Toc208322646 \h </w:instrText>
            </w:r>
            <w:r>
              <w:rPr>
                <w:noProof/>
                <w:webHidden/>
              </w:rPr>
            </w:r>
            <w:r>
              <w:rPr>
                <w:noProof/>
                <w:webHidden/>
              </w:rPr>
              <w:fldChar w:fldCharType="separate"/>
            </w:r>
            <w:r>
              <w:rPr>
                <w:noProof/>
                <w:webHidden/>
              </w:rPr>
              <w:t>14</w:t>
            </w:r>
            <w:r>
              <w:rPr>
                <w:noProof/>
                <w:webHidden/>
              </w:rPr>
              <w:fldChar w:fldCharType="end"/>
            </w:r>
          </w:hyperlink>
        </w:p>
        <w:p w14:paraId="4262C87A" w14:textId="5290F00E" w:rsidR="002A4981" w:rsidRDefault="002A4981">
          <w:pPr>
            <w:pStyle w:val="TOC2"/>
            <w:rPr>
              <w:rFonts w:eastAsiaTheme="minorEastAsia"/>
              <w:noProof/>
              <w:sz w:val="24"/>
              <w:lang w:eastAsia="en-AU"/>
            </w:rPr>
          </w:pPr>
          <w:hyperlink w:anchor="_Toc208322647" w:history="1">
            <w:r w:rsidRPr="00F9316E">
              <w:rPr>
                <w:rStyle w:val="Hyperlink"/>
                <w:noProof/>
              </w:rPr>
              <w:t>Non-adherence</w:t>
            </w:r>
            <w:r>
              <w:rPr>
                <w:noProof/>
                <w:webHidden/>
              </w:rPr>
              <w:tab/>
            </w:r>
            <w:r>
              <w:rPr>
                <w:noProof/>
                <w:webHidden/>
              </w:rPr>
              <w:fldChar w:fldCharType="begin"/>
            </w:r>
            <w:r>
              <w:rPr>
                <w:noProof/>
                <w:webHidden/>
              </w:rPr>
              <w:instrText xml:space="preserve"> PAGEREF _Toc208322647 \h </w:instrText>
            </w:r>
            <w:r>
              <w:rPr>
                <w:noProof/>
                <w:webHidden/>
              </w:rPr>
            </w:r>
            <w:r>
              <w:rPr>
                <w:noProof/>
                <w:webHidden/>
              </w:rPr>
              <w:fldChar w:fldCharType="separate"/>
            </w:r>
            <w:r>
              <w:rPr>
                <w:noProof/>
                <w:webHidden/>
              </w:rPr>
              <w:t>14</w:t>
            </w:r>
            <w:r>
              <w:rPr>
                <w:noProof/>
                <w:webHidden/>
              </w:rPr>
              <w:fldChar w:fldCharType="end"/>
            </w:r>
          </w:hyperlink>
        </w:p>
        <w:p w14:paraId="62B1B9F9" w14:textId="5F69D3BB" w:rsidR="002A4981" w:rsidRDefault="002A4981">
          <w:pPr>
            <w:pStyle w:val="TOC2"/>
            <w:rPr>
              <w:rFonts w:eastAsiaTheme="minorEastAsia"/>
              <w:noProof/>
              <w:sz w:val="24"/>
              <w:lang w:eastAsia="en-AU"/>
            </w:rPr>
          </w:pPr>
          <w:hyperlink w:anchor="_Toc208322648" w:history="1">
            <w:r w:rsidRPr="00F9316E">
              <w:rPr>
                <w:rStyle w:val="Hyperlink"/>
                <w:noProof/>
              </w:rPr>
              <w:t>Missing data</w:t>
            </w:r>
            <w:r>
              <w:rPr>
                <w:noProof/>
                <w:webHidden/>
              </w:rPr>
              <w:tab/>
            </w:r>
            <w:r>
              <w:rPr>
                <w:noProof/>
                <w:webHidden/>
              </w:rPr>
              <w:fldChar w:fldCharType="begin"/>
            </w:r>
            <w:r>
              <w:rPr>
                <w:noProof/>
                <w:webHidden/>
              </w:rPr>
              <w:instrText xml:space="preserve"> PAGEREF _Toc208322648 \h </w:instrText>
            </w:r>
            <w:r>
              <w:rPr>
                <w:noProof/>
                <w:webHidden/>
              </w:rPr>
            </w:r>
            <w:r>
              <w:rPr>
                <w:noProof/>
                <w:webHidden/>
              </w:rPr>
              <w:fldChar w:fldCharType="separate"/>
            </w:r>
            <w:r>
              <w:rPr>
                <w:noProof/>
                <w:webHidden/>
              </w:rPr>
              <w:t>15</w:t>
            </w:r>
            <w:r>
              <w:rPr>
                <w:noProof/>
                <w:webHidden/>
              </w:rPr>
              <w:fldChar w:fldCharType="end"/>
            </w:r>
          </w:hyperlink>
        </w:p>
        <w:p w14:paraId="57387480" w14:textId="0F816848" w:rsidR="002A4981" w:rsidRDefault="002A4981">
          <w:pPr>
            <w:pStyle w:val="TOC2"/>
            <w:rPr>
              <w:rFonts w:eastAsiaTheme="minorEastAsia"/>
              <w:noProof/>
              <w:sz w:val="24"/>
              <w:lang w:eastAsia="en-AU"/>
            </w:rPr>
          </w:pPr>
          <w:hyperlink w:anchor="_Toc208322649" w:history="1">
            <w:r w:rsidRPr="00F9316E">
              <w:rPr>
                <w:rStyle w:val="Hyperlink"/>
                <w:noProof/>
              </w:rPr>
              <w:t>Spillovers/contamination</w:t>
            </w:r>
            <w:r>
              <w:rPr>
                <w:noProof/>
                <w:webHidden/>
              </w:rPr>
              <w:tab/>
            </w:r>
            <w:r>
              <w:rPr>
                <w:noProof/>
                <w:webHidden/>
              </w:rPr>
              <w:fldChar w:fldCharType="begin"/>
            </w:r>
            <w:r>
              <w:rPr>
                <w:noProof/>
                <w:webHidden/>
              </w:rPr>
              <w:instrText xml:space="preserve"> PAGEREF _Toc208322649 \h </w:instrText>
            </w:r>
            <w:r>
              <w:rPr>
                <w:noProof/>
                <w:webHidden/>
              </w:rPr>
            </w:r>
            <w:r>
              <w:rPr>
                <w:noProof/>
                <w:webHidden/>
              </w:rPr>
              <w:fldChar w:fldCharType="separate"/>
            </w:r>
            <w:r>
              <w:rPr>
                <w:noProof/>
                <w:webHidden/>
              </w:rPr>
              <w:t>15</w:t>
            </w:r>
            <w:r>
              <w:rPr>
                <w:noProof/>
                <w:webHidden/>
              </w:rPr>
              <w:fldChar w:fldCharType="end"/>
            </w:r>
          </w:hyperlink>
        </w:p>
        <w:p w14:paraId="2BDA33AF" w14:textId="6BA6E939" w:rsidR="002A4981" w:rsidRDefault="002A4981">
          <w:pPr>
            <w:pStyle w:val="TOC2"/>
            <w:rPr>
              <w:rFonts w:eastAsiaTheme="minorEastAsia"/>
              <w:noProof/>
              <w:sz w:val="24"/>
              <w:lang w:eastAsia="en-AU"/>
            </w:rPr>
          </w:pPr>
          <w:hyperlink w:anchor="_Toc208322650" w:history="1">
            <w:r w:rsidRPr="00F9316E">
              <w:rPr>
                <w:rStyle w:val="Hyperlink"/>
                <w:noProof/>
              </w:rPr>
              <w:t>Blinding and evaluation-driven effects</w:t>
            </w:r>
            <w:r>
              <w:rPr>
                <w:noProof/>
                <w:webHidden/>
              </w:rPr>
              <w:tab/>
            </w:r>
            <w:r>
              <w:rPr>
                <w:noProof/>
                <w:webHidden/>
              </w:rPr>
              <w:fldChar w:fldCharType="begin"/>
            </w:r>
            <w:r>
              <w:rPr>
                <w:noProof/>
                <w:webHidden/>
              </w:rPr>
              <w:instrText xml:space="preserve"> PAGEREF _Toc208322650 \h </w:instrText>
            </w:r>
            <w:r>
              <w:rPr>
                <w:noProof/>
                <w:webHidden/>
              </w:rPr>
            </w:r>
            <w:r>
              <w:rPr>
                <w:noProof/>
                <w:webHidden/>
              </w:rPr>
              <w:fldChar w:fldCharType="separate"/>
            </w:r>
            <w:r>
              <w:rPr>
                <w:noProof/>
                <w:webHidden/>
              </w:rPr>
              <w:t>16</w:t>
            </w:r>
            <w:r>
              <w:rPr>
                <w:noProof/>
                <w:webHidden/>
              </w:rPr>
              <w:fldChar w:fldCharType="end"/>
            </w:r>
          </w:hyperlink>
        </w:p>
        <w:p w14:paraId="6CFD8A9A" w14:textId="3F79F0CD" w:rsidR="002A4981" w:rsidRDefault="002A4981">
          <w:pPr>
            <w:pStyle w:val="TOC1"/>
            <w:rPr>
              <w:rFonts w:eastAsiaTheme="minorEastAsia"/>
              <w:b w:val="0"/>
              <w:noProof/>
              <w:sz w:val="24"/>
              <w:lang w:eastAsia="en-AU"/>
            </w:rPr>
          </w:pPr>
          <w:hyperlink w:anchor="_Toc208322651" w:history="1">
            <w:r w:rsidRPr="00F9316E">
              <w:rPr>
                <w:rStyle w:val="Hyperlink"/>
                <w:noProof/>
              </w:rPr>
              <w:t>Interpretation of results</w:t>
            </w:r>
            <w:r>
              <w:rPr>
                <w:noProof/>
                <w:webHidden/>
              </w:rPr>
              <w:tab/>
            </w:r>
            <w:r>
              <w:rPr>
                <w:noProof/>
                <w:webHidden/>
              </w:rPr>
              <w:fldChar w:fldCharType="begin"/>
            </w:r>
            <w:r>
              <w:rPr>
                <w:noProof/>
                <w:webHidden/>
              </w:rPr>
              <w:instrText xml:space="preserve"> PAGEREF _Toc208322651 \h </w:instrText>
            </w:r>
            <w:r>
              <w:rPr>
                <w:noProof/>
                <w:webHidden/>
              </w:rPr>
            </w:r>
            <w:r>
              <w:rPr>
                <w:noProof/>
                <w:webHidden/>
              </w:rPr>
              <w:fldChar w:fldCharType="separate"/>
            </w:r>
            <w:r>
              <w:rPr>
                <w:noProof/>
                <w:webHidden/>
              </w:rPr>
              <w:t>16</w:t>
            </w:r>
            <w:r>
              <w:rPr>
                <w:noProof/>
                <w:webHidden/>
              </w:rPr>
              <w:fldChar w:fldCharType="end"/>
            </w:r>
          </w:hyperlink>
        </w:p>
        <w:p w14:paraId="55BB2177" w14:textId="6043D65D" w:rsidR="002A4981" w:rsidRDefault="002A4981">
          <w:pPr>
            <w:pStyle w:val="TOC1"/>
            <w:rPr>
              <w:rFonts w:eastAsiaTheme="minorEastAsia"/>
              <w:b w:val="0"/>
              <w:noProof/>
              <w:sz w:val="24"/>
              <w:lang w:eastAsia="en-AU"/>
            </w:rPr>
          </w:pPr>
          <w:hyperlink w:anchor="_Toc208322652" w:history="1">
            <w:r w:rsidRPr="00F9316E">
              <w:rPr>
                <w:rStyle w:val="Hyperlink"/>
                <w:noProof/>
              </w:rPr>
              <w:t>Pre-analysis plan commitments</w:t>
            </w:r>
            <w:r>
              <w:rPr>
                <w:noProof/>
                <w:webHidden/>
              </w:rPr>
              <w:tab/>
            </w:r>
            <w:r>
              <w:rPr>
                <w:noProof/>
                <w:webHidden/>
              </w:rPr>
              <w:fldChar w:fldCharType="begin"/>
            </w:r>
            <w:r>
              <w:rPr>
                <w:noProof/>
                <w:webHidden/>
              </w:rPr>
              <w:instrText xml:space="preserve"> PAGEREF _Toc208322652 \h </w:instrText>
            </w:r>
            <w:r>
              <w:rPr>
                <w:noProof/>
                <w:webHidden/>
              </w:rPr>
            </w:r>
            <w:r>
              <w:rPr>
                <w:noProof/>
                <w:webHidden/>
              </w:rPr>
              <w:fldChar w:fldCharType="separate"/>
            </w:r>
            <w:r>
              <w:rPr>
                <w:noProof/>
                <w:webHidden/>
              </w:rPr>
              <w:t>16</w:t>
            </w:r>
            <w:r>
              <w:rPr>
                <w:noProof/>
                <w:webHidden/>
              </w:rPr>
              <w:fldChar w:fldCharType="end"/>
            </w:r>
          </w:hyperlink>
        </w:p>
        <w:p w14:paraId="3CE1FDB5" w14:textId="06FFC540" w:rsidR="190DE392" w:rsidRPr="002A4981" w:rsidRDefault="190DE392" w:rsidP="002A4981">
          <w:r>
            <w:fldChar w:fldCharType="end"/>
          </w:r>
        </w:p>
      </w:sdtContent>
    </w:sdt>
    <w:p w14:paraId="469B3BFD" w14:textId="77777777" w:rsidR="00564D52" w:rsidRPr="00572B1B" w:rsidRDefault="00564D52" w:rsidP="00572B1B">
      <w:r w:rsidRPr="00572B1B">
        <w:br w:type="page"/>
      </w:r>
    </w:p>
    <w:p w14:paraId="32FC4128" w14:textId="168C3214" w:rsidR="00735BD8" w:rsidRPr="00DF2296" w:rsidRDefault="00EE1A8B" w:rsidP="00D262CD">
      <w:pPr>
        <w:pStyle w:val="Heading1"/>
        <w:tabs>
          <w:tab w:val="left" w:pos="7680"/>
        </w:tabs>
      </w:pPr>
      <w:bookmarkStart w:id="1" w:name="_Toc208322629"/>
      <w:r w:rsidRPr="00DF2296">
        <w:lastRenderedPageBreak/>
        <w:t>Summary table</w:t>
      </w:r>
      <w:bookmarkEnd w:id="1"/>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4537"/>
        <w:gridCol w:w="4533"/>
      </w:tblGrid>
      <w:tr w:rsidR="00C127FB" w:rsidRPr="00173555" w14:paraId="1E4E3221"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780EE3A2" w14:textId="77777777" w:rsidR="00735BD8" w:rsidRPr="005D6A96" w:rsidRDefault="00735BD8" w:rsidP="005D6A96">
            <w:pPr>
              <w:pStyle w:val="Tableheadertext"/>
              <w:rPr>
                <w:rStyle w:val="Strong"/>
              </w:rPr>
            </w:pPr>
            <w:r w:rsidRPr="005D6A96">
              <w:rPr>
                <w:rStyle w:val="Strong"/>
              </w:rPr>
              <w:t>Project title</w:t>
            </w:r>
          </w:p>
        </w:tc>
        <w:tc>
          <w:tcPr>
            <w:tcW w:w="2499" w:type="pct"/>
            <w:tcBorders>
              <w:top w:val="single" w:sz="2" w:space="0" w:color="000000" w:themeColor="text1"/>
              <w:bottom w:val="single" w:sz="2" w:space="0" w:color="000000" w:themeColor="text1"/>
            </w:tcBorders>
          </w:tcPr>
          <w:p w14:paraId="6E3FBD4D" w14:textId="66E312E6" w:rsidR="00735BD8" w:rsidRPr="005D6A96" w:rsidRDefault="00464AF4" w:rsidP="005D6A96">
            <w:pPr>
              <w:pStyle w:val="TableText"/>
            </w:pPr>
            <w:r w:rsidRPr="005D6A96">
              <w:t>Improving on</w:t>
            </w:r>
            <w:r w:rsidR="00573EF3">
              <w:noBreakHyphen/>
            </w:r>
            <w:r w:rsidRPr="005D6A96">
              <w:t xml:space="preserve">time submission rates for </w:t>
            </w:r>
            <w:r w:rsidR="009F556A" w:rsidRPr="005D6A96">
              <w:t xml:space="preserve">charity </w:t>
            </w:r>
            <w:r w:rsidR="0074479D" w:rsidRPr="005D6A96">
              <w:t>A</w:t>
            </w:r>
            <w:r w:rsidR="009F556A" w:rsidRPr="005D6A96">
              <w:t xml:space="preserve">nnual </w:t>
            </w:r>
            <w:r w:rsidR="0074479D" w:rsidRPr="005D6A96">
              <w:t>I</w:t>
            </w:r>
            <w:r w:rsidR="009F556A" w:rsidRPr="005D6A96">
              <w:t xml:space="preserve">nformation </w:t>
            </w:r>
            <w:r w:rsidR="0074479D" w:rsidRPr="005D6A96">
              <w:t>S</w:t>
            </w:r>
            <w:r w:rsidR="009F556A" w:rsidRPr="005D6A96">
              <w:t xml:space="preserve">tatements </w:t>
            </w:r>
            <w:r w:rsidR="001F0872" w:rsidRPr="005D6A96">
              <w:t xml:space="preserve">(AIS; </w:t>
            </w:r>
            <w:r w:rsidR="00032E2C" w:rsidRPr="005D6A96">
              <w:t xml:space="preserve">financial </w:t>
            </w:r>
            <w:r w:rsidR="0053271D" w:rsidRPr="005D6A96">
              <w:t>year reporting cohort</w:t>
            </w:r>
            <w:r w:rsidRPr="005D6A96">
              <w:t>)</w:t>
            </w:r>
          </w:p>
        </w:tc>
      </w:tr>
      <w:tr w:rsidR="00C127FB" w:rsidRPr="00173555" w14:paraId="0FE06A89"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38E5D8E8" w14:textId="5580D192" w:rsidR="00735BD8" w:rsidRPr="00147B1A" w:rsidRDefault="00735BD8" w:rsidP="005D6A96">
            <w:pPr>
              <w:pStyle w:val="Tableheadertext"/>
              <w:rPr>
                <w:rStyle w:val="Strong"/>
              </w:rPr>
            </w:pPr>
            <w:r w:rsidRPr="00147B1A">
              <w:rPr>
                <w:rStyle w:val="Strong"/>
              </w:rPr>
              <w:t>Partner</w:t>
            </w:r>
          </w:p>
        </w:tc>
        <w:tc>
          <w:tcPr>
            <w:tcW w:w="2499" w:type="pct"/>
            <w:tcBorders>
              <w:top w:val="single" w:sz="2" w:space="0" w:color="000000" w:themeColor="text1"/>
              <w:bottom w:val="single" w:sz="2" w:space="0" w:color="000000" w:themeColor="text1"/>
            </w:tcBorders>
          </w:tcPr>
          <w:p w14:paraId="64BF099B" w14:textId="01E2EF1A" w:rsidR="00735BD8" w:rsidRPr="007718A0" w:rsidRDefault="00810A94" w:rsidP="005D6A96">
            <w:pPr>
              <w:pStyle w:val="TableText"/>
            </w:pPr>
            <w:r>
              <w:t xml:space="preserve">The </w:t>
            </w:r>
            <w:r w:rsidR="008B0032" w:rsidRPr="007718A0">
              <w:t>A</w:t>
            </w:r>
            <w:r w:rsidR="0074479D">
              <w:t xml:space="preserve">ustralian </w:t>
            </w:r>
            <w:r w:rsidR="008B0032" w:rsidRPr="007718A0">
              <w:t>C</w:t>
            </w:r>
            <w:r w:rsidR="0074479D">
              <w:t xml:space="preserve">harities and </w:t>
            </w:r>
            <w:r w:rsidR="008B0032" w:rsidRPr="007718A0">
              <w:t>N</w:t>
            </w:r>
            <w:r w:rsidR="0074479D">
              <w:t>ot</w:t>
            </w:r>
            <w:r w:rsidR="00573EF3">
              <w:noBreakHyphen/>
            </w:r>
            <w:r w:rsidR="0074479D">
              <w:t>for</w:t>
            </w:r>
            <w:r w:rsidR="00573EF3">
              <w:noBreakHyphen/>
            </w:r>
            <w:r w:rsidR="0074479D">
              <w:t xml:space="preserve">profits </w:t>
            </w:r>
            <w:r w:rsidR="008B0032" w:rsidRPr="007718A0">
              <w:t>C</w:t>
            </w:r>
            <w:r w:rsidR="0074479D">
              <w:t>ommission (ACNC)</w:t>
            </w:r>
          </w:p>
        </w:tc>
      </w:tr>
      <w:tr w:rsidR="00C127FB" w:rsidRPr="00173555" w14:paraId="2AAF586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2F63BA79" w14:textId="77777777" w:rsidR="00735BD8" w:rsidRPr="00147B1A" w:rsidRDefault="00735BD8" w:rsidP="005D6A96">
            <w:pPr>
              <w:pStyle w:val="Tableheadertext"/>
              <w:rPr>
                <w:rStyle w:val="Strong"/>
              </w:rPr>
            </w:pPr>
            <w:r w:rsidRPr="00147B1A">
              <w:rPr>
                <w:rStyle w:val="Strong"/>
              </w:rPr>
              <w:t>Evaluator (Institution)</w:t>
            </w:r>
          </w:p>
        </w:tc>
        <w:tc>
          <w:tcPr>
            <w:tcW w:w="2499" w:type="pct"/>
            <w:tcBorders>
              <w:top w:val="single" w:sz="2" w:space="0" w:color="000000" w:themeColor="text1"/>
              <w:bottom w:val="single" w:sz="2" w:space="0" w:color="000000" w:themeColor="text1"/>
            </w:tcBorders>
          </w:tcPr>
          <w:p w14:paraId="1FF59059" w14:textId="17BEFEC6" w:rsidR="00735BD8" w:rsidRPr="007718A0" w:rsidRDefault="000D0BB9" w:rsidP="005D6A96">
            <w:pPr>
              <w:pStyle w:val="TableText"/>
            </w:pPr>
            <w:r>
              <w:t xml:space="preserve">Australian Centre of Evaluation (ACE) and </w:t>
            </w:r>
            <w:r w:rsidR="00A830EB">
              <w:t xml:space="preserve">the </w:t>
            </w:r>
            <w:r>
              <w:t>ACNC</w:t>
            </w:r>
          </w:p>
        </w:tc>
      </w:tr>
      <w:tr w:rsidR="00C127FB" w:rsidRPr="00173555" w14:paraId="24B6C0CB"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23DE8E55" w14:textId="77777777" w:rsidR="00735BD8" w:rsidRPr="00147B1A" w:rsidRDefault="00735BD8" w:rsidP="005D6A96">
            <w:pPr>
              <w:pStyle w:val="Tableheadertext"/>
              <w:rPr>
                <w:rStyle w:val="Strong"/>
              </w:rPr>
            </w:pPr>
            <w:r w:rsidRPr="00147B1A">
              <w:rPr>
                <w:rStyle w:val="Strong"/>
              </w:rPr>
              <w:t>Principal investigator(s)</w:t>
            </w:r>
          </w:p>
        </w:tc>
        <w:tc>
          <w:tcPr>
            <w:tcW w:w="2499" w:type="pct"/>
            <w:tcBorders>
              <w:top w:val="single" w:sz="2" w:space="0" w:color="000000" w:themeColor="text1"/>
              <w:bottom w:val="single" w:sz="2" w:space="0" w:color="000000" w:themeColor="text1"/>
            </w:tcBorders>
          </w:tcPr>
          <w:p w14:paraId="2C07077B" w14:textId="01821DD4" w:rsidR="00735BD8" w:rsidRPr="007718A0" w:rsidRDefault="00BD675C" w:rsidP="005D6A96">
            <w:pPr>
              <w:pStyle w:val="TableText"/>
            </w:pPr>
            <w:r w:rsidRPr="007718A0">
              <w:t>Vy Nguyen, Vera Newman, Tim Liu</w:t>
            </w:r>
          </w:p>
        </w:tc>
      </w:tr>
      <w:tr w:rsidR="00C127FB" w:rsidRPr="00173555" w14:paraId="49EBBA87"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120EEDB0" w14:textId="5169DF48" w:rsidR="00735BD8" w:rsidRPr="00147B1A" w:rsidRDefault="00735BD8" w:rsidP="005D6A96">
            <w:pPr>
              <w:pStyle w:val="Tableheadertext"/>
              <w:rPr>
                <w:rStyle w:val="Strong"/>
              </w:rPr>
            </w:pPr>
            <w:r w:rsidRPr="00147B1A">
              <w:rPr>
                <w:rStyle w:val="Strong"/>
              </w:rPr>
              <w:t xml:space="preserve">Trial design </w:t>
            </w:r>
            <w:r w:rsidR="00C127FB" w:rsidRPr="00147B1A">
              <w:rPr>
                <w:rStyle w:val="Strong"/>
              </w:rPr>
              <w:br/>
            </w:r>
            <w:r w:rsidRPr="00147B1A">
              <w:rPr>
                <w:rStyle w:val="Strong"/>
              </w:rPr>
              <w:t>(including number of arms)</w:t>
            </w:r>
          </w:p>
        </w:tc>
        <w:tc>
          <w:tcPr>
            <w:tcW w:w="2499" w:type="pct"/>
            <w:tcBorders>
              <w:top w:val="single" w:sz="2" w:space="0" w:color="000000" w:themeColor="text1"/>
              <w:bottom w:val="single" w:sz="2" w:space="0" w:color="000000" w:themeColor="text1"/>
            </w:tcBorders>
          </w:tcPr>
          <w:p w14:paraId="61C1266B" w14:textId="3EF79C6F" w:rsidR="00735BD8" w:rsidRPr="007718A0" w:rsidRDefault="00735BD8" w:rsidP="005D6A96">
            <w:pPr>
              <w:pStyle w:val="TableText"/>
            </w:pPr>
            <w:r w:rsidRPr="007718A0">
              <w:t>Two</w:t>
            </w:r>
            <w:r w:rsidR="00573EF3">
              <w:noBreakHyphen/>
            </w:r>
            <w:r w:rsidRPr="007718A0">
              <w:t>arm randomised controlled</w:t>
            </w:r>
            <w:r w:rsidR="00182F5F" w:rsidRPr="007718A0">
              <w:t> </w:t>
            </w:r>
            <w:r w:rsidRPr="007718A0">
              <w:t xml:space="preserve">trial </w:t>
            </w:r>
          </w:p>
        </w:tc>
      </w:tr>
      <w:tr w:rsidR="00C127FB" w14:paraId="47E4E9B8"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735F96D8" w14:textId="77777777" w:rsidR="00735BD8" w:rsidRPr="00147B1A" w:rsidRDefault="00735BD8" w:rsidP="005D6A96">
            <w:pPr>
              <w:pStyle w:val="Tableheadertext"/>
              <w:rPr>
                <w:rStyle w:val="Strong"/>
              </w:rPr>
            </w:pPr>
            <w:r w:rsidRPr="00147B1A">
              <w:rPr>
                <w:rStyle w:val="Strong"/>
              </w:rPr>
              <w:t>Unit of randomisation</w:t>
            </w:r>
          </w:p>
        </w:tc>
        <w:tc>
          <w:tcPr>
            <w:tcW w:w="2499" w:type="pct"/>
            <w:tcBorders>
              <w:top w:val="single" w:sz="2" w:space="0" w:color="000000" w:themeColor="text1"/>
              <w:bottom w:val="single" w:sz="2" w:space="0" w:color="000000" w:themeColor="text1"/>
            </w:tcBorders>
          </w:tcPr>
          <w:p w14:paraId="352AD973" w14:textId="71A65D1D" w:rsidR="00735BD8" w:rsidRPr="007718A0" w:rsidRDefault="008B0032" w:rsidP="005D6A96">
            <w:pPr>
              <w:pStyle w:val="TableText"/>
            </w:pPr>
            <w:r w:rsidRPr="007718A0">
              <w:t>Individual</w:t>
            </w:r>
            <w:r w:rsidR="00587F3A">
              <w:t xml:space="preserve"> charities</w:t>
            </w:r>
          </w:p>
        </w:tc>
      </w:tr>
      <w:tr w:rsidR="00C127FB" w14:paraId="35977E41"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33E702A0" w14:textId="4EB237C8" w:rsidR="00735BD8" w:rsidRPr="00147B1A" w:rsidRDefault="00735BD8" w:rsidP="005D6A96">
            <w:pPr>
              <w:pStyle w:val="Tableheadertext"/>
              <w:rPr>
                <w:rStyle w:val="Strong"/>
              </w:rPr>
            </w:pPr>
            <w:r w:rsidRPr="00147B1A">
              <w:rPr>
                <w:rStyle w:val="Strong"/>
              </w:rPr>
              <w:t xml:space="preserve">Stratification variables </w:t>
            </w:r>
          </w:p>
        </w:tc>
        <w:tc>
          <w:tcPr>
            <w:tcW w:w="2499" w:type="pct"/>
            <w:tcBorders>
              <w:top w:val="single" w:sz="2" w:space="0" w:color="000000" w:themeColor="text1"/>
              <w:bottom w:val="single" w:sz="2" w:space="0" w:color="000000" w:themeColor="text1"/>
            </w:tcBorders>
          </w:tcPr>
          <w:p w14:paraId="405C723E" w14:textId="4BD8DD64" w:rsidR="00735BD8" w:rsidRPr="007D643A" w:rsidRDefault="007D643A" w:rsidP="005D6A96">
            <w:pPr>
              <w:pStyle w:val="TableText"/>
            </w:pPr>
            <w:r w:rsidRPr="00143C5E">
              <w:t>Batch number that email is to be sent in</w:t>
            </w:r>
          </w:p>
        </w:tc>
      </w:tr>
      <w:tr w:rsidR="00C127FB" w:rsidRPr="00173555" w14:paraId="36EB4FD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0FD35344" w14:textId="77777777" w:rsidR="00735BD8" w:rsidRPr="00147B1A" w:rsidRDefault="00735BD8" w:rsidP="005D6A96">
            <w:pPr>
              <w:pStyle w:val="Tableheadertext"/>
              <w:rPr>
                <w:rStyle w:val="Strong"/>
              </w:rPr>
            </w:pPr>
            <w:r w:rsidRPr="00147B1A">
              <w:rPr>
                <w:rStyle w:val="Strong"/>
              </w:rPr>
              <w:t>Target group</w:t>
            </w:r>
          </w:p>
        </w:tc>
        <w:tc>
          <w:tcPr>
            <w:tcW w:w="2499" w:type="pct"/>
            <w:tcBorders>
              <w:top w:val="single" w:sz="2" w:space="0" w:color="000000" w:themeColor="text1"/>
              <w:bottom w:val="single" w:sz="2" w:space="0" w:color="000000" w:themeColor="text1"/>
            </w:tcBorders>
          </w:tcPr>
          <w:p w14:paraId="392E0E67" w14:textId="68BFADB9" w:rsidR="00735BD8" w:rsidRPr="007718A0" w:rsidRDefault="00DD573E" w:rsidP="005D6A96">
            <w:pPr>
              <w:pStyle w:val="TableText"/>
            </w:pPr>
            <w:r w:rsidRPr="007718A0">
              <w:t>Charities reg</w:t>
            </w:r>
            <w:r w:rsidR="0074479D">
              <w:t xml:space="preserve">ulated by the ACNC </w:t>
            </w:r>
            <w:r w:rsidR="001F0872">
              <w:t xml:space="preserve">who have not yet submitted their AIS </w:t>
            </w:r>
          </w:p>
        </w:tc>
      </w:tr>
      <w:tr w:rsidR="00C127FB" w:rsidRPr="00173555" w14:paraId="5418A61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0DA63371" w14:textId="6C81CD83" w:rsidR="00735BD8" w:rsidRPr="00147B1A" w:rsidRDefault="00735BD8" w:rsidP="005D6A96">
            <w:pPr>
              <w:pStyle w:val="Tableheadertext"/>
              <w:rPr>
                <w:rStyle w:val="Strong"/>
              </w:rPr>
            </w:pPr>
            <w:r w:rsidRPr="00147B1A">
              <w:rPr>
                <w:rStyle w:val="Strong"/>
              </w:rPr>
              <w:t>Anticipated number of</w:t>
            </w:r>
            <w:r w:rsidR="00C127FB" w:rsidRPr="00147B1A">
              <w:rPr>
                <w:rStyle w:val="Strong"/>
              </w:rPr>
              <w:t> </w:t>
            </w:r>
            <w:r w:rsidRPr="00147B1A">
              <w:rPr>
                <w:rStyle w:val="Strong"/>
              </w:rPr>
              <w:t>participants</w:t>
            </w:r>
          </w:p>
        </w:tc>
        <w:tc>
          <w:tcPr>
            <w:tcW w:w="2499" w:type="pct"/>
            <w:tcBorders>
              <w:top w:val="single" w:sz="2" w:space="0" w:color="000000" w:themeColor="text1"/>
              <w:bottom w:val="single" w:sz="2" w:space="0" w:color="000000" w:themeColor="text1"/>
            </w:tcBorders>
          </w:tcPr>
          <w:p w14:paraId="3C103045" w14:textId="1859D562" w:rsidR="00735BD8" w:rsidRPr="007718A0" w:rsidRDefault="007461D8" w:rsidP="005D6A96">
            <w:pPr>
              <w:pStyle w:val="TableText"/>
            </w:pPr>
            <w:r>
              <w:t xml:space="preserve">Approximately </w:t>
            </w:r>
            <w:r w:rsidR="00DD573E" w:rsidRPr="007718A0">
              <w:t>11,000</w:t>
            </w:r>
          </w:p>
        </w:tc>
      </w:tr>
      <w:tr w:rsidR="00C127FB" w:rsidRPr="00173555" w14:paraId="1B273E20"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50A80D07" w14:textId="77777777" w:rsidR="00735BD8" w:rsidRPr="00147B1A" w:rsidRDefault="00735BD8" w:rsidP="005D6A96">
            <w:pPr>
              <w:pStyle w:val="Tableheadertext"/>
              <w:rPr>
                <w:rStyle w:val="Strong"/>
              </w:rPr>
            </w:pPr>
            <w:r w:rsidRPr="00147B1A">
              <w:rPr>
                <w:rStyle w:val="Strong"/>
              </w:rPr>
              <w:t>Primary outcome measure</w:t>
            </w:r>
          </w:p>
        </w:tc>
        <w:tc>
          <w:tcPr>
            <w:tcW w:w="2499" w:type="pct"/>
            <w:tcBorders>
              <w:top w:val="single" w:sz="2" w:space="0" w:color="000000" w:themeColor="text1"/>
              <w:bottom w:val="single" w:sz="2" w:space="0" w:color="000000" w:themeColor="text1"/>
            </w:tcBorders>
          </w:tcPr>
          <w:p w14:paraId="5A08B57C" w14:textId="75CCBBB0" w:rsidR="00735BD8" w:rsidRPr="007718A0" w:rsidRDefault="00026161" w:rsidP="005D6A96">
            <w:pPr>
              <w:pStyle w:val="TableText"/>
            </w:pPr>
            <w:r>
              <w:t>Annual Information Statement (</w:t>
            </w:r>
            <w:r w:rsidR="00DD573E" w:rsidRPr="007718A0">
              <w:t>AIS</w:t>
            </w:r>
            <w:r>
              <w:t>)</w:t>
            </w:r>
            <w:r w:rsidR="00DD573E" w:rsidRPr="007718A0">
              <w:t xml:space="preserve"> on</w:t>
            </w:r>
            <w:r w:rsidR="00573EF3">
              <w:noBreakHyphen/>
            </w:r>
            <w:r w:rsidR="004B2335" w:rsidRPr="007718A0">
              <w:t>time</w:t>
            </w:r>
            <w:r w:rsidR="00DD573E" w:rsidRPr="007718A0">
              <w:t xml:space="preserve"> submission</w:t>
            </w:r>
            <w:r w:rsidR="00735BD8" w:rsidRPr="007718A0">
              <w:t xml:space="preserve"> </w:t>
            </w:r>
          </w:p>
        </w:tc>
      </w:tr>
      <w:tr w:rsidR="00C127FB" w:rsidRPr="00173555" w14:paraId="0A170990"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4B871090" w14:textId="77777777" w:rsidR="00735BD8" w:rsidRPr="00147B1A" w:rsidRDefault="00735BD8" w:rsidP="005D6A96">
            <w:pPr>
              <w:pStyle w:val="Tableheadertext"/>
              <w:rPr>
                <w:rStyle w:val="Strong"/>
              </w:rPr>
            </w:pPr>
            <w:r w:rsidRPr="00147B1A">
              <w:rPr>
                <w:rStyle w:val="Strong"/>
              </w:rPr>
              <w:t>Secondary outcome measures</w:t>
            </w:r>
          </w:p>
        </w:tc>
        <w:tc>
          <w:tcPr>
            <w:tcW w:w="2499" w:type="pct"/>
            <w:tcBorders>
              <w:top w:val="single" w:sz="2" w:space="0" w:color="000000" w:themeColor="text1"/>
              <w:bottom w:val="single" w:sz="2" w:space="0" w:color="000000" w:themeColor="text1"/>
            </w:tcBorders>
          </w:tcPr>
          <w:p w14:paraId="17935455" w14:textId="5215A220" w:rsidR="00735BD8" w:rsidRPr="007718A0" w:rsidRDefault="00544A90" w:rsidP="005D6A96">
            <w:pPr>
              <w:pStyle w:val="TableText"/>
            </w:pPr>
            <w:r w:rsidRPr="007718A0">
              <w:t>Time to submission</w:t>
            </w:r>
            <w:r w:rsidR="001F0872">
              <w:t xml:space="preserve"> following rece</w:t>
            </w:r>
            <w:r w:rsidR="009C3A5D">
              <w:t>ipt of reminder email</w:t>
            </w:r>
          </w:p>
        </w:tc>
      </w:tr>
    </w:tbl>
    <w:p w14:paraId="02DC347A" w14:textId="77777777" w:rsidR="00376474" w:rsidRDefault="00376474">
      <w:pPr>
        <w:spacing w:after="120" w:line="440" w:lineRule="atLeast"/>
        <w:rPr>
          <w:rFonts w:asciiTheme="majorHAnsi" w:eastAsiaTheme="majorEastAsia" w:hAnsiTheme="majorHAnsi" w:cstheme="majorBidi"/>
          <w:bCs/>
          <w:color w:val="031A2B" w:themeColor="text2"/>
          <w:sz w:val="40"/>
          <w:szCs w:val="28"/>
        </w:rPr>
      </w:pPr>
      <w:r>
        <w:br w:type="page"/>
      </w:r>
    </w:p>
    <w:p w14:paraId="4C592BDB" w14:textId="1B69F612" w:rsidR="00564D52" w:rsidRDefault="00DF232B" w:rsidP="00595A22">
      <w:pPr>
        <w:pStyle w:val="Heading1"/>
        <w:tabs>
          <w:tab w:val="left" w:pos="7470"/>
        </w:tabs>
      </w:pPr>
      <w:bookmarkStart w:id="2" w:name="_Toc208322630"/>
      <w:r>
        <w:lastRenderedPageBreak/>
        <w:t>Policy context</w:t>
      </w:r>
      <w:bookmarkEnd w:id="2"/>
    </w:p>
    <w:p w14:paraId="153EBE8D" w14:textId="3649663F" w:rsidR="009F556A" w:rsidRDefault="00116EED" w:rsidP="00116EED">
      <w:pPr>
        <w:rPr>
          <w:rFonts w:ascii="Helvetica" w:hAnsi="Helvetica" w:cs="Helvetica"/>
          <w:szCs w:val="20"/>
        </w:rPr>
      </w:pPr>
      <w:bookmarkStart w:id="3" w:name="_Hlk182215346"/>
      <w:r>
        <w:rPr>
          <w:rFonts w:ascii="Helvetica" w:hAnsi="Helvetica" w:cs="Helvetica"/>
          <w:szCs w:val="20"/>
        </w:rPr>
        <w:t>The Australian Charities and Not</w:t>
      </w:r>
      <w:r w:rsidR="00573EF3">
        <w:rPr>
          <w:rFonts w:ascii="Helvetica" w:hAnsi="Helvetica" w:cs="Helvetica"/>
          <w:szCs w:val="20"/>
        </w:rPr>
        <w:noBreakHyphen/>
      </w:r>
      <w:r>
        <w:rPr>
          <w:rFonts w:ascii="Helvetica" w:hAnsi="Helvetica" w:cs="Helvetica"/>
          <w:szCs w:val="20"/>
        </w:rPr>
        <w:t>for</w:t>
      </w:r>
      <w:r w:rsidR="00573EF3">
        <w:rPr>
          <w:rFonts w:ascii="Helvetica" w:hAnsi="Helvetica" w:cs="Helvetica"/>
          <w:szCs w:val="20"/>
        </w:rPr>
        <w:noBreakHyphen/>
      </w:r>
      <w:r>
        <w:rPr>
          <w:rFonts w:ascii="Helvetica" w:hAnsi="Helvetica" w:cs="Helvetica"/>
          <w:szCs w:val="20"/>
        </w:rPr>
        <w:t xml:space="preserve">profits Commission (ACNC) requires </w:t>
      </w:r>
      <w:r w:rsidR="00DC7E6B">
        <w:rPr>
          <w:rFonts w:ascii="Helvetica" w:hAnsi="Helvetica" w:cs="Helvetica"/>
          <w:szCs w:val="20"/>
        </w:rPr>
        <w:t xml:space="preserve">the approximately 55,000 </w:t>
      </w:r>
      <w:r>
        <w:rPr>
          <w:rFonts w:ascii="Helvetica" w:hAnsi="Helvetica" w:cs="Helvetica"/>
          <w:szCs w:val="20"/>
        </w:rPr>
        <w:t xml:space="preserve">registered charities </w:t>
      </w:r>
      <w:r w:rsidR="00DC7E6B">
        <w:rPr>
          <w:rFonts w:ascii="Helvetica" w:hAnsi="Helvetica" w:cs="Helvetica"/>
          <w:szCs w:val="20"/>
        </w:rPr>
        <w:t>across Australia</w:t>
      </w:r>
      <w:r>
        <w:rPr>
          <w:rFonts w:ascii="Helvetica" w:hAnsi="Helvetica" w:cs="Helvetica"/>
          <w:szCs w:val="20"/>
        </w:rPr>
        <w:t xml:space="preserve"> to submit an Annual Information Statement (AIS) each year</w:t>
      </w:r>
      <w:r w:rsidR="009F556A">
        <w:rPr>
          <w:rFonts w:ascii="Helvetica" w:hAnsi="Helvetica" w:cs="Helvetica"/>
          <w:szCs w:val="20"/>
        </w:rPr>
        <w:t>. The AIS is</w:t>
      </w:r>
      <w:r>
        <w:rPr>
          <w:rFonts w:ascii="Helvetica" w:hAnsi="Helvetica" w:cs="Helvetica"/>
          <w:szCs w:val="20"/>
        </w:rPr>
        <w:t xml:space="preserve"> an important tool for maintaining sector transparency and accountability. This online form, covering operational and financial details, is submitted through the ACNC Charity Portal at no cost. </w:t>
      </w:r>
    </w:p>
    <w:p w14:paraId="33D388E3" w14:textId="50671505" w:rsidR="007009A6" w:rsidRDefault="00D72C0D" w:rsidP="00D72C0D">
      <w:pPr>
        <w:rPr>
          <w:rFonts w:ascii="Helvetica" w:hAnsi="Helvetica" w:cs="Helvetica"/>
          <w:szCs w:val="20"/>
        </w:rPr>
      </w:pPr>
      <w:r>
        <w:rPr>
          <w:rFonts w:ascii="Helvetica" w:hAnsi="Helvetica" w:cs="Helvetica"/>
          <w:szCs w:val="20"/>
        </w:rPr>
        <w:t>The AIS is due six months after a charity</w:t>
      </w:r>
      <w:r w:rsidR="00573EF3">
        <w:rPr>
          <w:rFonts w:ascii="Helvetica" w:hAnsi="Helvetica" w:cs="Helvetica"/>
          <w:szCs w:val="20"/>
        </w:rPr>
        <w:t>’</w:t>
      </w:r>
      <w:r>
        <w:rPr>
          <w:rFonts w:ascii="Helvetica" w:hAnsi="Helvetica" w:cs="Helvetica"/>
          <w:szCs w:val="20"/>
        </w:rPr>
        <w:t xml:space="preserve">s reporting period ends. 65% of charities report information to </w:t>
      </w:r>
      <w:r w:rsidR="009D3D93">
        <w:rPr>
          <w:rFonts w:ascii="Helvetica" w:hAnsi="Helvetica" w:cs="Helvetica"/>
          <w:szCs w:val="20"/>
        </w:rPr>
        <w:t xml:space="preserve">the </w:t>
      </w:r>
      <w:r>
        <w:rPr>
          <w:rFonts w:ascii="Helvetica" w:hAnsi="Helvetica" w:cs="Helvetica"/>
          <w:szCs w:val="20"/>
        </w:rPr>
        <w:t>ACNC aligned with the standard financial year. For charities reporting by financial year, the AIS is due on 31</w:t>
      </w:r>
      <w:r w:rsidR="00856CC2">
        <w:rPr>
          <w:rFonts w:ascii="Helvetica" w:hAnsi="Helvetica" w:cs="Helvetica"/>
          <w:szCs w:val="20"/>
        </w:rPr>
        <w:t> </w:t>
      </w:r>
      <w:r>
        <w:rPr>
          <w:rFonts w:ascii="Helvetica" w:hAnsi="Helvetica" w:cs="Helvetica"/>
          <w:szCs w:val="20"/>
        </w:rPr>
        <w:t>December, however, the Commissioner annually defers the due date to 31</w:t>
      </w:r>
      <w:r w:rsidR="00856CC2">
        <w:rPr>
          <w:rFonts w:ascii="Helvetica" w:hAnsi="Helvetica" w:cs="Helvetica"/>
          <w:szCs w:val="20"/>
        </w:rPr>
        <w:t> </w:t>
      </w:r>
      <w:r>
        <w:rPr>
          <w:rFonts w:ascii="Helvetica" w:hAnsi="Helvetica" w:cs="Helvetica"/>
          <w:szCs w:val="20"/>
        </w:rPr>
        <w:t>January to accommodate the Christmas and New Year period.</w:t>
      </w:r>
      <w:r w:rsidDel="00B830EB">
        <w:rPr>
          <w:rFonts w:ascii="Helvetica" w:hAnsi="Helvetica" w:cs="Helvetica"/>
          <w:szCs w:val="20"/>
        </w:rPr>
        <w:t xml:space="preserve"> </w:t>
      </w:r>
    </w:p>
    <w:p w14:paraId="75DC875D" w14:textId="45C1DA0D" w:rsidR="00D72C0D" w:rsidRDefault="00D72C0D" w:rsidP="00D72C0D">
      <w:pPr>
        <w:rPr>
          <w:rFonts w:ascii="Helvetica" w:hAnsi="Helvetica" w:cs="Helvetica"/>
          <w:szCs w:val="20"/>
        </w:rPr>
      </w:pPr>
      <w:r>
        <w:rPr>
          <w:rFonts w:ascii="Helvetica" w:hAnsi="Helvetica" w:cs="Helvetica"/>
          <w:szCs w:val="20"/>
        </w:rPr>
        <w:t>The ACNC currently sends all reminder emails to a charity</w:t>
      </w:r>
      <w:r w:rsidR="00573EF3">
        <w:rPr>
          <w:rFonts w:ascii="Helvetica" w:hAnsi="Helvetica" w:cs="Helvetica"/>
          <w:szCs w:val="20"/>
        </w:rPr>
        <w:t>’</w:t>
      </w:r>
      <w:r>
        <w:rPr>
          <w:rFonts w:ascii="Helvetica" w:hAnsi="Helvetica" w:cs="Helvetica"/>
          <w:szCs w:val="20"/>
        </w:rPr>
        <w:t xml:space="preserve">s </w:t>
      </w:r>
      <w:r w:rsidR="00573EF3">
        <w:rPr>
          <w:rFonts w:ascii="Helvetica" w:hAnsi="Helvetica" w:cs="Helvetica"/>
          <w:szCs w:val="20"/>
        </w:rPr>
        <w:t>‘</w:t>
      </w:r>
      <w:r>
        <w:rPr>
          <w:rFonts w:ascii="Helvetica" w:hAnsi="Helvetica" w:cs="Helvetica"/>
          <w:szCs w:val="20"/>
        </w:rPr>
        <w:t>address</w:t>
      </w:r>
      <w:r w:rsidR="00573EF3">
        <w:rPr>
          <w:rFonts w:ascii="Helvetica" w:hAnsi="Helvetica" w:cs="Helvetica"/>
          <w:szCs w:val="20"/>
        </w:rPr>
        <w:noBreakHyphen/>
      </w:r>
      <w:r>
        <w:rPr>
          <w:rFonts w:ascii="Helvetica" w:hAnsi="Helvetica" w:cs="Helvetica"/>
          <w:szCs w:val="20"/>
        </w:rPr>
        <w:t>for</w:t>
      </w:r>
      <w:r w:rsidR="00573EF3">
        <w:rPr>
          <w:rFonts w:ascii="Helvetica" w:hAnsi="Helvetica" w:cs="Helvetica"/>
          <w:szCs w:val="20"/>
        </w:rPr>
        <w:noBreakHyphen/>
      </w:r>
      <w:r>
        <w:rPr>
          <w:rFonts w:ascii="Helvetica" w:hAnsi="Helvetica" w:cs="Helvetica"/>
          <w:szCs w:val="20"/>
        </w:rPr>
        <w:t>service</w:t>
      </w:r>
      <w:r w:rsidR="00573EF3">
        <w:rPr>
          <w:rFonts w:ascii="Helvetica" w:hAnsi="Helvetica" w:cs="Helvetica"/>
          <w:szCs w:val="20"/>
        </w:rPr>
        <w:t>’</w:t>
      </w:r>
      <w:r>
        <w:rPr>
          <w:rFonts w:ascii="Helvetica" w:hAnsi="Helvetica" w:cs="Helvetica"/>
          <w:szCs w:val="20"/>
        </w:rPr>
        <w:t xml:space="preserve"> (AFS). Despite existing reminder campaigns, including </w:t>
      </w:r>
      <w:r w:rsidR="00596D1B">
        <w:rPr>
          <w:rFonts w:ascii="Helvetica" w:hAnsi="Helvetica" w:cs="Helvetica"/>
          <w:szCs w:val="20"/>
        </w:rPr>
        <w:t>2</w:t>
      </w:r>
      <w:r>
        <w:rPr>
          <w:rFonts w:ascii="Helvetica" w:hAnsi="Helvetica" w:cs="Helvetica"/>
          <w:szCs w:val="20"/>
        </w:rPr>
        <w:t xml:space="preserve"> reminders sent annually (2</w:t>
      </w:r>
      <w:r w:rsidR="00A9611F">
        <w:rPr>
          <w:rFonts w:ascii="Helvetica" w:hAnsi="Helvetica" w:cs="Helvetica"/>
          <w:szCs w:val="20"/>
        </w:rPr>
        <w:t>–</w:t>
      </w:r>
      <w:r>
        <w:rPr>
          <w:rFonts w:ascii="Helvetica" w:hAnsi="Helvetica" w:cs="Helvetica"/>
          <w:szCs w:val="20"/>
        </w:rPr>
        <w:t>3 months and 2</w:t>
      </w:r>
      <w:r w:rsidR="00A9611F">
        <w:rPr>
          <w:rFonts w:ascii="Helvetica" w:hAnsi="Helvetica" w:cs="Helvetica"/>
          <w:szCs w:val="20"/>
        </w:rPr>
        <w:t>–</w:t>
      </w:r>
      <w:r>
        <w:rPr>
          <w:rFonts w:ascii="Helvetica" w:hAnsi="Helvetica" w:cs="Helvetica"/>
          <w:szCs w:val="20"/>
        </w:rPr>
        <w:t>3 weeks before the due date</w:t>
      </w:r>
      <w:r w:rsidR="00F63723">
        <w:rPr>
          <w:rFonts w:ascii="Helvetica" w:hAnsi="Helvetica" w:cs="Helvetica"/>
          <w:szCs w:val="20"/>
        </w:rPr>
        <w:t>)</w:t>
      </w:r>
      <w:r>
        <w:rPr>
          <w:rFonts w:ascii="Helvetica" w:hAnsi="Helvetica" w:cs="Helvetica"/>
          <w:szCs w:val="20"/>
        </w:rPr>
        <w:t xml:space="preserve">, the ACNC struggles to achieve its target of 75% </w:t>
      </w:r>
      <w:r w:rsidRPr="007718A0">
        <w:t>on</w:t>
      </w:r>
      <w:r w:rsidR="00573EF3">
        <w:noBreakHyphen/>
      </w:r>
      <w:r w:rsidR="004B2335" w:rsidRPr="007718A0">
        <w:t>time</w:t>
      </w:r>
      <w:r>
        <w:rPr>
          <w:rFonts w:ascii="Helvetica" w:hAnsi="Helvetica" w:cs="Helvetica"/>
          <w:szCs w:val="20"/>
        </w:rPr>
        <w:t xml:space="preserve"> submissions. </w:t>
      </w:r>
    </w:p>
    <w:p w14:paraId="2841EC61" w14:textId="29725D30" w:rsidR="00D72C0D" w:rsidRDefault="009D3D93" w:rsidP="00D72C0D">
      <w:pPr>
        <w:rPr>
          <w:rFonts w:ascii="Helvetica" w:hAnsi="Helvetica" w:cs="Helvetica"/>
          <w:szCs w:val="20"/>
        </w:rPr>
      </w:pPr>
      <w:r>
        <w:rPr>
          <w:rFonts w:ascii="Helvetica" w:hAnsi="Helvetica" w:cs="Helvetica"/>
          <w:szCs w:val="20"/>
        </w:rPr>
        <w:t xml:space="preserve">The </w:t>
      </w:r>
      <w:r w:rsidR="00D72C0D">
        <w:rPr>
          <w:rFonts w:ascii="Helvetica" w:hAnsi="Helvetica" w:cs="Helvetica"/>
          <w:szCs w:val="20"/>
        </w:rPr>
        <w:t>ACNC</w:t>
      </w:r>
      <w:r w:rsidR="00573EF3">
        <w:rPr>
          <w:rFonts w:ascii="Helvetica" w:hAnsi="Helvetica" w:cs="Helvetica"/>
          <w:szCs w:val="20"/>
        </w:rPr>
        <w:t>’</w:t>
      </w:r>
      <w:r>
        <w:rPr>
          <w:rFonts w:ascii="Helvetica" w:hAnsi="Helvetica" w:cs="Helvetica"/>
          <w:szCs w:val="20"/>
        </w:rPr>
        <w:t>s internal</w:t>
      </w:r>
      <w:r w:rsidR="00D72C0D">
        <w:rPr>
          <w:rFonts w:ascii="Helvetica" w:hAnsi="Helvetica" w:cs="Helvetica"/>
          <w:szCs w:val="20"/>
        </w:rPr>
        <w:t xml:space="preserve"> research indicates that common barriers to on</w:t>
      </w:r>
      <w:r w:rsidR="00573EF3">
        <w:rPr>
          <w:rFonts w:ascii="Helvetica" w:hAnsi="Helvetica" w:cs="Helvetica"/>
          <w:szCs w:val="20"/>
        </w:rPr>
        <w:noBreakHyphen/>
      </w:r>
      <w:r w:rsidR="00D72C0D">
        <w:rPr>
          <w:rFonts w:ascii="Helvetica" w:hAnsi="Helvetica" w:cs="Helvetica"/>
          <w:szCs w:val="20"/>
        </w:rPr>
        <w:t xml:space="preserve">time submission include: </w:t>
      </w:r>
    </w:p>
    <w:p w14:paraId="041606CE" w14:textId="77777777" w:rsidR="00D72C0D" w:rsidRPr="00147B1A" w:rsidRDefault="00D72C0D" w:rsidP="00147B1A">
      <w:pPr>
        <w:pStyle w:val="Bullet1"/>
      </w:pPr>
      <w:r w:rsidRPr="00147B1A">
        <w:t xml:space="preserve">incorrect address for service email address provided, </w:t>
      </w:r>
    </w:p>
    <w:p w14:paraId="5C0FBDD6" w14:textId="77777777" w:rsidR="00D72C0D" w:rsidRPr="00147B1A" w:rsidRDefault="00D72C0D" w:rsidP="00147B1A">
      <w:pPr>
        <w:pStyle w:val="Bullet1"/>
      </w:pPr>
      <w:r w:rsidRPr="00147B1A">
        <w:t xml:space="preserve">portal access difficulties, </w:t>
      </w:r>
    </w:p>
    <w:p w14:paraId="62F2B300" w14:textId="57691784" w:rsidR="00D72C0D" w:rsidRPr="00147B1A" w:rsidRDefault="00D72C0D" w:rsidP="00147B1A">
      <w:pPr>
        <w:pStyle w:val="Bullet1"/>
      </w:pPr>
      <w:r w:rsidRPr="00147B1A">
        <w:t xml:space="preserve">ceased operations unknown to </w:t>
      </w:r>
      <w:r w:rsidR="00A63537" w:rsidRPr="00147B1A">
        <w:t xml:space="preserve">the </w:t>
      </w:r>
      <w:r w:rsidRPr="00147B1A">
        <w:t>ACNC,</w:t>
      </w:r>
    </w:p>
    <w:p w14:paraId="13C9F54C" w14:textId="434B0972" w:rsidR="00D72C0D" w:rsidRPr="00147B1A" w:rsidRDefault="00D72C0D" w:rsidP="00147B1A">
      <w:pPr>
        <w:pStyle w:val="Bullet1"/>
      </w:pPr>
      <w:r w:rsidRPr="00147B1A">
        <w:t>lack of time</w:t>
      </w:r>
      <w:r w:rsidR="00F63723" w:rsidRPr="00147B1A">
        <w:t xml:space="preserve"> or</w:t>
      </w:r>
      <w:r w:rsidRPr="00147B1A">
        <w:t xml:space="preserve"> understand</w:t>
      </w:r>
      <w:r w:rsidR="00F63723" w:rsidRPr="00147B1A">
        <w:t xml:space="preserve">ing </w:t>
      </w:r>
      <w:r w:rsidRPr="00147B1A">
        <w:t>about the AIS</w:t>
      </w:r>
      <w:r w:rsidR="00573EF3">
        <w:t>’</w:t>
      </w:r>
      <w:r w:rsidRPr="00147B1A">
        <w:t xml:space="preserve">s importance. </w:t>
      </w:r>
    </w:p>
    <w:p w14:paraId="45D42679" w14:textId="58169DC2" w:rsidR="00D72C0D" w:rsidRPr="00147B1A" w:rsidRDefault="00D72C0D" w:rsidP="00147B1A">
      <w:r w:rsidRPr="00147B1A">
        <w:t xml:space="preserve">This project aims to test an approach to improve the effectiveness of the second </w:t>
      </w:r>
      <w:r w:rsidR="00F63723" w:rsidRPr="00147B1A">
        <w:t xml:space="preserve">email </w:t>
      </w:r>
      <w:r w:rsidRPr="00147B1A">
        <w:t>reminder</w:t>
      </w:r>
      <w:r w:rsidR="00F63723" w:rsidRPr="00147B1A">
        <w:t>, sent 2</w:t>
      </w:r>
      <w:r w:rsidR="00A9611F">
        <w:t>–</w:t>
      </w:r>
      <w:r w:rsidR="00F63723" w:rsidRPr="00147B1A">
        <w:t>3 weeks before the due date</w:t>
      </w:r>
      <w:r w:rsidRPr="00147B1A">
        <w:t>. Th</w:t>
      </w:r>
      <w:r w:rsidR="00946210" w:rsidRPr="00147B1A">
        <w:t xml:space="preserve">e intervention </w:t>
      </w:r>
      <w:r w:rsidRPr="00147B1A">
        <w:t>includes an email sent to the AFS</w:t>
      </w:r>
      <w:r w:rsidR="00946210" w:rsidRPr="00147B1A">
        <w:t xml:space="preserve"> (business</w:t>
      </w:r>
      <w:r w:rsidR="00573EF3">
        <w:noBreakHyphen/>
      </w:r>
      <w:r w:rsidR="00E6173C" w:rsidRPr="00147B1A">
        <w:t>as</w:t>
      </w:r>
      <w:r w:rsidR="00573EF3">
        <w:noBreakHyphen/>
      </w:r>
      <w:r w:rsidR="00E6173C" w:rsidRPr="00147B1A">
        <w:t>usual</w:t>
      </w:r>
      <w:r w:rsidR="00946210" w:rsidRPr="00147B1A">
        <w:t>)</w:t>
      </w:r>
      <w:r w:rsidRPr="00147B1A">
        <w:t xml:space="preserve"> as well as</w:t>
      </w:r>
      <w:r w:rsidR="00946210" w:rsidRPr="00147B1A">
        <w:t xml:space="preserve"> to</w:t>
      </w:r>
      <w:r w:rsidRPr="00147B1A">
        <w:t xml:space="preserve"> one of the charity</w:t>
      </w:r>
      <w:r w:rsidR="00573EF3">
        <w:t>’</w:t>
      </w:r>
      <w:r w:rsidRPr="00147B1A">
        <w:t>s Responsible Persons</w:t>
      </w:r>
      <w:r w:rsidR="00946210" w:rsidRPr="00147B1A">
        <w:t xml:space="preserve"> (new email). The intervention will be </w:t>
      </w:r>
      <w:r w:rsidRPr="00147B1A">
        <w:t xml:space="preserve">targeted towards charities who have not </w:t>
      </w:r>
      <w:r w:rsidR="00946210" w:rsidRPr="00147B1A">
        <w:t xml:space="preserve">yet </w:t>
      </w:r>
      <w:r w:rsidRPr="00147B1A">
        <w:t>submitted the AIS in response to the first reminder. The proposed</w:t>
      </w:r>
      <w:r w:rsidR="00C077B8">
        <w:t> </w:t>
      </w:r>
      <w:r w:rsidRPr="00147B1A">
        <w:t>research covers some of the barriers outlined above, most notably dot</w:t>
      </w:r>
      <w:r w:rsidR="00C077B8">
        <w:t> </w:t>
      </w:r>
      <w:r w:rsidRPr="00147B1A">
        <w:t>points 1</w:t>
      </w:r>
      <w:r w:rsidR="00C077B8">
        <w:t>‍‍‍ </w:t>
      </w:r>
      <w:r w:rsidRPr="00147B1A">
        <w:t>and</w:t>
      </w:r>
      <w:r w:rsidR="00C077B8">
        <w:t> </w:t>
      </w:r>
      <w:r w:rsidRPr="00147B1A">
        <w:t>4.</w:t>
      </w:r>
    </w:p>
    <w:p w14:paraId="4C2E1DE9" w14:textId="36E8C9D7" w:rsidR="00C077B8" w:rsidRPr="005D6A96" w:rsidRDefault="00D72C0D" w:rsidP="005D6A96">
      <w:r w:rsidRPr="00147B1A">
        <w:t>The intent of this email is to increase on</w:t>
      </w:r>
      <w:r w:rsidR="00573EF3">
        <w:noBreakHyphen/>
      </w:r>
      <w:r w:rsidR="004B2335" w:rsidRPr="00147B1A">
        <w:t xml:space="preserve">time </w:t>
      </w:r>
      <w:r w:rsidRPr="00147B1A">
        <w:t>AIS submissions. The goal is to enhance sector oversight and ensure the Charity Register is accurate and up</w:t>
      </w:r>
      <w:r w:rsidR="00573EF3">
        <w:noBreakHyphen/>
      </w:r>
      <w:r w:rsidRPr="00147B1A">
        <w:t>to</w:t>
      </w:r>
      <w:r w:rsidR="00573EF3">
        <w:noBreakHyphen/>
      </w:r>
      <w:r w:rsidRPr="00147B1A">
        <w:t>date to support accountability and transparency.</w:t>
      </w:r>
      <w:bookmarkEnd w:id="3"/>
    </w:p>
    <w:p w14:paraId="12ACAD7B" w14:textId="30D08FEC" w:rsidR="004D26E9" w:rsidRPr="0027059A" w:rsidRDefault="004D26E9" w:rsidP="0027059A">
      <w:pPr>
        <w:pStyle w:val="Heading1"/>
      </w:pPr>
      <w:bookmarkStart w:id="4" w:name="_Toc208322631"/>
      <w:r w:rsidRPr="0027059A">
        <w:t>Trial aim</w:t>
      </w:r>
      <w:bookmarkEnd w:id="4"/>
    </w:p>
    <w:p w14:paraId="0AA06AA1" w14:textId="395A8DDD" w:rsidR="00DA2B11" w:rsidRPr="00147B1A" w:rsidRDefault="00D26238" w:rsidP="00147B1A">
      <w:bookmarkStart w:id="5" w:name="_Hlk182215225"/>
      <w:r w:rsidRPr="00147B1A">
        <w:t xml:space="preserve">This trial aims to test </w:t>
      </w:r>
      <w:r w:rsidR="006B453B" w:rsidRPr="00147B1A">
        <w:t xml:space="preserve">an </w:t>
      </w:r>
      <w:r w:rsidRPr="00147B1A">
        <w:t xml:space="preserve">approach to improve the effectiveness of the second </w:t>
      </w:r>
      <w:r w:rsidR="001C54C0" w:rsidRPr="00147B1A">
        <w:t xml:space="preserve">email </w:t>
      </w:r>
      <w:r w:rsidRPr="00147B1A">
        <w:t xml:space="preserve">reminder, targeting charities who have not submitted the AIS in response to the first reminder. </w:t>
      </w:r>
      <w:r w:rsidR="44DFF872" w:rsidRPr="00147B1A">
        <w:t xml:space="preserve">Specifically, the trial aims to test whether including a second email reminder, sent directly via email to </w:t>
      </w:r>
      <w:r w:rsidR="0012717A" w:rsidRPr="00147B1A">
        <w:t xml:space="preserve">a </w:t>
      </w:r>
      <w:r w:rsidR="0074479D" w:rsidRPr="00147B1A">
        <w:t xml:space="preserve">relevant Responsible Person </w:t>
      </w:r>
      <w:r w:rsidR="44DFF872" w:rsidRPr="00147B1A">
        <w:t xml:space="preserve">(in addition to the </w:t>
      </w:r>
      <w:r w:rsidR="0074479D" w:rsidRPr="00147B1A">
        <w:t xml:space="preserve">AFS </w:t>
      </w:r>
      <w:r w:rsidR="44DFF872" w:rsidRPr="00147B1A">
        <w:t>email), improves on</w:t>
      </w:r>
      <w:r w:rsidR="00573EF3">
        <w:noBreakHyphen/>
      </w:r>
      <w:r w:rsidR="004B2335" w:rsidRPr="00147B1A">
        <w:t xml:space="preserve">time </w:t>
      </w:r>
      <w:r w:rsidR="44ED2CEF" w:rsidRPr="00147B1A">
        <w:t xml:space="preserve">AIS reporting. </w:t>
      </w:r>
      <w:bookmarkEnd w:id="5"/>
    </w:p>
    <w:p w14:paraId="5A9324DE" w14:textId="61C8C3F3" w:rsidR="008E5A2A" w:rsidRDefault="00BA048C" w:rsidP="0027059A">
      <w:pPr>
        <w:pStyle w:val="Heading1"/>
      </w:pPr>
      <w:bookmarkStart w:id="6" w:name="_Toc208322632"/>
      <w:r>
        <w:lastRenderedPageBreak/>
        <w:t>Intervention</w:t>
      </w:r>
      <w:r w:rsidR="007718A0">
        <w:t xml:space="preserve"> </w:t>
      </w:r>
      <w:r w:rsidR="008E5A2A">
        <w:t>Type: Two</w:t>
      </w:r>
      <w:r w:rsidR="002239AD">
        <w:t>-</w:t>
      </w:r>
      <w:r w:rsidR="008E5A2A">
        <w:t>arm randomised controlled trial</w:t>
      </w:r>
      <w:bookmarkEnd w:id="6"/>
    </w:p>
    <w:p w14:paraId="20DBC999" w14:textId="7635654D" w:rsidR="00042FCB" w:rsidRDefault="00042FCB" w:rsidP="00147B1A">
      <w:pPr>
        <w:pStyle w:val="Bullet1"/>
      </w:pPr>
      <w:r>
        <w:t>Level of randomisation: individual charit</w:t>
      </w:r>
      <w:r w:rsidR="00197040">
        <w:t>ies</w:t>
      </w:r>
    </w:p>
    <w:p w14:paraId="2AD1AAEE" w14:textId="77777777" w:rsidR="00042FCB" w:rsidRDefault="00042FCB" w:rsidP="00147B1A">
      <w:pPr>
        <w:pStyle w:val="Bullet1"/>
      </w:pPr>
      <w:r>
        <w:t xml:space="preserve">Groups: </w:t>
      </w:r>
    </w:p>
    <w:p w14:paraId="489736B7" w14:textId="77777777" w:rsidR="00042FCB" w:rsidRPr="00147B1A" w:rsidRDefault="00042FCB" w:rsidP="00147B1A">
      <w:pPr>
        <w:pStyle w:val="Bullet2"/>
      </w:pPr>
      <w:r w:rsidRPr="00147B1A">
        <w:t>Control: Standard second reminder email sent to AFS only</w:t>
      </w:r>
    </w:p>
    <w:p w14:paraId="6C1AE48B" w14:textId="23AEBA21" w:rsidR="00042FCB" w:rsidRPr="00147B1A" w:rsidRDefault="00042FCB" w:rsidP="00147B1A">
      <w:pPr>
        <w:pStyle w:val="Bullet2"/>
      </w:pPr>
      <w:r w:rsidRPr="00147B1A">
        <w:t>Treatment: Standard second reminder email sent to AFS</w:t>
      </w:r>
      <w:r w:rsidR="005B7653" w:rsidRPr="00147B1A">
        <w:t>,</w:t>
      </w:r>
      <w:r w:rsidRPr="00147B1A">
        <w:t xml:space="preserve"> and </w:t>
      </w:r>
      <w:r w:rsidR="005B7653" w:rsidRPr="00147B1A">
        <w:t xml:space="preserve">an additional reminder sent to </w:t>
      </w:r>
      <w:r w:rsidRPr="00147B1A">
        <w:t>a Responsible Person</w:t>
      </w:r>
      <w:r w:rsidR="005B7653" w:rsidRPr="00147B1A">
        <w:t xml:space="preserve"> for the charity.</w:t>
      </w:r>
    </w:p>
    <w:p w14:paraId="5E693ADF" w14:textId="108F1786" w:rsidR="00042FCB" w:rsidRPr="008F4082" w:rsidRDefault="00743322" w:rsidP="000E7123">
      <w:pPr>
        <w:pStyle w:val="Heading2"/>
      </w:pPr>
      <w:bookmarkStart w:id="7" w:name="_Toc208322633"/>
      <w:r>
        <w:t>Determination of Responsible Person</w:t>
      </w:r>
      <w:bookmarkEnd w:id="7"/>
    </w:p>
    <w:p w14:paraId="0F4CF16B" w14:textId="53E37C4A" w:rsidR="0073797A" w:rsidRPr="000E7123" w:rsidRDefault="00A63537" w:rsidP="000E7123">
      <w:r w:rsidRPr="000E7123">
        <w:t xml:space="preserve">The </w:t>
      </w:r>
      <w:r w:rsidR="0073797A" w:rsidRPr="000E7123">
        <w:t xml:space="preserve">ACNC will use the below criteria to determine which Responsible Person will receive the treatment intervention. Australian Treasury will not receive any information related to the name, title or contact details for the main or additional Responsible People; this information is only included to ensure clarity on how the Responsible Person is selected. </w:t>
      </w:r>
    </w:p>
    <w:p w14:paraId="15D6527E" w14:textId="77777777" w:rsidR="0073797A" w:rsidRPr="000E7123" w:rsidRDefault="0073797A" w:rsidP="000E7123">
      <w:r w:rsidRPr="000E7123">
        <w:t>The preference order will be based on the Responsible Person with the position title most likely to submit the AIS. The preference order by position title will be as follows:</w:t>
      </w:r>
    </w:p>
    <w:p w14:paraId="5A275D3A" w14:textId="6F7ED1C3" w:rsidR="0073797A" w:rsidRPr="004D66A0" w:rsidRDefault="0073797A" w:rsidP="00B762C4">
      <w:pPr>
        <w:pStyle w:val="NumberedList1"/>
      </w:pPr>
      <w:r w:rsidRPr="004D66A0">
        <w:t xml:space="preserve">Treasurer </w:t>
      </w:r>
    </w:p>
    <w:p w14:paraId="33304F6A" w14:textId="6F421B1A" w:rsidR="0073797A" w:rsidRPr="004D66A0" w:rsidRDefault="0073797A" w:rsidP="00B762C4">
      <w:pPr>
        <w:pStyle w:val="Bullet1"/>
      </w:pPr>
      <w:r w:rsidRPr="004D66A0">
        <w:t xml:space="preserve">If the Treasurer email is blank or their email matches the charity AFS email, then preference </w:t>
      </w:r>
      <w:r w:rsidR="00F46A81">
        <w:t>is given to the</w:t>
      </w:r>
      <w:r w:rsidR="00F46A81" w:rsidRPr="004D66A0">
        <w:t xml:space="preserve"> </w:t>
      </w:r>
      <w:r w:rsidRPr="004D66A0">
        <w:t>next position title listed below and follow</w:t>
      </w:r>
      <w:r w:rsidR="00F46A81">
        <w:t>s the</w:t>
      </w:r>
      <w:r w:rsidRPr="004D66A0">
        <w:t xml:space="preserve"> same criteria as specified in this point.</w:t>
      </w:r>
    </w:p>
    <w:p w14:paraId="5F636B13" w14:textId="4EB883E0" w:rsidR="0073797A" w:rsidRPr="004D66A0" w:rsidRDefault="0073797A" w:rsidP="00B762C4">
      <w:pPr>
        <w:pStyle w:val="Bullet1"/>
      </w:pPr>
      <w:r w:rsidRPr="004D66A0">
        <w:t xml:space="preserve">Additionally, if there are </w:t>
      </w:r>
      <w:r w:rsidR="00786B83">
        <w:t>2</w:t>
      </w:r>
      <w:r w:rsidR="00786B83" w:rsidRPr="004D66A0">
        <w:t xml:space="preserve"> </w:t>
      </w:r>
      <w:r w:rsidRPr="004D66A0">
        <w:t xml:space="preserve">Responsible People with the same position title that meet the criteria above (i.e. </w:t>
      </w:r>
      <w:r w:rsidR="00786B83">
        <w:t>2</w:t>
      </w:r>
      <w:r w:rsidRPr="004D66A0">
        <w:t xml:space="preserve"> treasurers with unique emails), preference</w:t>
      </w:r>
      <w:r w:rsidR="00F46A81">
        <w:t xml:space="preserve"> will be given to</w:t>
      </w:r>
      <w:r w:rsidRPr="004D66A0">
        <w:t xml:space="preserve"> the Responsible Person with the more recent start date on their RP relationship.</w:t>
      </w:r>
    </w:p>
    <w:p w14:paraId="040FA261" w14:textId="77777777" w:rsidR="0073797A" w:rsidRPr="004D66A0" w:rsidRDefault="0073797A" w:rsidP="00B762C4">
      <w:pPr>
        <w:pStyle w:val="NumberedList1"/>
      </w:pPr>
      <w:r w:rsidRPr="004D66A0">
        <w:t>Secretary</w:t>
      </w:r>
    </w:p>
    <w:p w14:paraId="66D51AFC" w14:textId="77777777" w:rsidR="0073797A" w:rsidRPr="004D66A0" w:rsidRDefault="0073797A" w:rsidP="00B762C4">
      <w:pPr>
        <w:pStyle w:val="NumberedList1"/>
      </w:pPr>
      <w:r w:rsidRPr="004D66A0">
        <w:t>Director</w:t>
      </w:r>
    </w:p>
    <w:p w14:paraId="187914C9" w14:textId="77777777" w:rsidR="0073797A" w:rsidRPr="004D66A0" w:rsidRDefault="0073797A" w:rsidP="00B762C4">
      <w:pPr>
        <w:pStyle w:val="NumberedList1"/>
      </w:pPr>
      <w:r w:rsidRPr="004D66A0">
        <w:t>President</w:t>
      </w:r>
    </w:p>
    <w:p w14:paraId="781F1152" w14:textId="77777777" w:rsidR="0073797A" w:rsidRPr="004D66A0" w:rsidRDefault="0073797A" w:rsidP="00B762C4">
      <w:pPr>
        <w:pStyle w:val="NumberedList1"/>
      </w:pPr>
      <w:r w:rsidRPr="004D66A0">
        <w:t>Public Officer</w:t>
      </w:r>
    </w:p>
    <w:p w14:paraId="5AE880BB" w14:textId="77777777" w:rsidR="0073797A" w:rsidRPr="004D66A0" w:rsidRDefault="0073797A" w:rsidP="00B762C4">
      <w:pPr>
        <w:pStyle w:val="NumberedList1"/>
      </w:pPr>
      <w:r w:rsidRPr="004D66A0">
        <w:t>Chairperson</w:t>
      </w:r>
    </w:p>
    <w:p w14:paraId="249F6F36" w14:textId="77777777" w:rsidR="0073797A" w:rsidRPr="004D66A0" w:rsidRDefault="0073797A" w:rsidP="00B762C4">
      <w:pPr>
        <w:pStyle w:val="NumberedList1"/>
      </w:pPr>
      <w:r w:rsidRPr="004D66A0">
        <w:t>Committee Member</w:t>
      </w:r>
    </w:p>
    <w:p w14:paraId="137A25F7" w14:textId="77777777" w:rsidR="0073797A" w:rsidRPr="004D66A0" w:rsidRDefault="0073797A" w:rsidP="00B762C4">
      <w:pPr>
        <w:pStyle w:val="NumberedList1"/>
      </w:pPr>
      <w:r w:rsidRPr="004D66A0">
        <w:t>Trustee</w:t>
      </w:r>
    </w:p>
    <w:p w14:paraId="500F22D0" w14:textId="77777777" w:rsidR="0073797A" w:rsidRPr="004D66A0" w:rsidRDefault="0073797A" w:rsidP="00B762C4">
      <w:pPr>
        <w:pStyle w:val="NumberedList1"/>
      </w:pPr>
      <w:r w:rsidRPr="004D66A0">
        <w:t>Board Member</w:t>
      </w:r>
    </w:p>
    <w:p w14:paraId="6FB7543C" w14:textId="262F6252" w:rsidR="0073797A" w:rsidRPr="004D66A0" w:rsidRDefault="0073797A" w:rsidP="00B762C4">
      <w:pPr>
        <w:pStyle w:val="NumberedList1"/>
      </w:pPr>
      <w:r w:rsidRPr="004D66A0">
        <w:t>Vice</w:t>
      </w:r>
      <w:r w:rsidR="00573EF3">
        <w:noBreakHyphen/>
      </w:r>
      <w:r w:rsidRPr="004D66A0">
        <w:t>president</w:t>
      </w:r>
    </w:p>
    <w:p w14:paraId="6727775B" w14:textId="77777777" w:rsidR="0073797A" w:rsidRPr="004D66A0" w:rsidRDefault="0073797A" w:rsidP="00B762C4">
      <w:pPr>
        <w:pStyle w:val="NumberedList1"/>
      </w:pPr>
      <w:r w:rsidRPr="004D66A0">
        <w:t>Deputy Chairperson</w:t>
      </w:r>
    </w:p>
    <w:p w14:paraId="1CF58382" w14:textId="7C2B3A87" w:rsidR="000E7123" w:rsidRPr="005D6A96" w:rsidRDefault="0073797A" w:rsidP="005D6A96">
      <w:pPr>
        <w:pStyle w:val="NumberedList1"/>
        <w:rPr>
          <w:sz w:val="24"/>
        </w:rPr>
      </w:pPr>
      <w:r w:rsidRPr="004D66A0">
        <w:t>Other</w:t>
      </w:r>
    </w:p>
    <w:p w14:paraId="709285DE" w14:textId="49BAC3C7" w:rsidR="003B7B3E" w:rsidRDefault="005D2C3D" w:rsidP="0027059A">
      <w:pPr>
        <w:pStyle w:val="Heading1"/>
      </w:pPr>
      <w:bookmarkStart w:id="8" w:name="_Toc208322634"/>
      <w:r>
        <w:lastRenderedPageBreak/>
        <w:t>Outcome measure</w:t>
      </w:r>
      <w:r w:rsidR="0008518B">
        <w:t>s</w:t>
      </w:r>
      <w:bookmarkEnd w:id="8"/>
    </w:p>
    <w:p w14:paraId="22BBE839" w14:textId="67894554" w:rsidR="00F87B2D" w:rsidRPr="00F40261" w:rsidRDefault="00F87B2D" w:rsidP="008C126C">
      <w:pPr>
        <w:pStyle w:val="Heading2"/>
      </w:pPr>
      <w:bookmarkStart w:id="9" w:name="_Toc208322635"/>
      <w:r w:rsidRPr="00F40261">
        <w:t>Primary outcome</w:t>
      </w:r>
      <w:bookmarkEnd w:id="9"/>
    </w:p>
    <w:p w14:paraId="6CA87718" w14:textId="418857DD" w:rsidR="008C126C" w:rsidRPr="000E7123" w:rsidRDefault="005C2ADC" w:rsidP="009C4997">
      <w:pPr>
        <w:rPr>
          <w:rStyle w:val="Strong"/>
        </w:rPr>
      </w:pPr>
      <w:r w:rsidRPr="000E7123">
        <w:rPr>
          <w:rStyle w:val="Strong"/>
        </w:rPr>
        <w:t>Charity on</w:t>
      </w:r>
      <w:r w:rsidR="00573EF3">
        <w:rPr>
          <w:rStyle w:val="Strong"/>
        </w:rPr>
        <w:noBreakHyphen/>
      </w:r>
      <w:r w:rsidR="00E00948" w:rsidRPr="000E7123">
        <w:rPr>
          <w:rStyle w:val="Strong"/>
        </w:rPr>
        <w:t xml:space="preserve">time </w:t>
      </w:r>
      <w:r w:rsidRPr="000E7123">
        <w:rPr>
          <w:rStyle w:val="Strong"/>
        </w:rPr>
        <w:t>submission</w:t>
      </w:r>
      <w:r w:rsidR="00277389" w:rsidRPr="000E7123">
        <w:rPr>
          <w:rStyle w:val="Strong"/>
        </w:rPr>
        <w:t xml:space="preserve">. </w:t>
      </w:r>
    </w:p>
    <w:p w14:paraId="736CF9D1" w14:textId="3FCB47E3" w:rsidR="009C4997" w:rsidRPr="00F40261" w:rsidRDefault="00277389" w:rsidP="009C4997">
      <w:r>
        <w:t xml:space="preserve">This will be a </w:t>
      </w:r>
      <w:r w:rsidR="005C2ADC" w:rsidRPr="00F40261">
        <w:t>binary indicator of</w:t>
      </w:r>
      <w:r w:rsidR="00870C6B" w:rsidRPr="00F40261">
        <w:t xml:space="preserve"> a submission </w:t>
      </w:r>
      <w:r w:rsidR="00E51002">
        <w:t>of</w:t>
      </w:r>
      <w:r w:rsidR="00870C6B" w:rsidRPr="00F40261">
        <w:t xml:space="preserve"> AIS by </w:t>
      </w:r>
      <w:r w:rsidR="00CE146B">
        <w:t>31</w:t>
      </w:r>
      <w:r w:rsidR="002B6CD6">
        <w:t> </w:t>
      </w:r>
      <w:r w:rsidR="00CE146B">
        <w:t>January</w:t>
      </w:r>
      <w:r w:rsidR="002B6CD6">
        <w:t> </w:t>
      </w:r>
      <w:r w:rsidR="00870C6B" w:rsidRPr="00F40261">
        <w:t>2025</w:t>
      </w:r>
      <w:r w:rsidR="0039618C" w:rsidRPr="00F40261">
        <w:t xml:space="preserve"> (1 = submitted on time, 0 = not submitted).</w:t>
      </w:r>
    </w:p>
    <w:p w14:paraId="5BF4A096" w14:textId="2689C878" w:rsidR="00F87B2D" w:rsidRPr="00F40261" w:rsidRDefault="00F87B2D" w:rsidP="008C126C">
      <w:pPr>
        <w:pStyle w:val="Heading2"/>
      </w:pPr>
      <w:bookmarkStart w:id="10" w:name="_Toc208322636"/>
      <w:r w:rsidRPr="00F40261">
        <w:t>Secondary outcome</w:t>
      </w:r>
      <w:bookmarkEnd w:id="10"/>
    </w:p>
    <w:p w14:paraId="626AA97E" w14:textId="77777777" w:rsidR="008C126C" w:rsidRPr="000E7123" w:rsidRDefault="0039618C" w:rsidP="009C4997">
      <w:pPr>
        <w:rPr>
          <w:rStyle w:val="Strong"/>
        </w:rPr>
      </w:pPr>
      <w:r w:rsidRPr="000E7123">
        <w:rPr>
          <w:rStyle w:val="Strong"/>
        </w:rPr>
        <w:t>Time to submission</w:t>
      </w:r>
      <w:r w:rsidR="00277389" w:rsidRPr="000E7123">
        <w:rPr>
          <w:rStyle w:val="Strong"/>
        </w:rPr>
        <w:t xml:space="preserve">. </w:t>
      </w:r>
    </w:p>
    <w:p w14:paraId="6242B6E5" w14:textId="668D8FF9" w:rsidR="0039618C" w:rsidRDefault="00277389" w:rsidP="009C4997">
      <w:r>
        <w:t>T</w:t>
      </w:r>
      <w:r w:rsidR="00246C60" w:rsidRPr="00F40261">
        <w:t>his will be measured by days from the reminder email to submission.</w:t>
      </w:r>
      <w:r>
        <w:t xml:space="preserve"> Note that due to </w:t>
      </w:r>
      <w:r w:rsidR="00806A69">
        <w:t xml:space="preserve">the implementation of the email, </w:t>
      </w:r>
      <w:r>
        <w:t xml:space="preserve">charities will receive the email across </w:t>
      </w:r>
      <w:r w:rsidR="006F17DF" w:rsidRPr="006F17DF">
        <w:t>12</w:t>
      </w:r>
      <w:r w:rsidR="000E7123">
        <w:t> </w:t>
      </w:r>
      <w:r w:rsidR="006F17DF" w:rsidRPr="006F17DF">
        <w:t>business days from 6</w:t>
      </w:r>
      <w:r w:rsidR="000E7123">
        <w:t> </w:t>
      </w:r>
      <w:r w:rsidR="006F17DF">
        <w:t>to 2</w:t>
      </w:r>
      <w:r w:rsidR="000E7123">
        <w:t>1 </w:t>
      </w:r>
      <w:r w:rsidR="002B6CD6">
        <w:t>J</w:t>
      </w:r>
      <w:r w:rsidR="006F17DF">
        <w:t>anuary</w:t>
      </w:r>
      <w:r w:rsidR="00EB4767">
        <w:t> </w:t>
      </w:r>
      <w:r w:rsidR="006F17DF">
        <w:t xml:space="preserve">2025. </w:t>
      </w:r>
      <w:r w:rsidR="00D0035B">
        <w:t>This outcome will be measured by taking the number of days between when the specific charity</w:t>
      </w:r>
      <w:r w:rsidR="00573EF3">
        <w:t>’</w:t>
      </w:r>
      <w:r w:rsidR="00D0035B">
        <w:t xml:space="preserve">s email was sent by </w:t>
      </w:r>
      <w:r w:rsidR="00A63537">
        <w:t xml:space="preserve">the </w:t>
      </w:r>
      <w:r w:rsidR="00D0035B">
        <w:t>ACNC and when the charity submits their AIS.</w:t>
      </w:r>
    </w:p>
    <w:p w14:paraId="4B099190" w14:textId="23C5281B" w:rsidR="000A586A" w:rsidRDefault="000A586A" w:rsidP="009C4997">
      <w:r>
        <w:t>For charities that have not submitted at the time of data extraction</w:t>
      </w:r>
      <w:r w:rsidR="0045558E">
        <w:t xml:space="preserve"> and analysis, we </w:t>
      </w:r>
      <w:r w:rsidR="00F64065">
        <w:t xml:space="preserve">apply right censoring </w:t>
      </w:r>
      <w:r w:rsidR="001B1CE8">
        <w:t xml:space="preserve">to include them in the analysis without assuming a future submission date. </w:t>
      </w:r>
    </w:p>
    <w:p w14:paraId="32B89478" w14:textId="6C3DA595" w:rsidR="006C6E3C" w:rsidRPr="00F52FE8" w:rsidRDefault="006D74D8" w:rsidP="00F52FE8">
      <w:pPr>
        <w:spacing w:before="240"/>
        <w:rPr>
          <w:rStyle w:val="Strong"/>
        </w:rPr>
      </w:pPr>
      <w:r w:rsidRPr="00F52FE8">
        <w:rPr>
          <w:rStyle w:val="Strong"/>
        </w:rPr>
        <w:t>Primary outcome</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41"/>
        <w:gridCol w:w="5223"/>
      </w:tblGrid>
      <w:tr w:rsidR="006D74D8" w:rsidRPr="005F7243" w14:paraId="38562344" w14:textId="77777777" w:rsidTr="006D74D8">
        <w:trPr>
          <w:trHeight w:val="300"/>
        </w:trPr>
        <w:tc>
          <w:tcPr>
            <w:tcW w:w="3841" w:type="dxa"/>
            <w:shd w:val="clear" w:color="auto" w:fill="F4F9FA"/>
          </w:tcPr>
          <w:p w14:paraId="530B9357" w14:textId="1C5E5506" w:rsidR="006D74D8" w:rsidRPr="005F7243" w:rsidRDefault="006D74D8" w:rsidP="00401744">
            <w:pPr>
              <w:pStyle w:val="TableText"/>
            </w:pPr>
            <w:r w:rsidRPr="005F7243">
              <w:t>Variable</w:t>
            </w:r>
          </w:p>
        </w:tc>
        <w:tc>
          <w:tcPr>
            <w:tcW w:w="5223" w:type="dxa"/>
          </w:tcPr>
          <w:p w14:paraId="7E204DD0" w14:textId="50E3A1F5" w:rsidR="006D74D8" w:rsidRPr="005F7243" w:rsidRDefault="006D74D8" w:rsidP="00401744">
            <w:pPr>
              <w:pStyle w:val="TableText"/>
            </w:pPr>
            <w:r w:rsidRPr="0006547C">
              <w:t xml:space="preserve">Charity </w:t>
            </w:r>
            <w:r w:rsidRPr="007718A0">
              <w:t>on</w:t>
            </w:r>
            <w:r w:rsidR="00573EF3">
              <w:noBreakHyphen/>
            </w:r>
            <w:r w:rsidRPr="007718A0">
              <w:t xml:space="preserve">time </w:t>
            </w:r>
            <w:r w:rsidRPr="0006547C">
              <w:t>submission</w:t>
            </w:r>
          </w:p>
        </w:tc>
      </w:tr>
      <w:tr w:rsidR="006D74D8" w:rsidRPr="005F7243" w14:paraId="20AEAB8A" w14:textId="77777777" w:rsidTr="006D74D8">
        <w:trPr>
          <w:trHeight w:val="300"/>
        </w:trPr>
        <w:tc>
          <w:tcPr>
            <w:tcW w:w="3841" w:type="dxa"/>
            <w:shd w:val="clear" w:color="auto" w:fill="F4F9FA"/>
          </w:tcPr>
          <w:p w14:paraId="4F5AB8D2" w14:textId="4C4A71EC" w:rsidR="006D74D8" w:rsidRPr="005F7243" w:rsidRDefault="006D74D8" w:rsidP="00401744">
            <w:pPr>
              <w:pStyle w:val="TableText"/>
            </w:pPr>
            <w:r w:rsidRPr="005F7243">
              <w:t>Measure (instrument, scale, source)</w:t>
            </w:r>
          </w:p>
        </w:tc>
        <w:tc>
          <w:tcPr>
            <w:tcW w:w="5223" w:type="dxa"/>
          </w:tcPr>
          <w:p w14:paraId="66713943" w14:textId="77777777" w:rsidR="006D74D8" w:rsidRPr="005F7243" w:rsidRDefault="006D74D8" w:rsidP="00401744">
            <w:pPr>
              <w:pStyle w:val="TableText"/>
            </w:pPr>
            <w:r w:rsidRPr="005C097A">
              <w:t xml:space="preserve">Binary indicator of a submission to AIS by </w:t>
            </w:r>
            <w:r>
              <w:t>31 January </w:t>
            </w:r>
            <w:r w:rsidRPr="005C097A">
              <w:t>2025 (1 = submitted on time,</w:t>
            </w:r>
            <w:r>
              <w:t>‍</w:t>
            </w:r>
            <w:r w:rsidRPr="005C097A">
              <w:t xml:space="preserve">0 </w:t>
            </w:r>
            <w:r>
              <w:t>‍</w:t>
            </w:r>
            <w:r w:rsidRPr="005C097A">
              <w:t>= not submitted).</w:t>
            </w:r>
          </w:p>
        </w:tc>
      </w:tr>
    </w:tbl>
    <w:p w14:paraId="0560AFB7" w14:textId="7DDA4B24" w:rsidR="006C6E3C" w:rsidRPr="00F52FE8" w:rsidRDefault="006D74D8" w:rsidP="00F52FE8">
      <w:pPr>
        <w:spacing w:before="240"/>
        <w:rPr>
          <w:rStyle w:val="Strong"/>
        </w:rPr>
      </w:pPr>
      <w:r w:rsidRPr="00F52FE8">
        <w:rPr>
          <w:rStyle w:val="Strong"/>
        </w:rPr>
        <w:t>Secondary outcome(s)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36"/>
        <w:gridCol w:w="5228"/>
      </w:tblGrid>
      <w:tr w:rsidR="006D74D8" w:rsidRPr="005F7243" w14:paraId="417D222E" w14:textId="77777777" w:rsidTr="006D74D8">
        <w:trPr>
          <w:trHeight w:val="300"/>
        </w:trPr>
        <w:tc>
          <w:tcPr>
            <w:tcW w:w="3196" w:type="dxa"/>
            <w:shd w:val="clear" w:color="auto" w:fill="F4F9FA"/>
          </w:tcPr>
          <w:p w14:paraId="3FBD614B" w14:textId="77777777" w:rsidR="006D74D8" w:rsidRPr="005F7243" w:rsidRDefault="006D74D8" w:rsidP="005D6A96">
            <w:pPr>
              <w:pStyle w:val="TableText"/>
            </w:pPr>
            <w:r w:rsidRPr="005F7243">
              <w:t>Variable(s)</w:t>
            </w:r>
          </w:p>
        </w:tc>
        <w:tc>
          <w:tcPr>
            <w:tcW w:w="4356" w:type="dxa"/>
          </w:tcPr>
          <w:p w14:paraId="5F4A53C9" w14:textId="446BAC44" w:rsidR="006D74D8" w:rsidRPr="005F7243" w:rsidRDefault="006D74D8" w:rsidP="005D6A96">
            <w:pPr>
              <w:pStyle w:val="TableText"/>
            </w:pPr>
            <w:r w:rsidRPr="005C097A">
              <w:t>Time to submission</w:t>
            </w:r>
          </w:p>
        </w:tc>
      </w:tr>
      <w:tr w:rsidR="006D74D8" w:rsidRPr="005F7243" w14:paraId="4646E9BF" w14:textId="77777777" w:rsidTr="006D74D8">
        <w:trPr>
          <w:trHeight w:val="300"/>
        </w:trPr>
        <w:tc>
          <w:tcPr>
            <w:tcW w:w="3196" w:type="dxa"/>
            <w:shd w:val="clear" w:color="auto" w:fill="F4F9FA"/>
          </w:tcPr>
          <w:p w14:paraId="0D42CF39" w14:textId="77777777" w:rsidR="006D74D8" w:rsidRPr="005F7243" w:rsidRDefault="006D74D8" w:rsidP="005D6A96">
            <w:pPr>
              <w:pStyle w:val="TableText"/>
            </w:pPr>
            <w:r w:rsidRPr="005F7243">
              <w:t>Measure(s) (instrument, scale, source)</w:t>
            </w:r>
          </w:p>
        </w:tc>
        <w:tc>
          <w:tcPr>
            <w:tcW w:w="4356" w:type="dxa"/>
          </w:tcPr>
          <w:p w14:paraId="5714712F" w14:textId="11C77C19" w:rsidR="006D74D8" w:rsidRPr="005F7243" w:rsidRDefault="006D74D8" w:rsidP="005D6A96">
            <w:pPr>
              <w:pStyle w:val="TableText"/>
            </w:pPr>
            <w:r>
              <w:t>T</w:t>
            </w:r>
            <w:r w:rsidRPr="005C097A">
              <w:t xml:space="preserve">his will be measured by days from the </w:t>
            </w:r>
            <w:r>
              <w:t xml:space="preserve">day the reminder email is sent to AIS </w:t>
            </w:r>
            <w:r w:rsidRPr="005C097A">
              <w:t>submission.</w:t>
            </w:r>
          </w:p>
        </w:tc>
      </w:tr>
    </w:tbl>
    <w:p w14:paraId="25B76DD5" w14:textId="77777777" w:rsidR="00F52FE8" w:rsidRDefault="00F52FE8">
      <w:pPr>
        <w:spacing w:after="120" w:line="440" w:lineRule="atLeast"/>
        <w:rPr>
          <w:rFonts w:asciiTheme="majorHAnsi" w:eastAsiaTheme="majorEastAsia" w:hAnsiTheme="majorHAnsi" w:cstheme="majorBidi"/>
          <w:bCs/>
          <w:color w:val="031A2B" w:themeColor="text2"/>
          <w:sz w:val="40"/>
          <w:szCs w:val="28"/>
        </w:rPr>
      </w:pPr>
      <w:r>
        <w:br w:type="page"/>
      </w:r>
    </w:p>
    <w:p w14:paraId="67203430" w14:textId="6A645255" w:rsidR="00CE3856" w:rsidRDefault="00CE3856" w:rsidP="0027059A">
      <w:pPr>
        <w:pStyle w:val="Heading1"/>
      </w:pPr>
      <w:bookmarkStart w:id="11" w:name="_Toc208322637"/>
      <w:r>
        <w:lastRenderedPageBreak/>
        <w:t>Population of interest and sample collection</w:t>
      </w:r>
      <w:bookmarkEnd w:id="11"/>
    </w:p>
    <w:p w14:paraId="1D05A62E" w14:textId="26DB6658" w:rsidR="0073797A" w:rsidRDefault="0073797A" w:rsidP="0073797A">
      <w:r>
        <w:t>Population: All charities that have not submitted their AIS statement by 1</w:t>
      </w:r>
      <w:r w:rsidR="00EB4767">
        <w:t> </w:t>
      </w:r>
      <w:r>
        <w:t>January</w:t>
      </w:r>
      <w:r w:rsidR="00EB4767">
        <w:t> </w:t>
      </w:r>
      <w:r w:rsidR="0088362E">
        <w:t xml:space="preserve">2025 </w:t>
      </w:r>
      <w:r w:rsidR="0095194B">
        <w:t xml:space="preserve">and do not </w:t>
      </w:r>
      <w:r w:rsidR="001E4318">
        <w:t xml:space="preserve">meet any other exclusion criteria listed below </w:t>
      </w:r>
      <w:r>
        <w:t xml:space="preserve">will be sent a </w:t>
      </w:r>
      <w:r w:rsidR="00F135EE">
        <w:t xml:space="preserve">second </w:t>
      </w:r>
      <w:r>
        <w:t xml:space="preserve">reminder for the </w:t>
      </w:r>
      <w:r w:rsidR="000255C5">
        <w:t>31</w:t>
      </w:r>
      <w:r w:rsidR="00F12585">
        <w:t> January</w:t>
      </w:r>
      <w:r w:rsidR="004558C4">
        <w:t> </w:t>
      </w:r>
      <w:r>
        <w:t>2025 deadline (all charities receive the first reminder 2</w:t>
      </w:r>
      <w:r w:rsidR="00A9611F">
        <w:t>–</w:t>
      </w:r>
      <w:r>
        <w:t>3 months before the due date). If the charity is randomised to the treatment group, t</w:t>
      </w:r>
      <w:r w:rsidR="00237EA9">
        <w:t>he intervention includes an additional reminder email to</w:t>
      </w:r>
      <w:r w:rsidR="0084682F">
        <w:t xml:space="preserve"> </w:t>
      </w:r>
      <w:r w:rsidR="001C3A16">
        <w:t>a Responsible</w:t>
      </w:r>
      <w:r>
        <w:t xml:space="preserve"> Person</w:t>
      </w:r>
      <w:r w:rsidR="0084682F">
        <w:t xml:space="preserve"> for the charity</w:t>
      </w:r>
      <w:r>
        <w:t xml:space="preserve">. </w:t>
      </w:r>
    </w:p>
    <w:p w14:paraId="7CC4F9AA" w14:textId="3325FBC2" w:rsidR="0073797A" w:rsidRDefault="0073797A" w:rsidP="0073797A">
      <w:r>
        <w:t>Estimated sample size: Approximately 11,000</w:t>
      </w:r>
      <w:r w:rsidR="001654D8">
        <w:t> </w:t>
      </w:r>
      <w:r>
        <w:t>charities. Given the sample size depends on the number of charities who have not yet submitted their AIS by 1</w:t>
      </w:r>
      <w:r w:rsidR="004558C4">
        <w:t> </w:t>
      </w:r>
      <w:r w:rsidR="001620A2">
        <w:t>January </w:t>
      </w:r>
      <w:r w:rsidR="00D8741B">
        <w:t>2025</w:t>
      </w:r>
      <w:r>
        <w:t>, there is some uncertainty regarding the final sample size. Using past data, the ACNC estimates there will be approximately 11,000</w:t>
      </w:r>
      <w:r w:rsidR="001654D8">
        <w:t> </w:t>
      </w:r>
      <w:r>
        <w:t>charities in the trial, but the final sample size will be determined in January</w:t>
      </w:r>
      <w:r w:rsidR="00E546D1">
        <w:t> </w:t>
      </w:r>
      <w:r>
        <w:t xml:space="preserve">2025 when </w:t>
      </w:r>
      <w:r w:rsidR="00A63537">
        <w:t xml:space="preserve">the </w:t>
      </w:r>
      <w:r>
        <w:t>ACNC sends ACE the data for randomisation.</w:t>
      </w:r>
    </w:p>
    <w:p w14:paraId="129B8B24" w14:textId="3C00093C" w:rsidR="003A4179" w:rsidRPr="00CB63C6" w:rsidRDefault="0073797A" w:rsidP="00F25F17">
      <w:pPr>
        <w:rPr>
          <w:color w:val="808080" w:themeColor="background1" w:themeShade="80"/>
        </w:rPr>
      </w:pPr>
      <w:r>
        <w:t xml:space="preserve">Exclusions: charities with a valid/blank Responsible Person contact email, charities that are exempt from submission, charities that submit paper, bulk or group versions of the AIS, charities that report by </w:t>
      </w:r>
      <w:r w:rsidR="008E61C4">
        <w:t xml:space="preserve">calendar </w:t>
      </w:r>
      <w:r>
        <w:t>year.</w:t>
      </w:r>
    </w:p>
    <w:p w14:paraId="069F82EB" w14:textId="287A3E12" w:rsidR="00F42905" w:rsidRDefault="00F42905" w:rsidP="0027059A">
      <w:pPr>
        <w:pStyle w:val="Heading1"/>
      </w:pPr>
      <w:bookmarkStart w:id="12" w:name="_Toc208322638"/>
      <w:r>
        <w:t>Sample size calculations</w:t>
      </w:r>
      <w:bookmarkEnd w:id="12"/>
    </w:p>
    <w:p w14:paraId="7E864694" w14:textId="3C59A626" w:rsidR="0073797A" w:rsidRDefault="0073797A" w:rsidP="001654D8">
      <w:r>
        <w:t xml:space="preserve">We aim to power the trial to detect a minimum effect size of 2.5 percentage points increase in </w:t>
      </w:r>
      <w:r w:rsidRPr="007718A0">
        <w:t>on</w:t>
      </w:r>
      <w:r w:rsidR="00573EF3">
        <w:noBreakHyphen/>
      </w:r>
      <w:r w:rsidR="00E00948" w:rsidRPr="007718A0">
        <w:t>time</w:t>
      </w:r>
      <w:r>
        <w:t xml:space="preserve"> submissions of the AIS. This effect size is reasonable considering the mean compliance rate (that is, </w:t>
      </w:r>
      <w:r w:rsidRPr="007718A0">
        <w:t>on</w:t>
      </w:r>
      <w:r w:rsidR="00573EF3">
        <w:noBreakHyphen/>
      </w:r>
      <w:r w:rsidR="00E00948" w:rsidRPr="007718A0">
        <w:t xml:space="preserve">time </w:t>
      </w:r>
      <w:r>
        <w:t xml:space="preserve">submission) is already quite high at 70.5%. This is also in line with smallest effect of interest based on </w:t>
      </w:r>
      <w:r w:rsidR="00A63537">
        <w:t xml:space="preserve">the </w:t>
      </w:r>
      <w:r>
        <w:t xml:space="preserve">ACNC perspective, which </w:t>
      </w:r>
      <w:r w:rsidR="00A63537">
        <w:t xml:space="preserve">the </w:t>
      </w:r>
      <w:r>
        <w:t xml:space="preserve">ACNC have indicated is 2 percentage points. </w:t>
      </w:r>
    </w:p>
    <w:p w14:paraId="004E9395" w14:textId="1A8A023E" w:rsidR="0073797A" w:rsidRDefault="0073797A" w:rsidP="001654D8">
      <w:r w:rsidRPr="00EB2495">
        <w:t>For this research, we will use the conventional settings of a 5% alpha. Assuming 80% power, this provides stronger control of the Type I error rate than the Type II error rate. We think this is appropriate</w:t>
      </w:r>
      <w:r w:rsidR="00A87CCC">
        <w:t xml:space="preserve"> – </w:t>
      </w:r>
      <w:r w:rsidRPr="00EB2495">
        <w:t xml:space="preserve">we would not want to send letters to Responsible Persons if they do not improve </w:t>
      </w:r>
      <w:r w:rsidRPr="007718A0">
        <w:t>on</w:t>
      </w:r>
      <w:r w:rsidR="00573EF3">
        <w:noBreakHyphen/>
      </w:r>
      <w:r w:rsidR="00E00948" w:rsidRPr="007718A0">
        <w:t xml:space="preserve">time </w:t>
      </w:r>
      <w:r w:rsidRPr="00EB2495">
        <w:t>reporting.</w:t>
      </w:r>
    </w:p>
    <w:p w14:paraId="61805953" w14:textId="22890495" w:rsidR="0073797A" w:rsidRDefault="0073797A" w:rsidP="001654D8">
      <w:r>
        <w:t xml:space="preserve">The final sample size of this study may vary because it will only be determined in January, once we know how many charities have not yet submitted their statements. </w:t>
      </w:r>
      <w:r w:rsidRPr="005834CE">
        <w:t>Based on previous data</w:t>
      </w:r>
      <w:r>
        <w:t xml:space="preserve"> and estimates from </w:t>
      </w:r>
      <w:r w:rsidR="00EB75B8">
        <w:t xml:space="preserve">the </w:t>
      </w:r>
      <w:r>
        <w:t>ACNC</w:t>
      </w:r>
      <w:r w:rsidRPr="005834CE">
        <w:t>, we estimate the sample size to be approximately 11,000.</w:t>
      </w:r>
    </w:p>
    <w:p w14:paraId="183CDE42" w14:textId="6D1AEF1A" w:rsidR="000860FA" w:rsidRDefault="0073797A" w:rsidP="000860FA">
      <w:r>
        <w:t>The ACNC has identified 2 percentage points as the smallest effect of practical interest. However, with an alpha of 0.05, a baseline rate of 70.5%, and a sample size of 11,000, the calculated power for detecting this effect in a one</w:t>
      </w:r>
      <w:r w:rsidR="00573EF3">
        <w:noBreakHyphen/>
      </w:r>
      <w:r>
        <w:t>tailed test is approximately 75.1%.</w:t>
      </w:r>
    </w:p>
    <w:p w14:paraId="241D9D7A" w14:textId="77777777" w:rsidR="000860FA" w:rsidRDefault="000860FA">
      <w:pPr>
        <w:spacing w:after="120" w:line="440" w:lineRule="atLeast"/>
      </w:pPr>
      <w:r>
        <w:br w:type="page"/>
      </w:r>
    </w:p>
    <w:p w14:paraId="711E50CF" w14:textId="4CFFAB29" w:rsidR="00F52FE8" w:rsidRDefault="0073797A" w:rsidP="000860FA">
      <w:r>
        <w:lastRenderedPageBreak/>
        <w:t>One way to increase power is to consider the effect size of 2.5 percentage points. Given the same baseline rate of 70.5% (based on previous data), an alpha of 5%, and a one</w:t>
      </w:r>
      <w:r w:rsidR="00573EF3">
        <w:noBreakHyphen/>
      </w:r>
      <w:r>
        <w:t>tailed test, the calculated power for different sample sizes with this adjusted effect size is as follows:</w:t>
      </w:r>
      <w:r>
        <w:rPr>
          <w:rStyle w:val="FootnoteReference"/>
          <w:color w:val="000000" w:themeColor="text1"/>
        </w:rPr>
        <w:footnoteReference w:id="2"/>
      </w:r>
    </w:p>
    <w:p w14:paraId="5B586A36" w14:textId="79920031" w:rsidR="0073797A" w:rsidRPr="001654D8" w:rsidRDefault="0073797A" w:rsidP="001654D8">
      <w:pPr>
        <w:pStyle w:val="Bullet1"/>
      </w:pPr>
      <w:r w:rsidRPr="001654D8">
        <w:t>Sample size of 10,000 (5,000 charities per group): Power = 87.1%</w:t>
      </w:r>
    </w:p>
    <w:p w14:paraId="69EF7673" w14:textId="77777777" w:rsidR="0073797A" w:rsidRPr="001654D8" w:rsidRDefault="0073797A" w:rsidP="001654D8">
      <w:pPr>
        <w:pStyle w:val="Bullet1"/>
      </w:pPr>
      <w:r w:rsidRPr="001654D8">
        <w:t>Sample size of 11,000 (5,500 charities per group): Power = 89.8%</w:t>
      </w:r>
    </w:p>
    <w:p w14:paraId="0D687C86" w14:textId="67A68039" w:rsidR="001654D8" w:rsidRPr="00F52FE8" w:rsidRDefault="0073797A" w:rsidP="00F52FE8">
      <w:pPr>
        <w:pStyle w:val="Bullet1"/>
      </w:pPr>
      <w:r w:rsidRPr="001654D8">
        <w:t>Sample size of 12,000 (6,000 charities per group): Power = 91.9%</w:t>
      </w:r>
    </w:p>
    <w:p w14:paraId="7D003060" w14:textId="574F0465" w:rsidR="003A4179" w:rsidRDefault="003A4179" w:rsidP="0027059A">
      <w:pPr>
        <w:pStyle w:val="Heading1"/>
      </w:pPr>
      <w:bookmarkStart w:id="13" w:name="_Toc208322639"/>
      <w:r>
        <w:t>Hypotheses</w:t>
      </w:r>
      <w:bookmarkEnd w:id="13"/>
    </w:p>
    <w:p w14:paraId="1814A030" w14:textId="77777777" w:rsidR="0073797A" w:rsidRPr="001654D8" w:rsidRDefault="0073797A" w:rsidP="0073797A">
      <w:pPr>
        <w:rPr>
          <w:rStyle w:val="Strong"/>
        </w:rPr>
      </w:pPr>
      <w:r w:rsidRPr="001654D8">
        <w:rPr>
          <w:rStyle w:val="Strong"/>
        </w:rPr>
        <w:t>Main hypothesis:</w:t>
      </w:r>
    </w:p>
    <w:p w14:paraId="6A521B8A" w14:textId="08B447B8" w:rsidR="0073797A" w:rsidRDefault="0073797A" w:rsidP="0073797A">
      <w:pPr>
        <w:rPr>
          <w:color w:val="000000" w:themeColor="text1"/>
        </w:rPr>
      </w:pPr>
      <w:r>
        <w:rPr>
          <w:color w:val="000000" w:themeColor="text1"/>
        </w:rPr>
        <w:t xml:space="preserve">H1: The </w:t>
      </w:r>
      <w:r w:rsidR="00E00948" w:rsidRPr="007718A0">
        <w:t>on</w:t>
      </w:r>
      <w:r w:rsidR="00573EF3">
        <w:noBreakHyphen/>
      </w:r>
      <w:r w:rsidR="00E00948" w:rsidRPr="007718A0">
        <w:t>time</w:t>
      </w:r>
      <w:r w:rsidRPr="007718A0">
        <w:t xml:space="preserve"> </w:t>
      </w:r>
      <w:r>
        <w:rPr>
          <w:color w:val="000000" w:themeColor="text1"/>
        </w:rPr>
        <w:t>AIS submission rate will be higher among charities assigned to receive the new email reminder (to Responsible Person email address in addition to the AFS email) compared to charities assigned to the control (email reminder to the AFS email address only) (T&gt;C, one</w:t>
      </w:r>
      <w:r w:rsidR="00573EF3">
        <w:rPr>
          <w:color w:val="000000" w:themeColor="text1"/>
        </w:rPr>
        <w:noBreakHyphen/>
      </w:r>
      <w:r>
        <w:rPr>
          <w:color w:val="000000" w:themeColor="text1"/>
        </w:rPr>
        <w:t>tailed test).</w:t>
      </w:r>
    </w:p>
    <w:p w14:paraId="6AF76F9F" w14:textId="6508EA52" w:rsidR="0073797A" w:rsidRPr="001654D8" w:rsidRDefault="0073797A" w:rsidP="0073797A">
      <w:pPr>
        <w:rPr>
          <w:rStyle w:val="Strong"/>
        </w:rPr>
      </w:pPr>
      <w:r w:rsidRPr="001654D8">
        <w:rPr>
          <w:rStyle w:val="Strong"/>
        </w:rPr>
        <w:t>Secondary hypothesis:</w:t>
      </w:r>
    </w:p>
    <w:p w14:paraId="4F7241AC" w14:textId="5791656E" w:rsidR="00EB68D0" w:rsidRPr="00EB68D0" w:rsidRDefault="0073797A" w:rsidP="00EB68D0">
      <w:pPr>
        <w:rPr>
          <w:color w:val="000000" w:themeColor="text1"/>
        </w:rPr>
      </w:pPr>
      <w:r>
        <w:rPr>
          <w:color w:val="000000" w:themeColor="text1"/>
        </w:rPr>
        <w:t>H2: Charities randomly assigned to the treatment group will submit their AIS faster compared to charities randomly assigned to the control group (that is, t</w:t>
      </w:r>
      <w:r w:rsidRPr="00524CD4">
        <w:rPr>
          <w:color w:val="000000" w:themeColor="text1"/>
        </w:rPr>
        <w:t xml:space="preserve">he time (in days) from the </w:t>
      </w:r>
      <w:r>
        <w:rPr>
          <w:color w:val="000000" w:themeColor="text1"/>
        </w:rPr>
        <w:t xml:space="preserve">date the charity reminder email was sent to the day of </w:t>
      </w:r>
      <w:r w:rsidRPr="00524CD4">
        <w:rPr>
          <w:color w:val="000000" w:themeColor="text1"/>
        </w:rPr>
        <w:t xml:space="preserve">submission </w:t>
      </w:r>
      <w:r>
        <w:rPr>
          <w:color w:val="000000" w:themeColor="text1"/>
        </w:rPr>
        <w:t>will be lower among charities assigned to the treatment group) (T&lt;C, one</w:t>
      </w:r>
      <w:r w:rsidR="00573EF3">
        <w:rPr>
          <w:color w:val="000000" w:themeColor="text1"/>
        </w:rPr>
        <w:noBreakHyphen/>
      </w:r>
      <w:r>
        <w:rPr>
          <w:color w:val="000000" w:themeColor="text1"/>
        </w:rPr>
        <w:t>tailed test).</w:t>
      </w:r>
    </w:p>
    <w:p w14:paraId="4D6C46DE" w14:textId="487BC646" w:rsidR="003A4179" w:rsidRDefault="003A4179" w:rsidP="0027059A">
      <w:pPr>
        <w:pStyle w:val="Heading1"/>
      </w:pPr>
      <w:bookmarkStart w:id="14" w:name="_Toc208322640"/>
      <w:r>
        <w:t>Randomisation</w:t>
      </w:r>
      <w:bookmarkEnd w:id="14"/>
    </w:p>
    <w:p w14:paraId="0FEFEF66" w14:textId="77777777" w:rsidR="000C7EC9" w:rsidRPr="009066C4" w:rsidRDefault="000C7EC9" w:rsidP="008A29A5">
      <w:pPr>
        <w:pStyle w:val="NormalIndented"/>
        <w:ind w:left="0"/>
      </w:pPr>
      <w:r w:rsidRPr="009066C4">
        <w:t>The ACE will conduct a stratified randomisation for this trial, assigning each charity to a batch of 1,000 based on the order in which their email reminders are scheduled to be sent, using batch number as the stratification variable.</w:t>
      </w:r>
    </w:p>
    <w:p w14:paraId="577427D9" w14:textId="278D9B0D" w:rsidR="003A4179" w:rsidRPr="00524CD4" w:rsidRDefault="00A70BC2" w:rsidP="008A29A5">
      <w:pPr>
        <w:pStyle w:val="NormalIndented"/>
        <w:ind w:left="0"/>
        <w:rPr>
          <w:color w:val="000000" w:themeColor="text1"/>
        </w:rPr>
      </w:pPr>
      <w:r w:rsidRPr="00524CD4">
        <w:rPr>
          <w:color w:val="000000" w:themeColor="text1"/>
        </w:rPr>
        <w:t xml:space="preserve">A list of charities </w:t>
      </w:r>
      <w:r w:rsidR="00703FDA">
        <w:rPr>
          <w:color w:val="000000" w:themeColor="text1"/>
        </w:rPr>
        <w:t>will be a</w:t>
      </w:r>
      <w:r w:rsidRPr="00524CD4">
        <w:rPr>
          <w:color w:val="000000" w:themeColor="text1"/>
        </w:rPr>
        <w:t>vailable in an excel spreadshee</w:t>
      </w:r>
      <w:r w:rsidR="00B313A6" w:rsidRPr="00524CD4">
        <w:rPr>
          <w:color w:val="000000" w:themeColor="text1"/>
        </w:rPr>
        <w:t>t</w:t>
      </w:r>
      <w:r w:rsidR="00AB4138" w:rsidRPr="00524CD4">
        <w:rPr>
          <w:color w:val="000000" w:themeColor="text1"/>
        </w:rPr>
        <w:t xml:space="preserve"> – </w:t>
      </w:r>
      <w:r w:rsidR="00EB75B8">
        <w:rPr>
          <w:color w:val="000000" w:themeColor="text1"/>
        </w:rPr>
        <w:t xml:space="preserve">the </w:t>
      </w:r>
      <w:r w:rsidR="00925C56">
        <w:rPr>
          <w:color w:val="000000" w:themeColor="text1"/>
        </w:rPr>
        <w:t xml:space="preserve">ACNC will deidentify and send ACE the </w:t>
      </w:r>
      <w:r w:rsidR="009D609A">
        <w:rPr>
          <w:color w:val="000000" w:themeColor="text1"/>
        </w:rPr>
        <w:t xml:space="preserve">csv file containing </w:t>
      </w:r>
      <w:r w:rsidR="00703FDA">
        <w:rPr>
          <w:color w:val="000000" w:themeColor="text1"/>
        </w:rPr>
        <w:t xml:space="preserve">a charity </w:t>
      </w:r>
      <w:r w:rsidR="009D609A">
        <w:rPr>
          <w:color w:val="000000" w:themeColor="text1"/>
        </w:rPr>
        <w:t xml:space="preserve">identifier, </w:t>
      </w:r>
      <w:r w:rsidR="00703FDA">
        <w:rPr>
          <w:color w:val="000000" w:themeColor="text1"/>
        </w:rPr>
        <w:t>and information on each charity</w:t>
      </w:r>
      <w:r w:rsidR="00573EF3">
        <w:rPr>
          <w:color w:val="000000" w:themeColor="text1"/>
        </w:rPr>
        <w:t>’</w:t>
      </w:r>
      <w:r w:rsidR="00703FDA">
        <w:rPr>
          <w:color w:val="000000" w:themeColor="text1"/>
        </w:rPr>
        <w:t xml:space="preserve">s </w:t>
      </w:r>
      <w:r w:rsidR="00EF55F6">
        <w:rPr>
          <w:color w:val="000000" w:themeColor="text1"/>
        </w:rPr>
        <w:t xml:space="preserve">key components: </w:t>
      </w:r>
      <w:r w:rsidR="00892343">
        <w:rPr>
          <w:color w:val="000000" w:themeColor="text1"/>
        </w:rPr>
        <w:t>basic religio</w:t>
      </w:r>
      <w:r w:rsidR="00867519">
        <w:rPr>
          <w:color w:val="000000" w:themeColor="text1"/>
        </w:rPr>
        <w:t>us status</w:t>
      </w:r>
      <w:r w:rsidR="00892343">
        <w:rPr>
          <w:color w:val="000000" w:themeColor="text1"/>
        </w:rPr>
        <w:t xml:space="preserve">, incorporated association, </w:t>
      </w:r>
      <w:r w:rsidR="00405917">
        <w:rPr>
          <w:color w:val="000000" w:themeColor="text1"/>
        </w:rPr>
        <w:t>volunteer</w:t>
      </w:r>
      <w:r w:rsidR="00573EF3">
        <w:rPr>
          <w:color w:val="000000" w:themeColor="text1"/>
        </w:rPr>
        <w:noBreakHyphen/>
      </w:r>
      <w:r w:rsidR="00113C6C">
        <w:rPr>
          <w:color w:val="000000" w:themeColor="text1"/>
        </w:rPr>
        <w:t>based</w:t>
      </w:r>
      <w:r w:rsidR="00405917">
        <w:rPr>
          <w:color w:val="000000" w:themeColor="text1"/>
        </w:rPr>
        <w:t xml:space="preserve"> status</w:t>
      </w:r>
      <w:r w:rsidR="00892343">
        <w:rPr>
          <w:color w:val="000000" w:themeColor="text1"/>
        </w:rPr>
        <w:t>, charity size</w:t>
      </w:r>
      <w:r w:rsidR="001F611B">
        <w:rPr>
          <w:color w:val="000000" w:themeColor="text1"/>
        </w:rPr>
        <w:t xml:space="preserve"> and first AIS</w:t>
      </w:r>
      <w:r w:rsidR="00610157">
        <w:rPr>
          <w:color w:val="000000" w:themeColor="text1"/>
        </w:rPr>
        <w:t xml:space="preserve"> </w:t>
      </w:r>
      <w:r w:rsidR="001F611B">
        <w:rPr>
          <w:color w:val="000000" w:themeColor="text1"/>
        </w:rPr>
        <w:t>submission</w:t>
      </w:r>
      <w:r w:rsidR="00AB4138" w:rsidRPr="00524CD4">
        <w:rPr>
          <w:color w:val="000000" w:themeColor="text1"/>
        </w:rPr>
        <w:t xml:space="preserve">. </w:t>
      </w:r>
      <w:r w:rsidR="00EF55F6">
        <w:rPr>
          <w:color w:val="000000" w:themeColor="text1"/>
        </w:rPr>
        <w:t>The ACE</w:t>
      </w:r>
      <w:r w:rsidR="00F248D2" w:rsidRPr="00524CD4">
        <w:rPr>
          <w:color w:val="000000" w:themeColor="text1"/>
        </w:rPr>
        <w:t xml:space="preserve"> will conduct the </w:t>
      </w:r>
      <w:r w:rsidR="00423407">
        <w:rPr>
          <w:color w:val="000000" w:themeColor="text1"/>
        </w:rPr>
        <w:t xml:space="preserve">stratified </w:t>
      </w:r>
      <w:r w:rsidR="00F248D2" w:rsidRPr="00524CD4">
        <w:rPr>
          <w:color w:val="000000" w:themeColor="text1"/>
        </w:rPr>
        <w:t>randomisation process through the following step</w:t>
      </w:r>
      <w:r w:rsidR="00D25A1A">
        <w:rPr>
          <w:color w:val="000000" w:themeColor="text1"/>
        </w:rPr>
        <w:t>s</w:t>
      </w:r>
      <w:r w:rsidR="00F248D2" w:rsidRPr="00524CD4">
        <w:rPr>
          <w:color w:val="000000" w:themeColor="text1"/>
        </w:rPr>
        <w:t>:</w:t>
      </w:r>
    </w:p>
    <w:p w14:paraId="34599E73" w14:textId="77777777" w:rsidR="00B762C4" w:rsidRDefault="00F248D2" w:rsidP="00B762C4">
      <w:pPr>
        <w:pStyle w:val="NumberedList1"/>
        <w:numPr>
          <w:ilvl w:val="0"/>
          <w:numId w:val="16"/>
        </w:numPr>
      </w:pPr>
      <w:r w:rsidRPr="00B762C4">
        <w:rPr>
          <w:rStyle w:val="Strong"/>
        </w:rPr>
        <w:t>Data organisation:</w:t>
      </w:r>
      <w:r w:rsidRPr="00B762C4">
        <w:t xml:space="preserve"> </w:t>
      </w:r>
      <w:r w:rsidR="00D8506A" w:rsidRPr="00B762C4">
        <w:t>Ensure that all relevant fields are accurately completed for each charity</w:t>
      </w:r>
      <w:r w:rsidR="00434A30" w:rsidRPr="00B762C4">
        <w:t xml:space="preserve"> and each variable is coded consistently.</w:t>
      </w:r>
    </w:p>
    <w:p w14:paraId="0B62018A" w14:textId="77777777" w:rsidR="00B762C4" w:rsidRDefault="00F65284" w:rsidP="00B762C4">
      <w:pPr>
        <w:pStyle w:val="NumberedList1"/>
        <w:numPr>
          <w:ilvl w:val="0"/>
          <w:numId w:val="16"/>
        </w:numPr>
      </w:pPr>
      <w:r w:rsidRPr="001654D8">
        <w:rPr>
          <w:rStyle w:val="Strong"/>
        </w:rPr>
        <w:t>Categorising charities and assigning strata block:</w:t>
      </w:r>
      <w:r w:rsidRPr="001654D8">
        <w:t xml:space="preserve"> Each charity will be randomly assigned to </w:t>
      </w:r>
      <w:r w:rsidR="002062CB" w:rsidRPr="001654D8">
        <w:t>a batch</w:t>
      </w:r>
      <w:r w:rsidRPr="001654D8">
        <w:t xml:space="preserve"> of 1,000, with the b</w:t>
      </w:r>
      <w:r w:rsidR="002062CB" w:rsidRPr="001654D8">
        <w:t>atch</w:t>
      </w:r>
      <w:r w:rsidRPr="001654D8">
        <w:t xml:space="preserve"> order corresponding to the order in which their email reminders are scheduled to be sent. </w:t>
      </w:r>
      <w:r w:rsidR="0048127B" w:rsidRPr="001654D8">
        <w:t>The ACNC will adjust the number of emails or batches sent per day as needed to ensure optimal scheduling.</w:t>
      </w:r>
    </w:p>
    <w:p w14:paraId="1F45039E" w14:textId="7C7E1113" w:rsidR="00F65284" w:rsidRPr="001654D8" w:rsidRDefault="00F65284" w:rsidP="00B762C4">
      <w:pPr>
        <w:pStyle w:val="NumberedList1"/>
        <w:numPr>
          <w:ilvl w:val="0"/>
          <w:numId w:val="16"/>
        </w:numPr>
      </w:pPr>
      <w:r w:rsidRPr="001654D8">
        <w:rPr>
          <w:rStyle w:val="Strong"/>
        </w:rPr>
        <w:lastRenderedPageBreak/>
        <w:t>Randomising charities to treatment and control:</w:t>
      </w:r>
      <w:r w:rsidRPr="001654D8">
        <w:t xml:space="preserve"> We will randomise all charities to treatment and control within each strata block. This ensures that treatment and control charities are equally distributed across the randomly assigned reminder email send </w:t>
      </w:r>
      <w:r w:rsidR="000743A9" w:rsidRPr="001654D8">
        <w:t>batches</w:t>
      </w:r>
      <w:r w:rsidRPr="001654D8">
        <w:t xml:space="preserve">. </w:t>
      </w:r>
    </w:p>
    <w:p w14:paraId="08C360B9" w14:textId="0FD5AAE1" w:rsidR="00F110B3" w:rsidRPr="001654D8" w:rsidRDefault="00C82B8B" w:rsidP="001654D8">
      <w:r w:rsidRPr="001654D8">
        <w:t>The stratification variable</w:t>
      </w:r>
      <w:r w:rsidR="000743A9" w:rsidRPr="001654D8">
        <w:t xml:space="preserve"> of batch number</w:t>
      </w:r>
      <w:r w:rsidRPr="001654D8">
        <w:t xml:space="preserve"> will be included in the primary regression model, as below. </w:t>
      </w:r>
      <w:r w:rsidR="00F110B3" w:rsidRPr="001654D8">
        <w:t xml:space="preserve">Within each stratum, the allocation ratio will be 1:1. Randomisation will be coded in R, with the code checked for accuracy before the randomisation is extracted and sent back to </w:t>
      </w:r>
      <w:r w:rsidR="00EB75B8" w:rsidRPr="001654D8">
        <w:t xml:space="preserve">the </w:t>
      </w:r>
      <w:r w:rsidR="00F110B3" w:rsidRPr="001654D8">
        <w:t>ACNC. No re</w:t>
      </w:r>
      <w:r w:rsidR="00573EF3">
        <w:noBreakHyphen/>
      </w:r>
      <w:r w:rsidR="00F110B3" w:rsidRPr="001654D8">
        <w:t xml:space="preserve">randomisation will be performed. </w:t>
      </w:r>
    </w:p>
    <w:p w14:paraId="6C29AFD9" w14:textId="6DF160DC" w:rsidR="003A4179" w:rsidRDefault="003A4179" w:rsidP="0027059A">
      <w:pPr>
        <w:pStyle w:val="Heading1"/>
      </w:pPr>
      <w:bookmarkStart w:id="15" w:name="_Toc208322641"/>
      <w:r>
        <w:t>Method of analysis</w:t>
      </w:r>
      <w:bookmarkEnd w:id="15"/>
    </w:p>
    <w:p w14:paraId="164C12F1" w14:textId="0C587F88" w:rsidR="003A4179" w:rsidRPr="00DB45B1" w:rsidRDefault="003A4179" w:rsidP="0027059A">
      <w:pPr>
        <w:pStyle w:val="Heading2"/>
      </w:pPr>
      <w:bookmarkStart w:id="16" w:name="_Toc208322642"/>
      <w:r w:rsidRPr="00265673">
        <w:t>Primary outcome analysis</w:t>
      </w:r>
      <w:bookmarkEnd w:id="16"/>
    </w:p>
    <w:p w14:paraId="05CFFA89" w14:textId="39FB2D86" w:rsidR="003A588E" w:rsidRPr="00276933" w:rsidRDefault="00A3128D" w:rsidP="00276933">
      <w:pPr>
        <w:rPr>
          <w:b/>
          <w:bCs/>
        </w:rPr>
      </w:pPr>
      <w:r w:rsidRPr="00276933">
        <w:rPr>
          <w:b/>
          <w:bCs/>
        </w:rPr>
        <w:t>Model Specification</w:t>
      </w:r>
    </w:p>
    <w:p w14:paraId="26051307" w14:textId="58928F39" w:rsidR="00412CFB" w:rsidRPr="00D555C8" w:rsidRDefault="00412CFB" w:rsidP="00412CFB">
      <w:pPr>
        <w:rPr>
          <w:color w:val="000000" w:themeColor="text1"/>
        </w:rPr>
      </w:pPr>
      <w:r w:rsidRPr="00524CD4">
        <w:t>We will conduct an Intent</w:t>
      </w:r>
      <w:r w:rsidR="00573EF3">
        <w:noBreakHyphen/>
      </w:r>
      <w:r w:rsidRPr="00524CD4">
        <w:t>to</w:t>
      </w:r>
      <w:r w:rsidR="00573EF3">
        <w:noBreakHyphen/>
      </w:r>
      <w:r w:rsidRPr="00524CD4">
        <w:t xml:space="preserve">Treat analysis using a simple </w:t>
      </w:r>
      <w:r>
        <w:t>linear</w:t>
      </w:r>
      <w:r w:rsidR="00E17B9C">
        <w:t xml:space="preserve"> probability</w:t>
      </w:r>
      <w:r w:rsidRPr="00524CD4">
        <w:t xml:space="preserve"> regression. </w:t>
      </w:r>
      <w:r w:rsidR="000F5E9C" w:rsidRPr="00524CD4">
        <w:t>This model estimates the effect of being assigned to the treatment group (which receive the 2</w:t>
      </w:r>
      <w:r w:rsidR="000F5E9C" w:rsidRPr="00524CD4">
        <w:rPr>
          <w:vertAlign w:val="superscript"/>
        </w:rPr>
        <w:t>nd</w:t>
      </w:r>
      <w:r w:rsidR="000F5E9C" w:rsidRPr="00524CD4">
        <w:t xml:space="preserve"> email reminder) on the probability that a charity submits its </w:t>
      </w:r>
      <w:r w:rsidR="000F5E9C">
        <w:t>AIS</w:t>
      </w:r>
      <w:r w:rsidR="000F5E9C" w:rsidRPr="00524CD4">
        <w:t xml:space="preserve"> on time.</w:t>
      </w:r>
    </w:p>
    <w:p w14:paraId="416C6705" w14:textId="0E843263" w:rsidR="00412CFB" w:rsidRPr="00524CD4" w:rsidRDefault="001B2506" w:rsidP="00412CFB">
      <w:pPr>
        <w:pStyle w:val="Boxindent"/>
        <w:jc w:val="both"/>
        <w:rPr>
          <w:rFonts w:eastAsiaTheme="minorEastAsia"/>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r>
            <w:rPr>
              <w:rFonts w:ascii="Cambria Math" w:hAnsi="Cambria Math"/>
              <w:color w:val="000000" w:themeColor="text1"/>
            </w:rPr>
            <m:t xml:space="preserve"> </m:t>
          </m:r>
          <m:r>
            <m:rPr>
              <m:sty m:val="p"/>
            </m:rPr>
            <w:rPr>
              <w:rFonts w:ascii="Cambria Math" w:hAnsi="Cambria Math"/>
              <w:color w:val="000000" w:themeColor="text1"/>
            </w:rPr>
            <m:t xml:space="preserve">Covariates+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r>
            <w:rPr>
              <w:rFonts w:ascii="Cambria Math" w:hAnsi="Cambria Math"/>
              <w:color w:val="000000" w:themeColor="text1"/>
            </w:rPr>
            <m:t xml:space="preserve"> </m:t>
          </m:r>
          <m:r>
            <m:rPr>
              <m:sty m:val="p"/>
            </m:rPr>
            <w:rPr>
              <w:rFonts w:ascii="Cambria Math" w:hAnsi="Cambria Math"/>
              <w:color w:val="000000" w:themeColor="text1"/>
            </w:rPr>
            <m:t>Treatment x Covariates+</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4</m:t>
              </m:r>
            </m:sub>
          </m:sSub>
          <m:r>
            <m:rPr>
              <m:sty m:val="p"/>
            </m:rPr>
            <w:rPr>
              <w:rFonts w:ascii="Cambria Math" w:hAnsi="Cambria Math"/>
              <w:color w:val="000000" w:themeColor="text1"/>
            </w:rPr>
            <m:t>Missingness+</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oMath>
      </m:oMathPara>
    </w:p>
    <w:p w14:paraId="76B90AA6" w14:textId="77777777" w:rsidR="00412CFB" w:rsidRPr="00524CD4" w:rsidRDefault="00412CFB" w:rsidP="00412CFB">
      <w:pPr>
        <w:rPr>
          <w:color w:val="000000" w:themeColor="text1"/>
        </w:rPr>
      </w:pPr>
      <w:r w:rsidRPr="00524CD4">
        <w:rPr>
          <w:color w:val="000000" w:themeColor="text1"/>
        </w:rPr>
        <w:t>Where:</w:t>
      </w:r>
    </w:p>
    <w:p w14:paraId="33DA685C" w14:textId="69E24796" w:rsidR="00412CFB" w:rsidRPr="00D940D9" w:rsidRDefault="00412CFB" w:rsidP="00D940D9">
      <w:pPr>
        <w:pStyle w:val="Bullet1"/>
      </w:pPr>
      <w:r w:rsidRPr="00D940D9">
        <w:t>The dependent variable Y is binary outcome</w:t>
      </w:r>
      <w:r w:rsidR="00A87CCC">
        <w:t xml:space="preserve"> – </w:t>
      </w:r>
      <w:r w:rsidRPr="00D940D9">
        <w:t>Y = 1 if the charity submits on time. Y = 0 if not</w:t>
      </w:r>
      <w:r w:rsidR="006B10BA" w:rsidRPr="00D940D9">
        <w:t>,</w:t>
      </w:r>
    </w:p>
    <w:p w14:paraId="5CE2542E" w14:textId="03C6FFEB" w:rsidR="00412CFB" w:rsidRPr="00D940D9" w:rsidRDefault="001B2506" w:rsidP="00D940D9">
      <w:pPr>
        <w:pStyle w:val="Bullet1"/>
      </w:pPr>
      <m:oMath>
        <m:sSub>
          <m:sSubPr>
            <m:ctrlPr>
              <w:rPr>
                <w:rStyle w:val="Emphasis"/>
                <w:rFonts w:ascii="Cambria Math" w:hAnsi="Cambria Math"/>
                <w:i w:val="0"/>
                <w:iCs w:val="0"/>
              </w:rPr>
            </m:ctrlPr>
          </m:sSubPr>
          <m:e>
            <m:r>
              <m:rPr>
                <m:sty m:val="p"/>
              </m:rPr>
              <w:rPr>
                <w:rStyle w:val="Emphasis"/>
                <w:rFonts w:ascii="Cambria Math" w:hAnsi="Cambria Math"/>
              </w:rPr>
              <m:t>β</m:t>
            </m:r>
          </m:e>
          <m:sub>
            <m:r>
              <m:rPr>
                <m:sty m:val="p"/>
              </m:rPr>
              <w:rPr>
                <w:rStyle w:val="Emphasis"/>
                <w:rFonts w:ascii="Cambria Math" w:hAnsi="Cambria Math"/>
              </w:rPr>
              <m:t>0</m:t>
            </m:r>
          </m:sub>
        </m:sSub>
      </m:oMath>
      <w:r w:rsidR="00412CFB" w:rsidRPr="00D940D9">
        <w:t xml:space="preserve"> is the intercept</w:t>
      </w:r>
      <w:r w:rsidR="006B10BA" w:rsidRPr="00D940D9">
        <w:t>,</w:t>
      </w:r>
    </w:p>
    <w:p w14:paraId="1C8EAD26" w14:textId="78E196BB" w:rsidR="00115C24" w:rsidRPr="00D940D9" w:rsidRDefault="00412CFB" w:rsidP="00D940D9">
      <w:pPr>
        <w:pStyle w:val="Bullet1"/>
      </w:pPr>
      <m:oMath>
        <m:r>
          <m:rPr>
            <m:sty m:val="p"/>
          </m:rPr>
          <w:rPr>
            <w:rStyle w:val="Emphasis"/>
            <w:rFonts w:ascii="Cambria Math" w:hAnsi="Cambria Math"/>
          </w:rPr>
          <m:t>Treatment</m:t>
        </m:r>
        <m:r>
          <w:rPr>
            <w:rFonts w:ascii="Cambria Math" w:hAnsi="Cambria Math"/>
          </w:rPr>
          <m:t xml:space="preserve"> </m:t>
        </m:r>
      </m:oMath>
      <w:r w:rsidRPr="00D940D9">
        <w:t xml:space="preserve">is the treatment indicator (where 0 = control and 1 = </w:t>
      </w:r>
      <w:r w:rsidR="006251F6" w:rsidRPr="00D940D9">
        <w:t xml:space="preserve">treatment, </w:t>
      </w:r>
      <w:r w:rsidR="002B5D77" w:rsidRPr="00D940D9">
        <w:t>r</w:t>
      </w:r>
      <w:r w:rsidRPr="00D940D9">
        <w:t xml:space="preserve">eceive second email reminder),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D940D9">
        <w:t xml:space="preserve"> is the coefficient on treatment and represents the average treatment effect</w:t>
      </w:r>
      <w:r w:rsidR="00E17B9C" w:rsidRPr="00D940D9">
        <w:t>,</w:t>
      </w:r>
    </w:p>
    <w:p w14:paraId="773DB0D9" w14:textId="75941BE0" w:rsidR="007E179E" w:rsidRPr="00D940D9" w:rsidRDefault="00CE68B8" w:rsidP="00D940D9">
      <w:pPr>
        <w:pStyle w:val="Bullet1"/>
      </w:pPr>
      <m:oMath>
        <m:r>
          <m:rPr>
            <m:sty m:val="p"/>
          </m:rPr>
          <w:rPr>
            <w:rFonts w:ascii="Cambria Math" w:hAnsi="Cambria Math"/>
          </w:rPr>
          <m:t>Covariates</m:t>
        </m:r>
      </m:oMath>
      <w:r w:rsidRPr="00D940D9">
        <w:t xml:space="preserve"> is a vector representing the following covariates: </w:t>
      </w:r>
      <w:r w:rsidR="00FD7CFD" w:rsidRPr="00D940D9">
        <w:t xml:space="preserve">a) </w:t>
      </w:r>
      <w:r w:rsidRPr="00D940D9">
        <w:t xml:space="preserve">charity size </w:t>
      </w:r>
      <w:r w:rsidR="00AD256F" w:rsidRPr="00D940D9">
        <w:t xml:space="preserve">based on 2023 AIS submission data </w:t>
      </w:r>
      <w:r w:rsidRPr="00D940D9">
        <w:t xml:space="preserve">(Small/Medium/Large), </w:t>
      </w:r>
      <w:r w:rsidR="00FD7CFD" w:rsidRPr="00D940D9">
        <w:t>b)</w:t>
      </w:r>
      <w:r w:rsidRPr="00D940D9">
        <w:t xml:space="preserve"> </w:t>
      </w:r>
      <w:r w:rsidR="00A7004C" w:rsidRPr="00D940D9">
        <w:t>batch number</w:t>
      </w:r>
      <w:r w:rsidRPr="00D940D9">
        <w:t xml:space="preserve">, </w:t>
      </w:r>
      <w:r w:rsidR="00FD7CFD" w:rsidRPr="00D940D9">
        <w:t>c)</w:t>
      </w:r>
      <w:r w:rsidR="00EA55C2" w:rsidRPr="00D940D9">
        <w:t xml:space="preserve"> variable indicated</w:t>
      </w:r>
      <w:r w:rsidR="00FD7CFD" w:rsidRPr="00D940D9">
        <w:t xml:space="preserve"> </w:t>
      </w:r>
      <w:r w:rsidRPr="00D940D9">
        <w:t xml:space="preserve">whether the charity submitted on time </w:t>
      </w:r>
      <w:r w:rsidR="00AD256F" w:rsidRPr="00D940D9">
        <w:t>in 2023 (Yes/No</w:t>
      </w:r>
      <w:r w:rsidR="00860C29" w:rsidRPr="00D940D9">
        <w:t>). When there is a missing covariate data, the covariate value will be set to 0.</w:t>
      </w:r>
      <w:r w:rsidR="000445F5" w:rsidRPr="00D940D9">
        <w:t xml:space="preserve"> </w:t>
      </w:r>
      <m:oMath>
        <m:sSub>
          <m:sSubPr>
            <m:ctrlPr>
              <w:rPr>
                <w:rFonts w:ascii="Cambria Math" w:hAnsi="Cambria Math"/>
              </w:rPr>
            </m:ctrlPr>
          </m:sSubPr>
          <m:e>
            <m:r>
              <w:rPr>
                <w:rFonts w:ascii="Cambria Math" w:hAnsi="Cambria Math"/>
              </w:rPr>
              <m:t>β</m:t>
            </m:r>
          </m:e>
          <m:sub>
            <m:r>
              <w:rPr>
                <w:rFonts w:ascii="Cambria Math" w:hAnsi="Cambria Math"/>
              </w:rPr>
              <m:t>2</m:t>
            </m:r>
          </m:sub>
        </m:sSub>
      </m:oMath>
      <w:r w:rsidR="007E179E" w:rsidRPr="00D940D9">
        <w:t xml:space="preserve"> is the vector of associated coefficients,</w:t>
      </w:r>
    </w:p>
    <w:p w14:paraId="21DF2662" w14:textId="29D66959" w:rsidR="00CE68B8" w:rsidRPr="00D940D9" w:rsidRDefault="00686C98" w:rsidP="00D940D9">
      <w:pPr>
        <w:pStyle w:val="Bullet1"/>
      </w:pPr>
      <m:oMath>
        <m:r>
          <m:rPr>
            <m:sty m:val="p"/>
          </m:rPr>
          <w:rPr>
            <w:rStyle w:val="Emphasis"/>
            <w:rFonts w:ascii="Cambria Math" w:hAnsi="Cambria Math"/>
          </w:rPr>
          <m:t>Treatment x Covariates</m:t>
        </m:r>
      </m:oMath>
      <w:r w:rsidRPr="00D940D9">
        <w:t xml:space="preserve"> is the interaction of the treatment indicator vector with the covariates vector,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D940D9">
        <w:t xml:space="preserve"> is the vector of associated coefficients,</w:t>
      </w:r>
    </w:p>
    <w:p w14:paraId="6B1ED079" w14:textId="74172080" w:rsidR="00FD0A47" w:rsidRPr="00D940D9" w:rsidRDefault="00FD0A47" w:rsidP="00D940D9">
      <w:pPr>
        <w:pStyle w:val="Bullet1"/>
      </w:pPr>
      <m:oMath>
        <m:r>
          <m:rPr>
            <m:sty m:val="p"/>
          </m:rPr>
          <w:rPr>
            <w:rStyle w:val="Emphasis"/>
            <w:rFonts w:ascii="Cambria Math" w:hAnsi="Cambria Math"/>
          </w:rPr>
          <m:t>Missingness</m:t>
        </m:r>
        <m:r>
          <w:rPr>
            <w:rFonts w:ascii="Cambria Math" w:hAnsi="Cambria Math"/>
          </w:rPr>
          <m:t xml:space="preserve"> </m:t>
        </m:r>
      </m:oMath>
      <w:r w:rsidRPr="00D940D9">
        <w:t xml:space="preserve">is a variable indicated whether any covariate data is missing (Yes/No), </w:t>
      </w:r>
      <m:oMath>
        <m:sSub>
          <m:sSubPr>
            <m:ctrlPr>
              <w:rPr>
                <w:rFonts w:ascii="Cambria Math" w:hAnsi="Cambria Math"/>
              </w:rPr>
            </m:ctrlPr>
          </m:sSubPr>
          <m:e>
            <m:r>
              <w:rPr>
                <w:rFonts w:ascii="Cambria Math" w:hAnsi="Cambria Math"/>
              </w:rPr>
              <m:t>β</m:t>
            </m:r>
          </m:e>
          <m:sub>
            <m:r>
              <w:rPr>
                <w:rFonts w:ascii="Cambria Math" w:hAnsi="Cambria Math"/>
              </w:rPr>
              <m:t>4</m:t>
            </m:r>
          </m:sub>
        </m:sSub>
      </m:oMath>
      <w:r w:rsidRPr="00D940D9">
        <w:t xml:space="preserve"> is the coefficient on </w:t>
      </w:r>
      <w:r w:rsidR="00681BE2" w:rsidRPr="00D940D9">
        <w:t>missing covariates</w:t>
      </w:r>
      <w:r w:rsidRPr="00D940D9">
        <w:t xml:space="preserve"> and represents the </w:t>
      </w:r>
      <w:r w:rsidR="00681BE2" w:rsidRPr="00D940D9">
        <w:t>effect of missing covariates data on the outcomes</w:t>
      </w:r>
      <w:r w:rsidR="00DA4AF7" w:rsidRPr="00D940D9">
        <w:t>.</w:t>
      </w:r>
    </w:p>
    <w:p w14:paraId="69D5CB81" w14:textId="0EC62323" w:rsidR="005E0EF9" w:rsidRPr="00D940D9" w:rsidRDefault="005E0EF9" w:rsidP="00D940D9">
      <w:pPr>
        <w:pStyle w:val="Bullet1"/>
      </w:pPr>
      <w:r w:rsidRPr="00D940D9">
        <w:rPr>
          <w:rFonts w:ascii="Cambria Math" w:hAnsi="Cambria Math" w:cs="Cambria Math"/>
        </w:rPr>
        <w:t>∈</w:t>
      </w:r>
      <w:r w:rsidRPr="00D940D9">
        <w:t xml:space="preserve"> is the </w:t>
      </w:r>
      <w:r w:rsidR="0051473B" w:rsidRPr="00D940D9">
        <w:t>heteroskedasticity</w:t>
      </w:r>
      <w:r w:rsidR="00573EF3">
        <w:noBreakHyphen/>
      </w:r>
      <w:r w:rsidR="0051473B" w:rsidRPr="00D940D9">
        <w:t>consistent</w:t>
      </w:r>
      <w:r w:rsidR="00034D75" w:rsidRPr="00D940D9">
        <w:t xml:space="preserve"> type 2</w:t>
      </w:r>
      <w:r w:rsidR="0051473B" w:rsidRPr="00D940D9">
        <w:t xml:space="preserve"> </w:t>
      </w:r>
      <w:r w:rsidR="00D26DA4" w:rsidRPr="00D940D9">
        <w:t>(HC</w:t>
      </w:r>
      <w:r w:rsidR="00034D75" w:rsidRPr="00D940D9">
        <w:t>2</w:t>
      </w:r>
      <w:r w:rsidR="00D26DA4" w:rsidRPr="00D940D9">
        <w:t xml:space="preserve">) </w:t>
      </w:r>
      <w:r w:rsidR="00547689" w:rsidRPr="00D940D9">
        <w:t>standard e</w:t>
      </w:r>
      <w:r w:rsidRPr="00D940D9">
        <w:t>rror term</w:t>
      </w:r>
      <w:r w:rsidR="00D26DA4" w:rsidRPr="00D940D9">
        <w:t xml:space="preserve">. </w:t>
      </w:r>
    </w:p>
    <w:p w14:paraId="08AE1440" w14:textId="5C660327" w:rsidR="00D940D9" w:rsidRPr="00474CCE" w:rsidRDefault="00FD7CFD" w:rsidP="00474CCE">
      <w:pPr>
        <w:rPr>
          <w:sz w:val="24"/>
        </w:rPr>
      </w:pPr>
      <w:r w:rsidRPr="00D940D9">
        <w:t xml:space="preserve">Note that </w:t>
      </w:r>
      <w:r w:rsidR="00AD256F" w:rsidRPr="00D940D9">
        <w:t>the covariates listed above (</w:t>
      </w:r>
      <w:r w:rsidR="003833F4" w:rsidRPr="00D940D9">
        <w:t xml:space="preserve">2023 </w:t>
      </w:r>
      <w:r w:rsidR="00AD256F" w:rsidRPr="00D940D9">
        <w:t xml:space="preserve">charity size and </w:t>
      </w:r>
      <w:r w:rsidR="001F60C0" w:rsidRPr="00D940D9">
        <w:t>2023</w:t>
      </w:r>
      <w:r w:rsidR="00AD256F" w:rsidRPr="00D940D9">
        <w:t xml:space="preserve"> on</w:t>
      </w:r>
      <w:r w:rsidR="00573EF3">
        <w:noBreakHyphen/>
      </w:r>
      <w:r w:rsidR="00E00948" w:rsidRPr="00D940D9">
        <w:t xml:space="preserve">time </w:t>
      </w:r>
      <w:r w:rsidR="00AD256F" w:rsidRPr="00D940D9">
        <w:t xml:space="preserve">submission) will only be available for charities that </w:t>
      </w:r>
      <w:r w:rsidR="001F60C0" w:rsidRPr="00D940D9">
        <w:t xml:space="preserve">were required </w:t>
      </w:r>
      <w:r w:rsidR="00841D94" w:rsidRPr="00D940D9">
        <w:t>to submit an AIS in 2023.</w:t>
      </w:r>
      <w:r w:rsidR="00CB2210" w:rsidRPr="00D940D9">
        <w:t xml:space="preserve"> </w:t>
      </w:r>
      <w:r w:rsidR="005F6F75" w:rsidRPr="00D940D9">
        <w:t>A small number of new charities are registered each year</w:t>
      </w:r>
      <w:r w:rsidR="00F238A4" w:rsidRPr="00D940D9">
        <w:t>, and their 2023 information therefore doesn</w:t>
      </w:r>
      <w:r w:rsidR="00573EF3">
        <w:t>’</w:t>
      </w:r>
      <w:r w:rsidR="00F238A4" w:rsidRPr="00D940D9">
        <w:t>t exist.</w:t>
      </w:r>
      <w:r w:rsidR="00D940D9">
        <w:t xml:space="preserve"> </w:t>
      </w:r>
      <w:r w:rsidR="006B0899" w:rsidRPr="00D940D9">
        <w:lastRenderedPageBreak/>
        <w:t>W</w:t>
      </w:r>
      <w:r w:rsidR="0090110E" w:rsidRPr="00D940D9">
        <w:t xml:space="preserve">hile new charities will submit their charity size in the </w:t>
      </w:r>
      <w:r w:rsidR="00C5686E" w:rsidRPr="00D940D9">
        <w:t xml:space="preserve">2024 </w:t>
      </w:r>
      <w:r w:rsidR="0090110E" w:rsidRPr="00D940D9">
        <w:t xml:space="preserve">AIS process, the availability of this information </w:t>
      </w:r>
      <w:r w:rsidR="00C5686E" w:rsidRPr="00D940D9">
        <w:t>will</w:t>
      </w:r>
      <w:r w:rsidR="0090110E" w:rsidRPr="00D940D9">
        <w:t xml:space="preserve"> be associated with the treatment effect</w:t>
      </w:r>
      <w:r w:rsidR="00C5686E" w:rsidRPr="00D940D9">
        <w:t xml:space="preserve"> and is therefore inappropriate to include in the model.</w:t>
      </w:r>
    </w:p>
    <w:p w14:paraId="336608C8" w14:textId="039BBCFE" w:rsidR="0095289F" w:rsidRPr="00D05AFB" w:rsidRDefault="0095289F" w:rsidP="0027059A">
      <w:pPr>
        <w:pStyle w:val="Heading2"/>
      </w:pPr>
      <w:bookmarkStart w:id="17" w:name="_Toc208322643"/>
      <w:r>
        <w:t>Secondary outcome analysis</w:t>
      </w:r>
      <w:bookmarkEnd w:id="17"/>
    </w:p>
    <w:p w14:paraId="16D76731" w14:textId="2C3DB46F" w:rsidR="000C05E9" w:rsidRPr="00524CD4" w:rsidRDefault="000C05E9" w:rsidP="000C05E9">
      <w:pPr>
        <w:rPr>
          <w:color w:val="000000" w:themeColor="text1"/>
        </w:rPr>
      </w:pPr>
      <w:r w:rsidRPr="00524CD4">
        <w:rPr>
          <w:color w:val="000000" w:themeColor="text1"/>
        </w:rPr>
        <w:t xml:space="preserve">Given that we are studying the timing of submissions (which could occur at any point before or after the deadline), </w:t>
      </w:r>
      <w:r w:rsidRPr="00674A41">
        <w:rPr>
          <w:color w:val="000000" w:themeColor="text1"/>
        </w:rPr>
        <w:t xml:space="preserve">a survival analysis approach </w:t>
      </w:r>
      <w:r w:rsidR="00E02315" w:rsidRPr="00674A41">
        <w:rPr>
          <w:color w:val="000000" w:themeColor="text1"/>
        </w:rPr>
        <w:t>was</w:t>
      </w:r>
      <w:r w:rsidRPr="00674A41">
        <w:rPr>
          <w:color w:val="000000" w:themeColor="text1"/>
        </w:rPr>
        <w:t xml:space="preserve"> chosen for this secondary outcome analysis. This allows us to model the time to event (</w:t>
      </w:r>
      <w:r w:rsidR="00355AB0" w:rsidRPr="00674A41">
        <w:rPr>
          <w:color w:val="000000" w:themeColor="text1"/>
        </w:rPr>
        <w:t xml:space="preserve">i.e., from </w:t>
      </w:r>
      <w:r w:rsidR="003E6353" w:rsidRPr="00674A41">
        <w:rPr>
          <w:color w:val="000000" w:themeColor="text1"/>
        </w:rPr>
        <w:t xml:space="preserve">the time the </w:t>
      </w:r>
      <w:r w:rsidR="00355AB0" w:rsidRPr="00674A41">
        <w:rPr>
          <w:color w:val="000000" w:themeColor="text1"/>
        </w:rPr>
        <w:t xml:space="preserve">email reminder </w:t>
      </w:r>
      <w:r w:rsidR="003E6353" w:rsidRPr="00674A41">
        <w:rPr>
          <w:color w:val="000000" w:themeColor="text1"/>
        </w:rPr>
        <w:t>is sent</w:t>
      </w:r>
      <w:r w:rsidR="00355AB0" w:rsidRPr="00674A41">
        <w:rPr>
          <w:color w:val="000000" w:themeColor="text1"/>
        </w:rPr>
        <w:t xml:space="preserve"> to the</w:t>
      </w:r>
      <w:r w:rsidRPr="00674A41">
        <w:rPr>
          <w:color w:val="000000" w:themeColor="text1"/>
        </w:rPr>
        <w:t xml:space="preserve"> submission of </w:t>
      </w:r>
      <w:r w:rsidR="003E6353" w:rsidRPr="00674A41">
        <w:rPr>
          <w:color w:val="000000" w:themeColor="text1"/>
        </w:rPr>
        <w:t>the AIS</w:t>
      </w:r>
      <w:r w:rsidRPr="00674A41">
        <w:rPr>
          <w:color w:val="000000" w:themeColor="text1"/>
        </w:rPr>
        <w:t>) and account</w:t>
      </w:r>
      <w:r w:rsidRPr="00524CD4">
        <w:rPr>
          <w:color w:val="000000" w:themeColor="text1"/>
        </w:rPr>
        <w:t xml:space="preserve"> for right</w:t>
      </w:r>
      <w:r w:rsidR="00573EF3">
        <w:rPr>
          <w:color w:val="000000" w:themeColor="text1"/>
        </w:rPr>
        <w:noBreakHyphen/>
      </w:r>
      <w:r w:rsidRPr="00524CD4">
        <w:rPr>
          <w:color w:val="000000" w:themeColor="text1"/>
        </w:rPr>
        <w:t xml:space="preserve">censoring for those who do not submit by the end of the </w:t>
      </w:r>
      <w:r w:rsidR="003E6353">
        <w:rPr>
          <w:color w:val="000000" w:themeColor="text1"/>
        </w:rPr>
        <w:t>trial</w:t>
      </w:r>
      <w:r w:rsidR="003E6353" w:rsidRPr="00524CD4">
        <w:rPr>
          <w:color w:val="000000" w:themeColor="text1"/>
        </w:rPr>
        <w:t xml:space="preserve"> </w:t>
      </w:r>
      <w:r w:rsidRPr="00524CD4">
        <w:rPr>
          <w:color w:val="000000" w:themeColor="text1"/>
        </w:rPr>
        <w:t>period.</w:t>
      </w:r>
      <w:r w:rsidR="00490175">
        <w:rPr>
          <w:color w:val="000000" w:themeColor="text1"/>
        </w:rPr>
        <w:t xml:space="preserve"> </w:t>
      </w:r>
    </w:p>
    <w:p w14:paraId="62682D2A" w14:textId="6AA18746" w:rsidR="007A1B9A" w:rsidRDefault="000C05E9" w:rsidP="00D940D9">
      <w:pPr>
        <w:pStyle w:val="NumberedList1"/>
        <w:numPr>
          <w:ilvl w:val="0"/>
          <w:numId w:val="14"/>
        </w:numPr>
      </w:pPr>
      <w:r w:rsidRPr="00D940D9">
        <w:rPr>
          <w:b/>
        </w:rPr>
        <w:t>Model</w:t>
      </w:r>
      <w:r w:rsidRPr="007A1B9A">
        <w:t xml:space="preserve">: </w:t>
      </w:r>
      <w:r w:rsidR="00490175" w:rsidRPr="007A1B9A">
        <w:t>Kaplan</w:t>
      </w:r>
      <w:r w:rsidR="00573EF3">
        <w:noBreakHyphen/>
      </w:r>
      <w:r w:rsidR="00490175" w:rsidRPr="007A1B9A">
        <w:t xml:space="preserve">Meier Survival Analysis. </w:t>
      </w:r>
    </w:p>
    <w:p w14:paraId="609E706E" w14:textId="05B46B60" w:rsidR="000C05E9" w:rsidRPr="00D940D9" w:rsidRDefault="00995251" w:rsidP="00D940D9">
      <w:r w:rsidRPr="00D940D9">
        <w:t>The Kaplan</w:t>
      </w:r>
      <w:r w:rsidR="00573EF3">
        <w:noBreakHyphen/>
      </w:r>
      <w:r w:rsidRPr="00D940D9">
        <w:t>Meier estimator is a non</w:t>
      </w:r>
      <w:r w:rsidR="00573EF3">
        <w:noBreakHyphen/>
      </w:r>
      <w:r w:rsidRPr="00D940D9">
        <w:t>parametric method that allows us to mode</w:t>
      </w:r>
      <w:r w:rsidR="005A4CCE" w:rsidRPr="00D940D9">
        <w:t>l</w:t>
      </w:r>
      <w:r w:rsidRPr="00D940D9">
        <w:t xml:space="preserve"> the time to document submission without making assumptions about the underlying distribution.</w:t>
      </w:r>
    </w:p>
    <w:p w14:paraId="1D76332C" w14:textId="7D747D00" w:rsidR="00CD2990" w:rsidRPr="00D940D9" w:rsidRDefault="00CD2990" w:rsidP="00D940D9">
      <w:r w:rsidRPr="00D940D9">
        <w:t>The Kaplan</w:t>
      </w:r>
      <w:r w:rsidR="00573EF3">
        <w:noBreakHyphen/>
      </w:r>
      <w:r w:rsidRPr="00D940D9">
        <w:t>Meier estimator calculates the survival function,</w:t>
      </w:r>
      <w:r w:rsidR="00DC0A7B" w:rsidRPr="00D940D9">
        <w:t xml:space="preserve"> </w:t>
      </w:r>
      <m:oMath>
        <m:sSub>
          <m:sSubPr>
            <m:ctrlPr>
              <w:rPr>
                <w:rFonts w:ascii="Cambria Math" w:hAnsi="Cambria Math"/>
              </w:rPr>
            </m:ctrlPr>
          </m:sSubPr>
          <m:e>
            <m:r>
              <w:rPr>
                <w:rFonts w:ascii="Cambria Math" w:hAnsi="Cambria Math"/>
              </w:rPr>
              <m:t>S</m:t>
            </m:r>
          </m:e>
          <m:sub>
            <m:r>
              <w:rPr>
                <w:rFonts w:ascii="Cambria Math" w:hAnsi="Cambria Math"/>
              </w:rPr>
              <m:t>t</m:t>
            </m:r>
          </m:sub>
        </m:sSub>
      </m:oMath>
      <w:r w:rsidRPr="00D940D9">
        <w:t>, which gives the probability that a charity has not yet submitted its documents by time t</w:t>
      </w:r>
      <w:r w:rsidR="00DC0A7B" w:rsidRPr="00D940D9">
        <w:t>.</w:t>
      </w:r>
    </w:p>
    <w:p w14:paraId="1FC7864F" w14:textId="089CB634" w:rsidR="005B1971" w:rsidRPr="005B1971" w:rsidRDefault="005B1971" w:rsidP="00D940D9">
      <w:pPr>
        <w:pStyle w:val="Boxindent"/>
        <w:rPr>
          <w:rFonts w:eastAsiaTheme="minorEastAsia"/>
        </w:rPr>
      </w:pPr>
      <m:oMathPara>
        <m:oMath>
          <m:r>
            <w:rPr>
              <w:rFonts w:ascii="Cambria Math" w:hAnsi="Cambria Math"/>
            </w:rPr>
            <m:t>S</m:t>
          </m:r>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r>
                <w:rPr>
                  <w:rFonts w:ascii="Cambria Math" w:hAnsi="Cambria Math"/>
                </w:rPr>
                <m:t>t</m:t>
              </m:r>
            </m:sub>
            <m:sup/>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m:rPr>
                  <m:sty m:val="p"/>
                </m:rPr>
                <w:rPr>
                  <w:rFonts w:ascii="Cambria Math" w:hAnsi="Cambria Math"/>
                </w:rPr>
                <m:t>)</m:t>
              </m:r>
            </m:e>
          </m:nary>
        </m:oMath>
      </m:oMathPara>
    </w:p>
    <w:p w14:paraId="42CE727C" w14:textId="477CF4C8" w:rsidR="00CD2990" w:rsidRPr="00CD2990" w:rsidRDefault="00CD2990" w:rsidP="004B1BAF">
      <w:pPr>
        <w:rPr>
          <w:rFonts w:eastAsiaTheme="minorEastAsia"/>
        </w:rPr>
      </w:pPr>
      <w:r w:rsidRPr="00CD2990">
        <w:t>Where:</w:t>
      </w:r>
    </w:p>
    <w:p w14:paraId="050AD931" w14:textId="1F05D33A" w:rsidR="00CD2990" w:rsidRPr="00CD2990" w:rsidRDefault="001B2506" w:rsidP="004B1BAF">
      <w:pPr>
        <w:pStyle w:val="Bullet1"/>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3354FA">
        <w:t xml:space="preserve"> is the time of the </w:t>
      </w:r>
      <m:oMath>
        <m:r>
          <w:rPr>
            <w:rFonts w:ascii="Cambria Math" w:hAnsi="Cambria Math"/>
          </w:rPr>
          <m:t>i</m:t>
        </m:r>
      </m:oMath>
      <w:r w:rsidR="00573EF3">
        <w:noBreakHyphen/>
      </w:r>
      <w:r w:rsidR="003354FA">
        <w:t>th event (submission)</w:t>
      </w:r>
    </w:p>
    <w:p w14:paraId="0C3ACD9F" w14:textId="3833FE56" w:rsidR="00CD2990" w:rsidRPr="00CD2990" w:rsidRDefault="001B2506" w:rsidP="004B1BAF">
      <w:pPr>
        <w:pStyle w:val="Bullet1"/>
      </w:pP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oMath>
      <w:r w:rsidR="00CD2990" w:rsidRPr="00CD2990">
        <w:t xml:space="preserve">is the number of events (submissions) at time </w:t>
      </w:r>
      <m:oMath>
        <m:r>
          <w:rPr>
            <w:rFonts w:ascii="Cambria Math" w:hAnsi="Cambria Math"/>
          </w:rPr>
          <m:t>t</m:t>
        </m:r>
      </m:oMath>
      <w:r w:rsidR="00CD2990" w:rsidRPr="00CD2990">
        <w:t>.</w:t>
      </w:r>
    </w:p>
    <w:p w14:paraId="7ED03D55" w14:textId="5F4CE8C9" w:rsidR="00CD2990" w:rsidRPr="00B26655" w:rsidRDefault="001B2506" w:rsidP="004B1BAF">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oMath>
      <w:r w:rsidR="00CD2990" w:rsidRPr="00CD2990">
        <w:t>is the number of charities at risk of</w:t>
      </w:r>
      <w:r w:rsidR="00505A8A">
        <w:t xml:space="preserve"> (those who have not yet submitted) just before time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B26655">
        <w:t xml:space="preserve">, i.e, those who have neither submitted nor been censored before </w:t>
      </w:r>
      <m:oMath>
        <m:sSub>
          <m:sSubPr>
            <m:ctrlPr>
              <w:rPr>
                <w:rFonts w:ascii="Cambria Math" w:hAnsi="Cambria Math"/>
                <w:i/>
              </w:rPr>
            </m:ctrlPr>
          </m:sSubPr>
          <m:e>
            <m:r>
              <w:rPr>
                <w:rFonts w:ascii="Cambria Math" w:hAnsi="Cambria Math"/>
              </w:rPr>
              <m:t>t</m:t>
            </m:r>
          </m:e>
          <m:sub>
            <m:r>
              <w:rPr>
                <w:rFonts w:ascii="Cambria Math" w:hAnsi="Cambria Math"/>
              </w:rPr>
              <m:t>i</m:t>
            </m:r>
          </m:sub>
        </m:sSub>
      </m:oMath>
    </w:p>
    <w:p w14:paraId="394C1D8E" w14:textId="15400140" w:rsidR="000C05E9" w:rsidRDefault="002B1F38" w:rsidP="004B1BAF">
      <w:pPr>
        <w:pStyle w:val="NumberedList1"/>
      </w:pPr>
      <w:r>
        <w:rPr>
          <w:b/>
        </w:rPr>
        <w:t>Right censoring</w:t>
      </w:r>
      <w:r w:rsidR="000C05E9" w:rsidRPr="00524CD4">
        <w:t>:</w:t>
      </w:r>
      <w:r>
        <w:t xml:space="preserve"> </w:t>
      </w:r>
      <w:r w:rsidR="00A56CD6">
        <w:t>Right censoring happens when a charity does not submit its documents by the time of the analysis, and we do not know whether or when they will submit in the future. These censored charities are included in the analysis up to the point of censoring but do not contribute to the risk set for later time points.</w:t>
      </w:r>
    </w:p>
    <w:p w14:paraId="7CBC35BF" w14:textId="366D2671" w:rsidR="00942917" w:rsidRDefault="006D25CE" w:rsidP="004B1BAF">
      <w:pPr>
        <w:pStyle w:val="NumberedList1"/>
      </w:pPr>
      <w:r w:rsidRPr="00965808">
        <w:rPr>
          <w:b/>
          <w:bCs/>
        </w:rPr>
        <w:t>Kaplan</w:t>
      </w:r>
      <w:r w:rsidR="00573EF3">
        <w:rPr>
          <w:b/>
          <w:bCs/>
        </w:rPr>
        <w:noBreakHyphen/>
      </w:r>
      <w:r w:rsidRPr="00965808">
        <w:rPr>
          <w:b/>
          <w:bCs/>
        </w:rPr>
        <w:t>Meier survival curves</w:t>
      </w:r>
      <w:r>
        <w:t>: The curve will display the survival probability over time for both the</w:t>
      </w:r>
      <w:r w:rsidR="005F0B28">
        <w:t xml:space="preserve"> treatment and the control group. A higher survival probability at any time t indicates that more charities have no</w:t>
      </w:r>
      <w:r w:rsidR="007B6463">
        <w:t>t</w:t>
      </w:r>
      <w:r w:rsidR="005F0B28">
        <w:t xml:space="preserve"> submitted by that</w:t>
      </w:r>
      <w:r w:rsidR="007B6463">
        <w:t xml:space="preserve"> time.</w:t>
      </w:r>
      <w:r w:rsidR="00965808">
        <w:t xml:space="preserve"> </w:t>
      </w:r>
      <w:r w:rsidR="0062228F" w:rsidRPr="00965808">
        <w:t>If the survival curve for treatment group declines more rapidly than the control group, it suggests that the reminders are prompting earlier submission.</w:t>
      </w:r>
      <w:r w:rsidR="00965808">
        <w:t xml:space="preserve"> </w:t>
      </w:r>
      <w:r w:rsidR="0060223E">
        <w:t>We will summarise the Kaplan</w:t>
      </w:r>
      <w:r w:rsidR="00573EF3">
        <w:noBreakHyphen/>
      </w:r>
      <w:r w:rsidR="0060223E">
        <w:t>Meier curve by reporting the median survival time</w:t>
      </w:r>
      <w:r w:rsidR="007205AB">
        <w:t xml:space="preserve"> for each treatment group separately</w:t>
      </w:r>
      <w:r w:rsidR="0060223E">
        <w:t>.</w:t>
      </w:r>
    </w:p>
    <w:p w14:paraId="0663DA0D" w14:textId="3F45F188" w:rsidR="004B1BAF" w:rsidRPr="00474CCE" w:rsidRDefault="0062228F" w:rsidP="00474CCE">
      <w:pPr>
        <w:rPr>
          <w:sz w:val="24"/>
        </w:rPr>
      </w:pPr>
      <w:r w:rsidRPr="004B1BAF">
        <w:t xml:space="preserve">To statistically compare the </w:t>
      </w:r>
      <w:r w:rsidR="00810A94" w:rsidRPr="004B1BAF">
        <w:t>2</w:t>
      </w:r>
      <w:r w:rsidRPr="004B1BAF">
        <w:t xml:space="preserve"> curves, we will use </w:t>
      </w:r>
      <w:r w:rsidR="00C809A2" w:rsidRPr="004B1BAF">
        <w:t>a</w:t>
      </w:r>
      <w:r w:rsidRPr="004B1BAF">
        <w:t xml:space="preserve"> </w:t>
      </w:r>
      <w:r w:rsidR="00216BAA" w:rsidRPr="004B1BAF">
        <w:t>one</w:t>
      </w:r>
      <w:r w:rsidR="00573EF3">
        <w:noBreakHyphen/>
      </w:r>
      <w:r w:rsidR="00216BAA" w:rsidRPr="004B1BAF">
        <w:t xml:space="preserve">tailed </w:t>
      </w:r>
      <w:r w:rsidRPr="004B1BAF">
        <w:t>log</w:t>
      </w:r>
      <w:r w:rsidR="00573EF3">
        <w:noBreakHyphen/>
      </w:r>
      <w:r w:rsidRPr="004B1BAF">
        <w:t>rank</w:t>
      </w:r>
      <w:r w:rsidR="00573EF3">
        <w:noBreakHyphen/>
      </w:r>
      <w:r w:rsidRPr="004B1BAF">
        <w:t>test</w:t>
      </w:r>
      <w:r w:rsidR="00216BAA" w:rsidRPr="004B1BAF">
        <w:t xml:space="preserve"> with 5</w:t>
      </w:r>
      <w:r w:rsidR="004B1BAF">
        <w:t xml:space="preserve"> per cent</w:t>
      </w:r>
      <w:r w:rsidR="00216BAA" w:rsidRPr="004B1BAF">
        <w:t xml:space="preserve"> level of significance</w:t>
      </w:r>
      <w:r w:rsidRPr="004B1BAF">
        <w:t xml:space="preserve">. </w:t>
      </w:r>
      <w:r w:rsidR="00E432FE" w:rsidRPr="004B1BAF">
        <w:t xml:space="preserve">The test allows us to evaluate </w:t>
      </w:r>
      <w:r w:rsidR="00942917" w:rsidRPr="004B1BAF">
        <w:t>whether second email reminders significantly speed up on</w:t>
      </w:r>
      <w:r w:rsidR="00573EF3">
        <w:noBreakHyphen/>
      </w:r>
      <w:r w:rsidR="00942917" w:rsidRPr="004B1BAF">
        <w:t>time submissions compared to no reminders.</w:t>
      </w:r>
      <w:r w:rsidR="007122E3" w:rsidRPr="004B1BAF">
        <w:t xml:space="preserve"> The h</w:t>
      </w:r>
      <w:r w:rsidR="00A34A01" w:rsidRPr="004B1BAF">
        <w:t>ypothesis for log</w:t>
      </w:r>
      <w:r w:rsidR="00573EF3">
        <w:noBreakHyphen/>
      </w:r>
      <w:r w:rsidR="00A34A01" w:rsidRPr="004B1BAF">
        <w:t>rank test</w:t>
      </w:r>
      <w:r w:rsidR="000436FF" w:rsidRPr="004B1BAF">
        <w:t xml:space="preserve"> is t</w:t>
      </w:r>
      <w:r w:rsidR="00781D58" w:rsidRPr="004B1BAF">
        <w:t>he treatment group (</w:t>
      </w:r>
      <w:r w:rsidR="00CF5E2A" w:rsidRPr="004B1BAF">
        <w:t>charities receiving second email reminders) has shorter time</w:t>
      </w:r>
      <w:r w:rsidR="00573EF3">
        <w:noBreakHyphen/>
      </w:r>
      <w:r w:rsidR="00CF5E2A" w:rsidRPr="004B1BAF">
        <w:t>to</w:t>
      </w:r>
      <w:r w:rsidR="00573EF3">
        <w:noBreakHyphen/>
      </w:r>
      <w:r w:rsidR="00CF5E2A" w:rsidRPr="004B1BAF">
        <w:t>submission than the control group.</w:t>
      </w:r>
    </w:p>
    <w:p w14:paraId="724A9AD8" w14:textId="5618899B" w:rsidR="0095289F" w:rsidRPr="007C5866" w:rsidRDefault="4B1AD511" w:rsidP="0027059A">
      <w:pPr>
        <w:pStyle w:val="Heading2"/>
      </w:pPr>
      <w:bookmarkStart w:id="18" w:name="_Toc208322644"/>
      <w:r>
        <w:lastRenderedPageBreak/>
        <w:t>Exploratory s</w:t>
      </w:r>
      <w:r w:rsidR="0095289F">
        <w:t>ubgroup analysis</w:t>
      </w:r>
      <w:bookmarkEnd w:id="18"/>
    </w:p>
    <w:p w14:paraId="5A07018F" w14:textId="44BE5E2D" w:rsidR="007239C1" w:rsidRPr="00113CFC" w:rsidRDefault="007239C1" w:rsidP="007239C1">
      <w:pPr>
        <w:rPr>
          <w:color w:val="000000" w:themeColor="text1"/>
        </w:rPr>
      </w:pPr>
      <w:r>
        <w:rPr>
          <w:color w:val="000000" w:themeColor="text1"/>
        </w:rPr>
        <w:t>We chose five different</w:t>
      </w:r>
      <w:r w:rsidR="00E05523">
        <w:rPr>
          <w:color w:val="000000" w:themeColor="text1"/>
        </w:rPr>
        <w:t xml:space="preserve"> subgroups</w:t>
      </w:r>
      <w:r w:rsidRPr="00113CFC">
        <w:rPr>
          <w:color w:val="000000" w:themeColor="text1"/>
        </w:rPr>
        <w:t xml:space="preserve"> </w:t>
      </w:r>
      <w:r w:rsidR="0062132B">
        <w:rPr>
          <w:color w:val="000000" w:themeColor="text1"/>
        </w:rPr>
        <w:t xml:space="preserve">on which to undertake </w:t>
      </w:r>
      <w:r w:rsidR="004E227F">
        <w:rPr>
          <w:color w:val="000000" w:themeColor="text1"/>
        </w:rPr>
        <w:t xml:space="preserve">exploratory </w:t>
      </w:r>
      <w:r w:rsidR="0062132B">
        <w:rPr>
          <w:color w:val="000000" w:themeColor="text1"/>
        </w:rPr>
        <w:t>subgroup analysis</w:t>
      </w:r>
      <w:r w:rsidR="002E4AF6">
        <w:rPr>
          <w:color w:val="000000" w:themeColor="text1"/>
        </w:rPr>
        <w:t xml:space="preserve"> </w:t>
      </w:r>
      <w:r w:rsidRPr="00113CFC">
        <w:rPr>
          <w:color w:val="000000" w:themeColor="text1"/>
        </w:rPr>
        <w:t>based on the following f</w:t>
      </w:r>
      <w:r>
        <w:rPr>
          <w:color w:val="000000" w:themeColor="text1"/>
        </w:rPr>
        <w:t>ive</w:t>
      </w:r>
      <w:r w:rsidRPr="00113CFC">
        <w:rPr>
          <w:color w:val="000000" w:themeColor="text1"/>
        </w:rPr>
        <w:t xml:space="preserve"> characteristics:</w:t>
      </w:r>
    </w:p>
    <w:p w14:paraId="59D3AE61" w14:textId="7835ECA6" w:rsidR="007239C1" w:rsidRPr="004B1BAF" w:rsidRDefault="007239C1" w:rsidP="004B1BAF">
      <w:pPr>
        <w:pStyle w:val="Bullet1"/>
      </w:pPr>
      <w:r w:rsidRPr="004B1BAF">
        <w:rPr>
          <w:rStyle w:val="Strong"/>
        </w:rPr>
        <w:t>Charity size:</w:t>
      </w:r>
      <w:r w:rsidRPr="004B1BAF">
        <w:t xml:space="preserve"> Charities are categorised as either small, medium, or large based on </w:t>
      </w:r>
      <w:r w:rsidR="00EB75B8" w:rsidRPr="004B1BAF">
        <w:t xml:space="preserve">the </w:t>
      </w:r>
      <w:r w:rsidRPr="004B1BAF">
        <w:t>ACNC legislative criteria.</w:t>
      </w:r>
    </w:p>
    <w:p w14:paraId="28D59A81" w14:textId="21FDC601" w:rsidR="007239C1" w:rsidRPr="004B1BAF" w:rsidRDefault="007239C1" w:rsidP="004B1BAF">
      <w:pPr>
        <w:pStyle w:val="Bullet1"/>
      </w:pPr>
      <w:r w:rsidRPr="004B1BAF">
        <w:rPr>
          <w:rStyle w:val="Strong"/>
        </w:rPr>
        <w:t>Incorporated association status:</w:t>
      </w:r>
      <w:r w:rsidRPr="004B1BAF">
        <w:t xml:space="preserve"> Charities report whether they are an incorporated association in the AIS. This data will include a Y</w:t>
      </w:r>
      <w:r w:rsidR="00341C8F" w:rsidRPr="004B1BAF">
        <w:t>es</w:t>
      </w:r>
      <w:r w:rsidRPr="004B1BAF">
        <w:t xml:space="preserve"> or N</w:t>
      </w:r>
      <w:r w:rsidR="00341C8F" w:rsidRPr="004B1BAF">
        <w:t>o</w:t>
      </w:r>
      <w:r w:rsidRPr="004B1BAF">
        <w:t xml:space="preserve"> for the </w:t>
      </w:r>
      <w:r w:rsidR="00810A94" w:rsidRPr="004B1BAF">
        <w:t xml:space="preserve">2 </w:t>
      </w:r>
      <w:r w:rsidRPr="004B1BAF">
        <w:t xml:space="preserve">levels. </w:t>
      </w:r>
    </w:p>
    <w:p w14:paraId="2595037B" w14:textId="21BF618E" w:rsidR="007239C1" w:rsidRPr="004B1BAF" w:rsidRDefault="007239C1" w:rsidP="004B1BAF">
      <w:pPr>
        <w:pStyle w:val="Bullet1"/>
      </w:pPr>
      <w:r w:rsidRPr="004B1BAF">
        <w:rPr>
          <w:rStyle w:val="Strong"/>
        </w:rPr>
        <w:t>Volunteer</w:t>
      </w:r>
      <w:r w:rsidR="00573EF3">
        <w:rPr>
          <w:rStyle w:val="Strong"/>
        </w:rPr>
        <w:noBreakHyphen/>
      </w:r>
      <w:r w:rsidRPr="004B1BAF">
        <w:rPr>
          <w:rStyle w:val="Strong"/>
        </w:rPr>
        <w:t>based status:</w:t>
      </w:r>
      <w:r w:rsidRPr="004B1BAF">
        <w:t xml:space="preserve"> </w:t>
      </w:r>
      <w:r w:rsidR="00244DE1" w:rsidRPr="004B1BAF">
        <w:t>Charities are classified as volunteer</w:t>
      </w:r>
      <w:r w:rsidR="00573EF3">
        <w:noBreakHyphen/>
      </w:r>
      <w:r w:rsidR="00244DE1" w:rsidRPr="004B1BAF">
        <w:t>based if they have no employees but have at least one unpaid volunteer. Otherwise, they are classified as non</w:t>
      </w:r>
      <w:r w:rsidR="00573EF3">
        <w:noBreakHyphen/>
      </w:r>
      <w:r w:rsidR="00244DE1" w:rsidRPr="004B1BAF">
        <w:t>volunteer</w:t>
      </w:r>
      <w:r w:rsidR="00573EF3">
        <w:noBreakHyphen/>
      </w:r>
      <w:r w:rsidR="00244DE1" w:rsidRPr="004B1BAF">
        <w:t xml:space="preserve">based. </w:t>
      </w:r>
      <w:r w:rsidRPr="004B1BAF">
        <w:t xml:space="preserve">These </w:t>
      </w:r>
      <w:r w:rsidR="00810A94" w:rsidRPr="004B1BAF">
        <w:t xml:space="preserve">2 </w:t>
      </w:r>
      <w:r w:rsidRPr="004B1BAF">
        <w:t>levels will be indicated with a Y</w:t>
      </w:r>
      <w:r w:rsidR="00341C8F" w:rsidRPr="004B1BAF">
        <w:t>es</w:t>
      </w:r>
      <w:r w:rsidRPr="004B1BAF">
        <w:t xml:space="preserve"> or N</w:t>
      </w:r>
      <w:r w:rsidR="00341C8F" w:rsidRPr="004B1BAF">
        <w:t>o</w:t>
      </w:r>
      <w:r w:rsidRPr="004B1BAF">
        <w:t xml:space="preserve">. </w:t>
      </w:r>
    </w:p>
    <w:p w14:paraId="60B35D7F" w14:textId="52874CE5" w:rsidR="007239C1" w:rsidRPr="004B1BAF" w:rsidRDefault="007239C1" w:rsidP="004B1BAF">
      <w:pPr>
        <w:pStyle w:val="Bullet1"/>
      </w:pPr>
      <w:r w:rsidRPr="004B1BAF">
        <w:rPr>
          <w:rStyle w:val="Strong"/>
        </w:rPr>
        <w:t>Basic religious charity status:</w:t>
      </w:r>
      <w:r w:rsidRPr="004B1BAF">
        <w:t xml:space="preserve"> Charities can classify themselves as a Basic Religious Charity if they meet specific criteria set by the ACNC</w:t>
      </w:r>
      <w:r w:rsidR="00573EF3">
        <w:t>’</w:t>
      </w:r>
      <w:r w:rsidRPr="004B1BAF">
        <w:t xml:space="preserve">s legislation. These </w:t>
      </w:r>
      <w:r w:rsidR="00810A94" w:rsidRPr="004B1BAF">
        <w:t>2</w:t>
      </w:r>
      <w:r w:rsidRPr="004B1BAF">
        <w:t xml:space="preserve"> levels will be identified with a Y</w:t>
      </w:r>
      <w:r w:rsidR="00341C8F" w:rsidRPr="004B1BAF">
        <w:t>es</w:t>
      </w:r>
      <w:r w:rsidRPr="004B1BAF">
        <w:t xml:space="preserve"> or N</w:t>
      </w:r>
      <w:r w:rsidR="00341C8F" w:rsidRPr="004B1BAF">
        <w:t>o</w:t>
      </w:r>
      <w:r w:rsidRPr="004B1BAF">
        <w:t xml:space="preserve"> in the data. </w:t>
      </w:r>
    </w:p>
    <w:p w14:paraId="5C16CCD8" w14:textId="609E3BEB" w:rsidR="007239C1" w:rsidRPr="004B1BAF" w:rsidRDefault="007239C1" w:rsidP="004B1BAF">
      <w:pPr>
        <w:pStyle w:val="Bullet1"/>
      </w:pPr>
      <w:r w:rsidRPr="00D07E9F">
        <w:rPr>
          <w:rStyle w:val="Strong"/>
        </w:rPr>
        <w:t>First AIS:</w:t>
      </w:r>
      <w:r w:rsidRPr="004B1BAF">
        <w:t xml:space="preserve"> the ACNC will provide data that indicates whether this is a charity</w:t>
      </w:r>
      <w:r w:rsidR="00573EF3">
        <w:t>’</w:t>
      </w:r>
      <w:r w:rsidRPr="004B1BAF">
        <w:t>s first time submitting an AIS. This data will include a Y</w:t>
      </w:r>
      <w:r w:rsidR="00341C8F" w:rsidRPr="004B1BAF">
        <w:t>es</w:t>
      </w:r>
      <w:r w:rsidRPr="004B1BAF">
        <w:t xml:space="preserve"> or N</w:t>
      </w:r>
      <w:r w:rsidR="00341C8F" w:rsidRPr="004B1BAF">
        <w:t>o</w:t>
      </w:r>
      <w:r w:rsidRPr="004B1BAF">
        <w:t xml:space="preserve"> for the </w:t>
      </w:r>
      <w:r w:rsidR="00810A94" w:rsidRPr="004B1BAF">
        <w:t>2</w:t>
      </w:r>
      <w:r w:rsidRPr="004B1BAF">
        <w:t xml:space="preserve"> levels.</w:t>
      </w:r>
    </w:p>
    <w:p w14:paraId="53DFDD3F" w14:textId="27554B99" w:rsidR="0095289F" w:rsidRDefault="00A60A7E" w:rsidP="0095289F">
      <w:pPr>
        <w:rPr>
          <w:color w:val="000000" w:themeColor="text1"/>
        </w:rPr>
      </w:pPr>
      <w:r>
        <w:rPr>
          <w:color w:val="000000" w:themeColor="text1"/>
        </w:rPr>
        <w:t xml:space="preserve">These subgroups </w:t>
      </w:r>
      <w:r w:rsidR="00C809A2">
        <w:rPr>
          <w:color w:val="000000" w:themeColor="text1"/>
        </w:rPr>
        <w:t xml:space="preserve">were chosen </w:t>
      </w:r>
      <w:r>
        <w:rPr>
          <w:color w:val="000000" w:themeColor="text1"/>
        </w:rPr>
        <w:t xml:space="preserve">based </w:t>
      </w:r>
      <w:r w:rsidR="00CA053E">
        <w:rPr>
          <w:color w:val="000000" w:themeColor="text1"/>
        </w:rPr>
        <w:t>on policy</w:t>
      </w:r>
      <w:r w:rsidR="00CB67B2">
        <w:rPr>
          <w:color w:val="000000" w:themeColor="text1"/>
        </w:rPr>
        <w:t xml:space="preserve"> and </w:t>
      </w:r>
      <w:r w:rsidR="003104A4">
        <w:rPr>
          <w:color w:val="000000" w:themeColor="text1"/>
        </w:rPr>
        <w:t>strategic</w:t>
      </w:r>
      <w:r w:rsidR="00CA053E">
        <w:rPr>
          <w:color w:val="000000" w:themeColor="text1"/>
        </w:rPr>
        <w:t xml:space="preserve"> relevance</w:t>
      </w:r>
      <w:r w:rsidR="00390FE7">
        <w:rPr>
          <w:color w:val="000000" w:themeColor="text1"/>
        </w:rPr>
        <w:t xml:space="preserve">, as indicated by </w:t>
      </w:r>
      <w:r w:rsidR="00EB75B8">
        <w:rPr>
          <w:color w:val="000000" w:themeColor="text1"/>
        </w:rPr>
        <w:t xml:space="preserve">the </w:t>
      </w:r>
      <w:r w:rsidR="00390FE7">
        <w:rPr>
          <w:color w:val="000000" w:themeColor="text1"/>
        </w:rPr>
        <w:t>ACNC.</w:t>
      </w:r>
    </w:p>
    <w:p w14:paraId="7C8F76CF" w14:textId="2FD65272" w:rsidR="004C1636" w:rsidRDefault="009D0913" w:rsidP="0095289F">
      <w:pPr>
        <w:rPr>
          <w:color w:val="000000" w:themeColor="text1"/>
        </w:rPr>
      </w:pPr>
      <w:r>
        <w:rPr>
          <w:color w:val="000000" w:themeColor="text1"/>
        </w:rPr>
        <w:t>New charities will be excluded from the subgroup</w:t>
      </w:r>
      <w:r w:rsidR="00BA2CAC">
        <w:rPr>
          <w:color w:val="000000" w:themeColor="text1"/>
        </w:rPr>
        <w:t xml:space="preserve"> analysis for charity size, incorporated association, volunteer</w:t>
      </w:r>
      <w:r w:rsidR="00573EF3">
        <w:rPr>
          <w:color w:val="000000" w:themeColor="text1"/>
        </w:rPr>
        <w:noBreakHyphen/>
      </w:r>
      <w:r w:rsidR="00BA2CAC">
        <w:rPr>
          <w:color w:val="000000" w:themeColor="text1"/>
        </w:rPr>
        <w:t xml:space="preserve">based status and basic religious charity status. This is because the covariate information for new charities will only be available if that charity submits their AIS by the </w:t>
      </w:r>
      <w:r w:rsidR="005F7384">
        <w:rPr>
          <w:color w:val="000000" w:themeColor="text1"/>
        </w:rPr>
        <w:t>time data is extracted</w:t>
      </w:r>
      <w:r w:rsidR="00F2756B">
        <w:rPr>
          <w:color w:val="000000" w:themeColor="text1"/>
        </w:rPr>
        <w:t>, and th</w:t>
      </w:r>
      <w:r w:rsidR="00FF30BA">
        <w:rPr>
          <w:color w:val="000000" w:themeColor="text1"/>
        </w:rPr>
        <w:t xml:space="preserve">e AIS </w:t>
      </w:r>
      <w:r w:rsidR="00F2756B">
        <w:rPr>
          <w:color w:val="000000" w:themeColor="text1"/>
        </w:rPr>
        <w:t>submission is likely to be correlated to the treatment effect.</w:t>
      </w:r>
    </w:p>
    <w:p w14:paraId="30871C02" w14:textId="75BB9B84" w:rsidR="009D0913" w:rsidRDefault="00CF521B" w:rsidP="0095289F">
      <w:pPr>
        <w:rPr>
          <w:color w:val="000000" w:themeColor="text1"/>
        </w:rPr>
      </w:pPr>
      <w:r>
        <w:rPr>
          <w:color w:val="000000" w:themeColor="text1"/>
        </w:rPr>
        <w:t>Regardless, new charities will necessarily be included in the analysis of the first AIS subgroup</w:t>
      </w:r>
      <w:r w:rsidR="00576F1E">
        <w:rPr>
          <w:color w:val="000000" w:themeColor="text1"/>
        </w:rPr>
        <w:t xml:space="preserve"> effect</w:t>
      </w:r>
      <w:r>
        <w:rPr>
          <w:color w:val="000000" w:themeColor="text1"/>
        </w:rPr>
        <w:t>.</w:t>
      </w:r>
      <w:r w:rsidR="005A5E00">
        <w:rPr>
          <w:color w:val="000000" w:themeColor="text1"/>
        </w:rPr>
        <w:t xml:space="preserve"> We will </w:t>
      </w:r>
      <w:r w:rsidR="00783421">
        <w:rPr>
          <w:color w:val="000000" w:themeColor="text1"/>
        </w:rPr>
        <w:t xml:space="preserve">not </w:t>
      </w:r>
      <w:r w:rsidR="005A5E00">
        <w:rPr>
          <w:color w:val="000000" w:themeColor="text1"/>
        </w:rPr>
        <w:t>incorporate any additional covariates information generated after treatment assignment in the analysis</w:t>
      </w:r>
      <w:r w:rsidR="00AB6B25">
        <w:rPr>
          <w:color w:val="000000" w:themeColor="text1"/>
        </w:rPr>
        <w:t xml:space="preserve"> for the first AIS </w:t>
      </w:r>
      <w:r w:rsidR="00C8632B">
        <w:rPr>
          <w:color w:val="000000" w:themeColor="text1"/>
        </w:rPr>
        <w:t xml:space="preserve">submission </w:t>
      </w:r>
      <w:r w:rsidR="00AB6B25">
        <w:rPr>
          <w:color w:val="000000" w:themeColor="text1"/>
        </w:rPr>
        <w:t>effect</w:t>
      </w:r>
      <w:r w:rsidR="005A5E00">
        <w:rPr>
          <w:color w:val="000000" w:themeColor="text1"/>
        </w:rPr>
        <w:t>.</w:t>
      </w:r>
    </w:p>
    <w:p w14:paraId="125EC0DD" w14:textId="2DD34041" w:rsidR="003F381E" w:rsidRDefault="001307B1" w:rsidP="0095289F">
      <w:pPr>
        <w:rPr>
          <w:color w:val="000000" w:themeColor="text1"/>
        </w:rPr>
      </w:pPr>
      <w:r>
        <w:rPr>
          <w:color w:val="000000" w:themeColor="text1"/>
        </w:rPr>
        <w:t xml:space="preserve">To explore how the </w:t>
      </w:r>
      <w:r w:rsidR="00CF4206">
        <w:rPr>
          <w:color w:val="000000" w:themeColor="text1"/>
        </w:rPr>
        <w:t>treatment</w:t>
      </w:r>
      <w:r>
        <w:rPr>
          <w:color w:val="000000" w:themeColor="text1"/>
        </w:rPr>
        <w:t xml:space="preserve"> effect varies across different charity characteristics, we will use </w:t>
      </w:r>
      <w:r w:rsidR="00FE7C54">
        <w:rPr>
          <w:color w:val="000000" w:themeColor="text1"/>
        </w:rPr>
        <w:t xml:space="preserve">an approach including </w:t>
      </w:r>
      <w:r>
        <w:rPr>
          <w:color w:val="000000" w:themeColor="text1"/>
        </w:rPr>
        <w:t>three regressions for each subgroup</w:t>
      </w:r>
      <w:r w:rsidR="00173CB0">
        <w:rPr>
          <w:color w:val="000000" w:themeColor="text1"/>
        </w:rPr>
        <w:t>:</w:t>
      </w:r>
    </w:p>
    <w:p w14:paraId="4D5BD1B4" w14:textId="45986B67" w:rsidR="009154FC" w:rsidRPr="00D07E9F" w:rsidRDefault="003029CC" w:rsidP="00D07E9F">
      <w:r w:rsidRPr="00D07E9F">
        <w:rPr>
          <w:rStyle w:val="Strong"/>
        </w:rPr>
        <w:t>Step 1:</w:t>
      </w:r>
      <w:r w:rsidRPr="00D07E9F">
        <w:t xml:space="preserve"> </w:t>
      </w:r>
      <w:r w:rsidR="000B1E9E" w:rsidRPr="00D07E9F">
        <w:t xml:space="preserve">We will test whether the treatment effect differs across subgroups through using </w:t>
      </w:r>
      <w:r w:rsidR="001A2147" w:rsidRPr="00D07E9F">
        <w:t xml:space="preserve">our primary analysis model with an additional </w:t>
      </w:r>
      <m:oMath>
        <m:r>
          <m:rPr>
            <m:sty m:val="p"/>
          </m:rPr>
          <w:rPr>
            <w:rFonts w:ascii="Cambria Math" w:hAnsi="Cambria Math"/>
          </w:rPr>
          <m:t>Treatment x Subgroup</m:t>
        </m:r>
      </m:oMath>
      <w:r w:rsidR="00237D26" w:rsidRPr="00D07E9F" w:rsidDel="00237D26">
        <w:t xml:space="preserve"> </w:t>
      </w:r>
      <w:r w:rsidR="001A2147" w:rsidRPr="00D07E9F">
        <w:t xml:space="preserve">of interest interaction term in the regression model. </w:t>
      </w:r>
      <w:r w:rsidR="009154FC" w:rsidRPr="00D07E9F">
        <w:t>This allows us to formally test for heterogeneity in the treatment effect across subgroups. The interaction coefficient will indicate whether and how the treatment effect differs between the levels of the subgroup.</w:t>
      </w:r>
    </w:p>
    <w:p w14:paraId="07584136" w14:textId="42D842AF" w:rsidR="00122837" w:rsidRPr="00524CD4" w:rsidRDefault="001B2506" w:rsidP="00122837">
      <w:pPr>
        <w:pStyle w:val="Boxindent"/>
        <w:jc w:val="both"/>
        <w:rPr>
          <w:rFonts w:eastAsiaTheme="minorEastAsia"/>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r>
            <w:rPr>
              <w:rFonts w:ascii="Cambria Math" w:hAnsi="Cambria Math"/>
              <w:color w:val="000000" w:themeColor="text1"/>
            </w:rPr>
            <m:t xml:space="preserve"> SubGrou</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3</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x </m:t>
          </m:r>
          <m:sSub>
            <m:sSubPr>
              <m:ctrlPr>
                <w:rPr>
                  <w:rFonts w:ascii="Cambria Math" w:hAnsi="Cambria Math"/>
                  <w:color w:val="000000" w:themeColor="text1"/>
                </w:rPr>
              </m:ctrlPr>
            </m:sSubPr>
            <m:e>
              <m:r>
                <m:rPr>
                  <m:sty m:val="p"/>
                </m:rPr>
                <w:rPr>
                  <w:rFonts w:ascii="Cambria Math" w:hAnsi="Cambria Math"/>
                  <w:color w:val="000000" w:themeColor="text1"/>
                </w:rPr>
                <m:t>SubGroup</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r>
            <m:rPr>
              <m:sty m:val="p"/>
            </m:rPr>
            <w:rPr>
              <w:rFonts w:ascii="Cambria Math" w:hAnsi="Cambria Math"/>
              <w:color w:val="000000" w:themeColor="text1"/>
            </w:rPr>
            <m:t>Covariates+</m:t>
          </m:r>
          <m:sSub>
            <m:sSubPr>
              <m:ctrlPr>
                <w:rPr>
                  <w:rFonts w:ascii="Cambria Math" w:hAnsi="Cambria Math"/>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r>
                <m:rPr>
                  <m:sty m:val="p"/>
                </m:rPr>
                <w:rPr>
                  <w:rFonts w:ascii="Cambria Math" w:hAnsi="Cambria Math"/>
                  <w:color w:val="000000" w:themeColor="text1"/>
                </w:rPr>
                <m:t>Treatment x Covariates+</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6</m:t>
                  </m:r>
                </m:sub>
              </m:sSub>
              <m:r>
                <m:rPr>
                  <m:sty m:val="p"/>
                </m:rPr>
                <w:rPr>
                  <w:rFonts w:ascii="Cambria Math" w:hAnsi="Cambria Math"/>
                  <w:color w:val="000000" w:themeColor="text1"/>
                </w:rPr>
                <m:t>Missingness+∈</m:t>
              </m:r>
            </m:e>
            <m:sub>
              <m:r>
                <w:rPr>
                  <w:rFonts w:ascii="Cambria Math" w:hAnsi="Cambria Math"/>
                  <w:color w:val="000000" w:themeColor="text1"/>
                </w:rPr>
                <m:t>i</m:t>
              </m:r>
            </m:sub>
          </m:sSub>
        </m:oMath>
      </m:oMathPara>
    </w:p>
    <w:p w14:paraId="100777F1" w14:textId="77777777" w:rsidR="00783446" w:rsidRDefault="00783446">
      <w:pPr>
        <w:spacing w:after="120" w:line="440" w:lineRule="atLeast"/>
      </w:pPr>
      <w:r>
        <w:br w:type="page"/>
      </w:r>
    </w:p>
    <w:p w14:paraId="5F66035A" w14:textId="548867EB" w:rsidR="007C6F86" w:rsidRPr="00D07E9F" w:rsidRDefault="008332C3" w:rsidP="00D07E9F">
      <w:r w:rsidRPr="00D07E9F">
        <w:lastRenderedPageBreak/>
        <w:t>The coefficients of interest are as follows:</w:t>
      </w:r>
    </w:p>
    <w:p w14:paraId="159D5D62" w14:textId="24F94DC7" w:rsidR="007C6F86" w:rsidRDefault="001B2506" w:rsidP="00D07E9F">
      <w:pPr>
        <w:pStyle w:val="Bullet1"/>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oMath>
      <w:r w:rsidR="00883CF5">
        <w:t xml:space="preserve"> </w:t>
      </w:r>
      <w:r w:rsidR="00D26AE0">
        <w:t>represents the difference in treatment effects between subgroups</w:t>
      </w:r>
      <w:r w:rsidR="00371E89">
        <w:t>,</w:t>
      </w:r>
    </w:p>
    <w:p w14:paraId="57868AF8" w14:textId="5A24B39E" w:rsidR="007C6F86" w:rsidRDefault="001B2506" w:rsidP="00D07E9F">
      <w:pPr>
        <w:pStyle w:val="Bullet1"/>
      </w:pPr>
      <m:oMath>
        <m:sSub>
          <m:sSubPr>
            <m:ctrlPr>
              <w:rPr>
                <w:rFonts w:ascii="Cambria Math" w:hAnsi="Cambria Math"/>
              </w:rPr>
            </m:ctrlPr>
          </m:sSubPr>
          <m:e>
            <m:r>
              <m:rPr>
                <m:sty m:val="p"/>
              </m:rPr>
              <w:rPr>
                <w:rFonts w:ascii="Cambria Math" w:hAnsi="Cambria Math"/>
              </w:rPr>
              <m:t>β</m:t>
            </m:r>
          </m:e>
          <m:sub>
            <m:r>
              <w:rPr>
                <w:rFonts w:ascii="Cambria Math" w:hAnsi="Cambria Math"/>
              </w:rPr>
              <m:t>4</m:t>
            </m:r>
          </m:sub>
        </m:sSub>
      </m:oMath>
      <w:r w:rsidR="00A75BD7">
        <w:t xml:space="preserve"> </w:t>
      </w:r>
      <w:r w:rsidR="002F4C91">
        <w:t>is the coefficient vector</w:t>
      </w:r>
      <w:r w:rsidR="002C6C59">
        <w:t xml:space="preserve"> representing the</w:t>
      </w:r>
      <w:r w:rsidR="00B877D3">
        <w:t xml:space="preserve"> </w:t>
      </w:r>
      <w:r w:rsidR="002C6C59">
        <w:t xml:space="preserve">effect of </w:t>
      </w:r>
      <w:r w:rsidR="00B877D3">
        <w:t xml:space="preserve">the covariates vector </w:t>
      </w:r>
      <w:r w:rsidR="005D764C">
        <w:t>as specifi</w:t>
      </w:r>
      <w:r w:rsidR="004E4CE0">
        <w:t>ed</w:t>
      </w:r>
      <w:r w:rsidR="005D764C">
        <w:t xml:space="preserve"> above (charity size, </w:t>
      </w:r>
      <w:r w:rsidR="00A7004C">
        <w:t>batch number</w:t>
      </w:r>
      <w:r w:rsidR="005D764C">
        <w:t xml:space="preserve"> and previous on</w:t>
      </w:r>
      <w:r w:rsidR="00573EF3">
        <w:noBreakHyphen/>
      </w:r>
      <w:r w:rsidR="00C02AF0" w:rsidRPr="007718A0">
        <w:t xml:space="preserve">time </w:t>
      </w:r>
      <w:r w:rsidR="005D764C">
        <w:t xml:space="preserve">submission of the AIS), </w:t>
      </w:r>
      <w:r w:rsidR="007315B0">
        <w:t>excluding the covariate related to the specific subgroup of interest in the analysis</w:t>
      </w:r>
      <w:r w:rsidR="00371E89">
        <w:t>.</w:t>
      </w:r>
    </w:p>
    <w:p w14:paraId="30910845" w14:textId="73439F1E" w:rsidR="009154FC" w:rsidRPr="00D07E9F" w:rsidRDefault="003029CC" w:rsidP="00D07E9F">
      <w:r w:rsidRPr="00D07E9F">
        <w:rPr>
          <w:rStyle w:val="Strong"/>
        </w:rPr>
        <w:t>Step 2:</w:t>
      </w:r>
      <w:r w:rsidRPr="00D07E9F">
        <w:t xml:space="preserve"> </w:t>
      </w:r>
      <w:r w:rsidR="009154FC" w:rsidRPr="00D07E9F">
        <w:t>We will estimate a separate regression model for charities within one level of the subgroup (e.g., small charities)</w:t>
      </w:r>
      <w:r w:rsidRPr="00D07E9F">
        <w:t xml:space="preserve"> by splitting the sample</w:t>
      </w:r>
      <w:r w:rsidR="009154FC" w:rsidRPr="00D07E9F">
        <w:t>. This will provide a direct estimate of the treatment effect for that specific subgroup.</w:t>
      </w:r>
      <w:r w:rsidR="00075F58" w:rsidRPr="00D07E9F">
        <w:t xml:space="preserve"> The generic model for this will be the same </w:t>
      </w:r>
      <w:r w:rsidR="007315B0" w:rsidRPr="00D07E9F">
        <w:t>as</w:t>
      </w:r>
      <w:r w:rsidR="00075F58" w:rsidRPr="00D07E9F">
        <w:t xml:space="preserve"> the</w:t>
      </w:r>
      <w:r w:rsidR="004310D0" w:rsidRPr="00D07E9F">
        <w:t xml:space="preserve"> </w:t>
      </w:r>
      <w:r w:rsidR="00855168" w:rsidRPr="00D07E9F">
        <w:t>regression model listed for the primary analysis as above, but</w:t>
      </w:r>
      <w:r w:rsidR="004C44B9" w:rsidRPr="00D07E9F">
        <w:t xml:space="preserve"> with the specific subgroup of interest removed from the model as a covariate and from the </w:t>
      </w:r>
      <m:oMath>
        <m:r>
          <m:rPr>
            <m:sty m:val="p"/>
          </m:rPr>
          <w:rPr>
            <w:rFonts w:ascii="Cambria Math" w:hAnsi="Cambria Math"/>
          </w:rPr>
          <m:t>Treatment x Covariates</m:t>
        </m:r>
      </m:oMath>
      <w:r w:rsidR="001E3A17" w:rsidRPr="00D07E9F" w:rsidDel="001E3A17">
        <w:t xml:space="preserve"> </w:t>
      </w:r>
      <w:r w:rsidR="004C44B9" w:rsidRPr="00D07E9F">
        <w:t>interaction term</w:t>
      </w:r>
      <w:r w:rsidR="00F45061" w:rsidRPr="00D07E9F">
        <w:t xml:space="preserve"> if </w:t>
      </w:r>
      <w:r w:rsidR="00F35F5B" w:rsidRPr="00D07E9F">
        <w:t>the current model is testing that specific covariate.</w:t>
      </w:r>
      <w:r w:rsidR="00207D93" w:rsidRPr="00D07E9F">
        <w:t xml:space="preserve"> Similar to the </w:t>
      </w:r>
      <w:r w:rsidR="00671CA9" w:rsidRPr="00D07E9F">
        <w:t>model for</w:t>
      </w:r>
      <w:r w:rsidR="00D07E9F">
        <w:t> </w:t>
      </w:r>
      <w:r w:rsidR="00671CA9" w:rsidRPr="00D07E9F">
        <w:t xml:space="preserve">the primary </w:t>
      </w:r>
      <w:r w:rsidR="00207D93" w:rsidRPr="00D07E9F">
        <w:t>analysis, when there is a missing covariate data, the covariate value will be set to</w:t>
      </w:r>
      <w:r w:rsidR="00D07E9F">
        <w:t> </w:t>
      </w:r>
      <w:r w:rsidR="00207D93" w:rsidRPr="00D07E9F">
        <w:t>0.</w:t>
      </w:r>
    </w:p>
    <w:p w14:paraId="379A7E06" w14:textId="313D272E" w:rsidR="002B28AF" w:rsidRPr="000C7EC9" w:rsidRDefault="00BC181D" w:rsidP="00A46E8E">
      <w:pPr>
        <w:rPr>
          <w:b/>
          <w:bCs/>
          <w:color w:val="000000" w:themeColor="text1"/>
          <w:highlight w:val="yellow"/>
        </w:rPr>
      </w:pPr>
      <w:r w:rsidRPr="000C7EC9">
        <w:rPr>
          <w:b/>
          <w:bCs/>
          <w:color w:val="000000" w:themeColor="text1"/>
        </w:rPr>
        <w:t>For example, for an analysis of charity size, the above steps would be:</w:t>
      </w:r>
      <w:r w:rsidR="009154FC" w:rsidRPr="000C7EC9">
        <w:rPr>
          <w:b/>
          <w:bCs/>
          <w:color w:val="000000" w:themeColor="text1"/>
        </w:rPr>
        <w:t>​</w:t>
      </w:r>
    </w:p>
    <w:p w14:paraId="7B0ECB75" w14:textId="2D641E0F" w:rsidR="009154FC" w:rsidRPr="00D07E9F" w:rsidRDefault="00BC181D" w:rsidP="00D07E9F">
      <w:r w:rsidRPr="00D07E9F">
        <w:rPr>
          <w:rStyle w:val="Strong"/>
        </w:rPr>
        <w:t xml:space="preserve">Step </w:t>
      </w:r>
      <w:r w:rsidR="00A46E8E" w:rsidRPr="00D07E9F">
        <w:rPr>
          <w:rStyle w:val="Strong"/>
        </w:rPr>
        <w:t>1</w:t>
      </w:r>
      <w:r w:rsidRPr="00D07E9F">
        <w:rPr>
          <w:rStyle w:val="Strong"/>
        </w:rPr>
        <w:t>:</w:t>
      </w:r>
      <w:r w:rsidRPr="00D07E9F">
        <w:t xml:space="preserve"> </w:t>
      </w:r>
      <w:r w:rsidR="00A46E8E" w:rsidRPr="00D07E9F">
        <w:t xml:space="preserve">Interacted model: </w:t>
      </w:r>
      <w:r w:rsidR="00F21D73" w:rsidRPr="00D07E9F">
        <w:t xml:space="preserve">To examine whether the treatment effect differs based on </w:t>
      </w:r>
      <w:r w:rsidRPr="00D07E9F">
        <w:t>charity size</w:t>
      </w:r>
      <w:r w:rsidR="00F21D73" w:rsidRPr="00D07E9F">
        <w:t>, we will use the following model:</w:t>
      </w:r>
    </w:p>
    <w:p w14:paraId="22C4A48F" w14:textId="19EB9B82" w:rsidR="009E19B9" w:rsidRDefault="001B2506" w:rsidP="0019532F">
      <w:pPr>
        <w:pStyle w:val="Boxindent"/>
        <w:jc w:val="both"/>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m:t>
          </m:r>
          <m: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2</m:t>
              </m:r>
            </m:sub>
          </m:sSub>
          <m:r>
            <m:rPr>
              <m:sty m:val="p"/>
            </m:rPr>
            <w:rPr>
              <w:rFonts w:ascii="Cambria Math" w:hAnsi="Cambria Math"/>
              <w:color w:val="000000" w:themeColor="text1"/>
            </w:rPr>
            <m:t>Size+</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3</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x </m:t>
          </m:r>
          <m:sSub>
            <m:sSubPr>
              <m:ctrlPr>
                <w:rPr>
                  <w:rFonts w:ascii="Cambria Math" w:hAnsi="Cambria Math"/>
                  <w:color w:val="000000" w:themeColor="text1"/>
                </w:rPr>
              </m:ctrlPr>
            </m:sSubPr>
            <m:e>
              <m:r>
                <m:rPr>
                  <m:sty m:val="p"/>
                </m:rPr>
                <w:rPr>
                  <w:rFonts w:ascii="Cambria Math" w:hAnsi="Cambria Math"/>
                  <w:color w:val="000000" w:themeColor="text1"/>
                </w:rPr>
                <m:t>Size</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4</m:t>
              </m:r>
            </m:sub>
          </m:sSub>
          <m:r>
            <m:rPr>
              <m:sty m:val="p"/>
            </m:rPr>
            <w:rPr>
              <w:rFonts w:ascii="Cambria Math" w:hAnsi="Cambria Math"/>
              <w:color w:val="000000" w:themeColor="text1"/>
            </w:rPr>
            <m:t>Covariates+</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5</m:t>
              </m:r>
            </m:sub>
          </m:sSub>
          <m:r>
            <m:rPr>
              <m:sty m:val="p"/>
            </m:rPr>
            <w:rPr>
              <w:rFonts w:ascii="Cambria Math" w:hAnsi="Cambria Math"/>
              <w:color w:val="000000" w:themeColor="text1"/>
            </w:rPr>
            <m:t xml:space="preserve"> Treatment x Covariates +</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6</m:t>
              </m:r>
            </m:sub>
          </m:sSub>
          <m:r>
            <w:rPr>
              <w:rFonts w:ascii="Cambria Math" w:hAnsi="Cambria Math"/>
              <w:color w:val="000000" w:themeColor="text1"/>
            </w:rPr>
            <m:t>Missingness+</m:t>
          </m:r>
          <m:sSub>
            <m:sSubPr>
              <m:ctrlPr>
                <w:rPr>
                  <w:rFonts w:ascii="Cambria Math" w:hAnsi="Cambria Math"/>
                  <w:color w:val="000000" w:themeColor="text1"/>
                </w:rPr>
              </m:ctrlPr>
            </m:sSubPr>
            <m:e>
              <m:r>
                <m:rPr>
                  <m:sty m:val="p"/>
                </m:rPr>
                <w:rPr>
                  <w:rFonts w:ascii="Cambria Math" w:hAnsi="Cambria Math"/>
                  <w:color w:val="000000" w:themeColor="text1"/>
                </w:rPr>
                <m:t>ϵ</m:t>
              </m:r>
            </m:e>
            <m:sub>
              <m:r>
                <m:rPr>
                  <m:sty m:val="p"/>
                </m:rPr>
                <w:rPr>
                  <w:rFonts w:ascii="Cambria Math" w:hAnsi="Cambria Math"/>
                  <w:color w:val="000000" w:themeColor="text1"/>
                </w:rPr>
                <m:t>i</m:t>
              </m:r>
            </m:sub>
          </m:sSub>
        </m:oMath>
      </m:oMathPara>
    </w:p>
    <w:p w14:paraId="4175C6B3" w14:textId="659D4AF0" w:rsidR="00DA0DF3" w:rsidRPr="00D07E9F" w:rsidRDefault="006A7A42" w:rsidP="00D07E9F">
      <w:pPr>
        <w:pStyle w:val="Bullet1"/>
      </w:pPr>
      <w:r w:rsidRPr="00D07E9F">
        <w:t xml:space="preserve">The </w:t>
      </w:r>
      <w:r w:rsidR="00DA0DF3" w:rsidRPr="00D07E9F">
        <w:t>dependent variable Y is binary outcome</w:t>
      </w:r>
      <w:r w:rsidR="00A87CCC">
        <w:t xml:space="preserve"> – </w:t>
      </w:r>
      <w:r w:rsidR="00DA0DF3" w:rsidRPr="00D07E9F">
        <w:t>Y = 1 if the charity submits on time. Y = 0 if not,</w:t>
      </w:r>
    </w:p>
    <w:p w14:paraId="5F48DE39" w14:textId="77777777" w:rsidR="007245C1" w:rsidRPr="00D07E9F" w:rsidRDefault="001B2506" w:rsidP="00D07E9F">
      <w:pPr>
        <w:pStyle w:val="Bullet1"/>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007245C1" w:rsidRPr="00D07E9F">
        <w:t xml:space="preserve"> is the coefficient on treatment and represents the treatment effect for the reference group.</w:t>
      </w:r>
    </w:p>
    <w:p w14:paraId="3409FA75" w14:textId="47E9DEBF" w:rsidR="00DA0DF3" w:rsidRPr="00D07E9F" w:rsidRDefault="00B956AC" w:rsidP="00D07E9F">
      <w:pPr>
        <w:pStyle w:val="Bullet1"/>
      </w:pPr>
      <m:oMath>
        <m:r>
          <w:rPr>
            <w:rFonts w:ascii="Cambria Math" w:hAnsi="Cambria Math"/>
          </w:rPr>
          <m:t>Siz</m:t>
        </m:r>
        <m:sSub>
          <m:sSubPr>
            <m:ctrlPr>
              <w:rPr>
                <w:rFonts w:ascii="Cambria Math" w:hAnsi="Cambria Math"/>
              </w:rPr>
            </m:ctrlPr>
          </m:sSubPr>
          <m:e>
            <m:r>
              <w:rPr>
                <w:rFonts w:ascii="Cambria Math" w:hAnsi="Cambria Math"/>
              </w:rPr>
              <m:t>e</m:t>
            </m:r>
          </m:e>
          <m:sub>
            <m:r>
              <w:rPr>
                <w:rFonts w:ascii="Cambria Math" w:hAnsi="Cambria Math"/>
              </w:rPr>
              <m:t>i</m:t>
            </m:r>
          </m:sub>
        </m:sSub>
      </m:oMath>
      <w:r w:rsidR="00F15541" w:rsidRPr="00D07E9F">
        <w:t xml:space="preserve"> is </w:t>
      </w:r>
      <w:r w:rsidR="00096337" w:rsidRPr="00D07E9F">
        <w:t>a categorial variable representing charity</w:t>
      </w:r>
      <w:r w:rsidR="00F47E35" w:rsidRPr="00D07E9F">
        <w:t xml:space="preserve"> size</w:t>
      </w:r>
      <w:r w:rsidR="007245C1" w:rsidRPr="00D07E9F">
        <w:t xml:space="preserve">, </w:t>
      </w: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oMath>
      <w:r w:rsidR="007B6B9B" w:rsidRPr="00D07E9F">
        <w:t xml:space="preserve"> is the coefficient vector representing </w:t>
      </w:r>
      <w:r w:rsidR="008A29A5" w:rsidRPr="00D07E9F">
        <w:t>the differences in outcome between the reference group and the other charity size groups.</w:t>
      </w:r>
    </w:p>
    <w:p w14:paraId="19DA1613" w14:textId="3D59F8DA" w:rsidR="001759F8" w:rsidRPr="00D07E9F" w:rsidRDefault="001B2506" w:rsidP="00D07E9F">
      <w:pPr>
        <w:pStyle w:val="Bullet1"/>
      </w:pP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001759F8" w:rsidRPr="00D07E9F">
        <w:t xml:space="preserve"> </w:t>
      </w:r>
      <w:r w:rsidR="004C1B2F" w:rsidRPr="00D07E9F">
        <w:t xml:space="preserve">is the coefficient </w:t>
      </w:r>
      <w:r w:rsidR="00306BF4" w:rsidRPr="00D07E9F">
        <w:t xml:space="preserve">vector representing </w:t>
      </w:r>
      <w:r w:rsidR="004C1B2F" w:rsidRPr="00D07E9F">
        <w:t xml:space="preserve">the additional treatment effect for </w:t>
      </w:r>
      <w:r w:rsidR="009C3DF9" w:rsidRPr="00D07E9F">
        <w:t xml:space="preserve">the </w:t>
      </w:r>
      <w:r w:rsidR="00786B83" w:rsidRPr="00D07E9F">
        <w:t xml:space="preserve">2 </w:t>
      </w:r>
      <w:r w:rsidR="0066400E" w:rsidRPr="00D07E9F">
        <w:t xml:space="preserve">other charity size groups. </w:t>
      </w:r>
    </w:p>
    <w:p w14:paraId="77B1778B" w14:textId="489ACB46" w:rsidR="007F4A67" w:rsidRPr="00D07E9F" w:rsidRDefault="00015A64" w:rsidP="00D07E9F">
      <w:pPr>
        <w:pStyle w:val="Bullet1"/>
      </w:pPr>
      <m:oMath>
        <m:r>
          <m:rPr>
            <m:sty m:val="p"/>
          </m:rPr>
          <w:rPr>
            <w:rFonts w:ascii="Cambria Math" w:hAnsi="Cambria Math"/>
          </w:rPr>
          <m:t>Covariates</m:t>
        </m:r>
      </m:oMath>
      <w:r w:rsidR="007F4A67" w:rsidRPr="00D07E9F">
        <w:t xml:space="preserve"> is a vector representing the following</w:t>
      </w:r>
      <w:r w:rsidR="00037FA4" w:rsidRPr="00D07E9F">
        <w:t xml:space="preserve"> </w:t>
      </w:r>
      <w:r w:rsidR="007F4A67" w:rsidRPr="00D07E9F">
        <w:t xml:space="preserve">covariates: a) </w:t>
      </w:r>
      <w:r w:rsidR="00A7004C" w:rsidRPr="00D07E9F">
        <w:t>batch number</w:t>
      </w:r>
      <w:r w:rsidR="007F4A67" w:rsidRPr="00D07E9F">
        <w:t xml:space="preserve">, b) </w:t>
      </w:r>
      <w:r w:rsidR="00B12520" w:rsidRPr="00D07E9F">
        <w:t xml:space="preserve">variable indicated </w:t>
      </w:r>
      <w:r w:rsidR="007F4A67" w:rsidRPr="00D07E9F">
        <w:t>whether the charity submitted on time in 2023 (Yes/No)</w:t>
      </w:r>
      <w:r w:rsidR="00C15269" w:rsidRPr="00D07E9F">
        <w:t>. When there is a missing covariate data, the covariate value will be set to 0.</w:t>
      </w:r>
      <w:r w:rsidR="00CC5F5A" w:rsidRPr="00D07E9F">
        <w:t xml:space="preserve"> </w:t>
      </w:r>
      <w:r w:rsidR="007F4A67" w:rsidRPr="00D07E9F">
        <w:t>Note that charity size is excluded from this vector as this is the primary subgroup of interest for this test.</w:t>
      </w:r>
    </w:p>
    <w:p w14:paraId="7C7B7579" w14:textId="078AC869" w:rsidR="00C17988" w:rsidRPr="00D07E9F" w:rsidRDefault="00C17988" w:rsidP="00D07E9F">
      <w:pPr>
        <w:pStyle w:val="Bullet1"/>
      </w:pPr>
      <m:oMath>
        <m:r>
          <w:rPr>
            <w:rFonts w:ascii="Cambria Math" w:hAnsi="Cambria Math"/>
          </w:rPr>
          <m:t xml:space="preserve">Missingness </m:t>
        </m:r>
      </m:oMath>
      <w:r w:rsidRPr="00D07E9F">
        <w:t xml:space="preserve">is a variable indicated whether any covariate data is missing (Yes/No), </w:t>
      </w:r>
      <m:oMath>
        <m:sSub>
          <m:sSubPr>
            <m:ctrlPr>
              <w:rPr>
                <w:rFonts w:ascii="Cambria Math" w:hAnsi="Cambria Math"/>
              </w:rPr>
            </m:ctrlPr>
          </m:sSubPr>
          <m:e>
            <m:r>
              <w:rPr>
                <w:rFonts w:ascii="Cambria Math" w:hAnsi="Cambria Math"/>
              </w:rPr>
              <m:t>β</m:t>
            </m:r>
          </m:e>
          <m:sub>
            <m:r>
              <w:rPr>
                <w:rFonts w:ascii="Cambria Math" w:hAnsi="Cambria Math"/>
              </w:rPr>
              <m:t>6</m:t>
            </m:r>
          </m:sub>
        </m:sSub>
      </m:oMath>
      <w:r w:rsidRPr="00D07E9F">
        <w:t xml:space="preserve"> is the coefficient on missing covariates and represents the effect of missing covariates data on the outcomes.</w:t>
      </w:r>
    </w:p>
    <w:p w14:paraId="3E2C093B" w14:textId="77777777" w:rsidR="005C4C9D" w:rsidRDefault="005C4C9D">
      <w:pPr>
        <w:spacing w:after="120" w:line="440" w:lineRule="atLeast"/>
        <w:rPr>
          <w:rStyle w:val="Strong"/>
        </w:rPr>
      </w:pPr>
      <w:r>
        <w:rPr>
          <w:rStyle w:val="Strong"/>
        </w:rPr>
        <w:br w:type="page"/>
      </w:r>
    </w:p>
    <w:p w14:paraId="7B408D28" w14:textId="794E8A6C" w:rsidR="00871D1A" w:rsidRPr="00D07E9F" w:rsidRDefault="007F4A67" w:rsidP="00D07E9F">
      <w:r w:rsidRPr="00D07E9F">
        <w:rPr>
          <w:rStyle w:val="Strong"/>
        </w:rPr>
        <w:lastRenderedPageBreak/>
        <w:t xml:space="preserve">Step </w:t>
      </w:r>
      <w:r w:rsidR="00D75567" w:rsidRPr="00D07E9F">
        <w:rPr>
          <w:rStyle w:val="Strong"/>
        </w:rPr>
        <w:t>2</w:t>
      </w:r>
      <w:r w:rsidR="00D07E9F" w:rsidRPr="00D07E9F">
        <w:rPr>
          <w:rStyle w:val="Strong"/>
        </w:rPr>
        <w:t>:</w:t>
      </w:r>
      <w:r w:rsidR="00D75567" w:rsidRPr="00D07E9F">
        <w:t xml:space="preserve"> Split sample regression</w:t>
      </w:r>
      <w:r w:rsidR="00871D1A" w:rsidRPr="00D07E9F">
        <w:t xml:space="preserve">: </w:t>
      </w:r>
      <w:r w:rsidR="005A446A" w:rsidRPr="00D07E9F">
        <w:t>we will conduct a split</w:t>
      </w:r>
      <w:r w:rsidR="00573EF3">
        <w:noBreakHyphen/>
      </w:r>
      <w:r w:rsidR="005A446A" w:rsidRPr="00D07E9F">
        <w:t xml:space="preserve">sample analysis to estimate the treatment effect separately for </w:t>
      </w:r>
      <w:r w:rsidRPr="00D07E9F">
        <w:t>small and medium and large charities</w:t>
      </w:r>
      <w:r w:rsidR="00473113" w:rsidRPr="00D07E9F">
        <w:t xml:space="preserve">. </w:t>
      </w:r>
      <w:r w:rsidR="005A446A" w:rsidRPr="00D07E9F">
        <w:t>This approach provides direct subgroup</w:t>
      </w:r>
      <w:r w:rsidR="00573EF3">
        <w:noBreakHyphen/>
      </w:r>
      <w:r w:rsidR="005A446A" w:rsidRPr="00D07E9F">
        <w:t>spec</w:t>
      </w:r>
      <w:r w:rsidRPr="00D07E9F">
        <w:t>i</w:t>
      </w:r>
      <w:r w:rsidR="005A446A" w:rsidRPr="00D07E9F">
        <w:t>fic treatments effects</w:t>
      </w:r>
      <w:r w:rsidRPr="00D07E9F">
        <w:t>.</w:t>
      </w:r>
    </w:p>
    <w:p w14:paraId="243C9B95" w14:textId="2D78AB37" w:rsidR="005A446A" w:rsidRPr="007F4A67" w:rsidRDefault="005A446A" w:rsidP="009154FC">
      <w:pPr>
        <w:rPr>
          <w:color w:val="000000" w:themeColor="text1"/>
        </w:rPr>
      </w:pPr>
      <w:r w:rsidRPr="007F4A67">
        <w:rPr>
          <w:color w:val="000000" w:themeColor="text1"/>
        </w:rPr>
        <w:t xml:space="preserve">For </w:t>
      </w:r>
      <w:r w:rsidR="00822D81">
        <w:rPr>
          <w:color w:val="000000" w:themeColor="text1"/>
        </w:rPr>
        <w:t xml:space="preserve">large </w:t>
      </w:r>
      <w:r w:rsidRPr="007F4A67">
        <w:rPr>
          <w:color w:val="000000" w:themeColor="text1"/>
        </w:rPr>
        <w:t>charities, the model is:</w:t>
      </w:r>
    </w:p>
    <w:p w14:paraId="3F8B8991" w14:textId="11A119E5" w:rsidR="005A446A" w:rsidRPr="007F4A67" w:rsidRDefault="001B2506" w:rsidP="005A446A">
      <w:pPr>
        <w:pStyle w:val="Boxindent"/>
        <w:jc w:val="both"/>
        <w:rPr>
          <w:rFonts w:eastAsiaTheme="minorEastAsia"/>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α</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α</m:t>
              </m:r>
            </m:e>
            <m:sub>
              <m:r>
                <m:rPr>
                  <m:sty m:val="p"/>
                </m:rPr>
                <w:rPr>
                  <w:rFonts w:ascii="Cambria Math" w:hAnsi="Cambria Math"/>
                  <w:color w:val="000000" w:themeColor="text1"/>
                </w:rPr>
                <m:t>2</m:t>
              </m:r>
            </m:sub>
          </m:sSub>
          <m:r>
            <m:rPr>
              <m:sty m:val="p"/>
            </m:rPr>
            <w:rPr>
              <w:rFonts w:ascii="Cambria Math" w:hAnsi="Cambria Math"/>
              <w:color w:val="000000" w:themeColor="text1"/>
            </w:rPr>
            <m:t>Covariates+</m:t>
          </m:r>
          <m:sSub>
            <m:sSubPr>
              <m:ctrlPr>
                <w:rPr>
                  <w:rFonts w:ascii="Cambria Math" w:hAnsi="Cambria Math"/>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3</m:t>
                  </m:r>
                </m:sub>
              </m:sSub>
              <m:r>
                <m:rPr>
                  <m:sty m:val="p"/>
                </m:rPr>
                <w:rPr>
                  <w:rFonts w:ascii="Cambria Math" w:hAnsi="Cambria Math"/>
                  <w:color w:val="000000" w:themeColor="text1"/>
                </w:rPr>
                <m:t>Treatment*Covariates+</m:t>
              </m:r>
              <m:sSub>
                <m:sSubPr>
                  <m:ctrlPr>
                    <w:rPr>
                      <w:rFonts w:ascii="Cambria Math" w:hAnsi="Cambria Math"/>
                      <w:color w:val="000000" w:themeColor="text1"/>
                    </w:rPr>
                  </m:ctrlPr>
                </m:sSubPr>
                <m:e>
                  <m:r>
                    <m:rPr>
                      <m:sty m:val="p"/>
                    </m:rPr>
                    <w:rPr>
                      <w:rFonts w:ascii="Cambria Math" w:hAnsi="Cambria Math"/>
                      <w:color w:val="000000" w:themeColor="text1"/>
                    </w:rPr>
                    <m:t>α</m:t>
                  </m:r>
                </m:e>
                <m:sub>
                  <m:r>
                    <m:rPr>
                      <m:sty m:val="p"/>
                    </m:rPr>
                    <w:rPr>
                      <w:rFonts w:ascii="Cambria Math" w:hAnsi="Cambria Math"/>
                      <w:color w:val="000000" w:themeColor="text1"/>
                    </w:rPr>
                    <m:t>4</m:t>
                  </m:r>
                </m:sub>
              </m:sSub>
              <m:r>
                <m:rPr>
                  <m:sty m:val="p"/>
                </m:rPr>
                <w:rPr>
                  <w:rFonts w:ascii="Cambria Math" w:hAnsi="Cambria Math"/>
                  <w:color w:val="000000" w:themeColor="text1"/>
                </w:rPr>
                <m:t>Missingness+∈</m:t>
              </m:r>
            </m:e>
            <m:sub>
              <m:r>
                <w:rPr>
                  <w:rFonts w:ascii="Cambria Math" w:hAnsi="Cambria Math"/>
                  <w:color w:val="000000" w:themeColor="text1"/>
                </w:rPr>
                <m:t>i</m:t>
              </m:r>
            </m:sub>
          </m:sSub>
        </m:oMath>
      </m:oMathPara>
    </w:p>
    <w:p w14:paraId="2A0E4CAB" w14:textId="683487CD" w:rsidR="00C951F2" w:rsidRPr="007F4A67" w:rsidRDefault="00C951F2" w:rsidP="00C951F2">
      <w:pPr>
        <w:rPr>
          <w:color w:val="000000" w:themeColor="text1"/>
        </w:rPr>
      </w:pPr>
      <w:r w:rsidRPr="007F4A67">
        <w:rPr>
          <w:color w:val="000000" w:themeColor="text1"/>
        </w:rPr>
        <w:t xml:space="preserve">For </w:t>
      </w:r>
      <w:r w:rsidR="00822D81">
        <w:rPr>
          <w:color w:val="000000" w:themeColor="text1"/>
        </w:rPr>
        <w:t>medium charities</w:t>
      </w:r>
      <w:r w:rsidRPr="007F4A67">
        <w:rPr>
          <w:color w:val="000000" w:themeColor="text1"/>
        </w:rPr>
        <w:t>, the model is:</w:t>
      </w:r>
    </w:p>
    <w:p w14:paraId="01A01105" w14:textId="600A1754" w:rsidR="00C951F2" w:rsidRPr="007F4A67" w:rsidRDefault="001B2506" w:rsidP="00C951F2">
      <w:pPr>
        <w:pStyle w:val="Boxindent"/>
        <w:jc w:val="both"/>
        <w:rPr>
          <w:rFonts w:eastAsiaTheme="minorEastAsia"/>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γ</m:t>
              </m:r>
            </m:e>
            <m:sub>
              <m:r>
                <w:rPr>
                  <w:rFonts w:ascii="Cambria Math" w:hAnsi="Cambria Math"/>
                  <w:color w:val="000000" w:themeColor="text1"/>
                </w:rPr>
                <m:t>0</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γ</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γ</m:t>
              </m:r>
            </m:e>
            <m:sub>
              <m:r>
                <m:rPr>
                  <m:sty m:val="p"/>
                </m:rPr>
                <w:rPr>
                  <w:rFonts w:ascii="Cambria Math" w:hAnsi="Cambria Math"/>
                  <w:color w:val="000000" w:themeColor="text1"/>
                </w:rPr>
                <m:t>2</m:t>
              </m:r>
            </m:sub>
          </m:sSub>
          <m:r>
            <m:rPr>
              <m:sty m:val="p"/>
            </m:rPr>
            <w:rPr>
              <w:rFonts w:ascii="Cambria Math" w:hAnsi="Cambria Math"/>
              <w:color w:val="000000" w:themeColor="text1"/>
            </w:rPr>
            <m:t>Covariates+</m:t>
          </m:r>
          <m:sSub>
            <m:sSubPr>
              <m:ctrlPr>
                <w:rPr>
                  <w:rFonts w:ascii="Cambria Math" w:hAnsi="Cambria Math"/>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γ</m:t>
                  </m:r>
                </m:e>
                <m:sub>
                  <m:r>
                    <m:rPr>
                      <m:sty m:val="p"/>
                    </m:rPr>
                    <w:rPr>
                      <w:rFonts w:ascii="Cambria Math" w:hAnsi="Cambria Math"/>
                      <w:color w:val="000000" w:themeColor="text1"/>
                    </w:rPr>
                    <m:t>3</m:t>
                  </m:r>
                </m:sub>
              </m:sSub>
              <m:r>
                <m:rPr>
                  <m:sty m:val="p"/>
                </m:rPr>
                <w:rPr>
                  <w:rFonts w:ascii="Cambria Math" w:hAnsi="Cambria Math"/>
                  <w:color w:val="000000" w:themeColor="text1"/>
                </w:rPr>
                <m:t>Treatment*Covariates+</m:t>
              </m:r>
              <m:sSub>
                <m:sSubPr>
                  <m:ctrlPr>
                    <w:rPr>
                      <w:rFonts w:ascii="Cambria Math" w:hAnsi="Cambria Math"/>
                      <w:color w:val="000000" w:themeColor="text1"/>
                    </w:rPr>
                  </m:ctrlPr>
                </m:sSubPr>
                <m:e>
                  <m:r>
                    <m:rPr>
                      <m:sty m:val="p"/>
                    </m:rPr>
                    <w:rPr>
                      <w:rFonts w:ascii="Cambria Math" w:hAnsi="Cambria Math"/>
                      <w:color w:val="000000" w:themeColor="text1"/>
                    </w:rPr>
                    <m:t>γ</m:t>
                  </m:r>
                </m:e>
                <m:sub>
                  <m:r>
                    <m:rPr>
                      <m:sty m:val="p"/>
                    </m:rPr>
                    <w:rPr>
                      <w:rFonts w:ascii="Cambria Math" w:hAnsi="Cambria Math"/>
                      <w:color w:val="000000" w:themeColor="text1"/>
                    </w:rPr>
                    <m:t>4</m:t>
                  </m:r>
                </m:sub>
              </m:sSub>
              <m:r>
                <m:rPr>
                  <m:sty m:val="p"/>
                </m:rPr>
                <w:rPr>
                  <w:rFonts w:ascii="Cambria Math" w:hAnsi="Cambria Math"/>
                  <w:color w:val="000000" w:themeColor="text1"/>
                </w:rPr>
                <m:t>Missingness+∈</m:t>
              </m:r>
            </m:e>
            <m:sub>
              <m:r>
                <w:rPr>
                  <w:rFonts w:ascii="Cambria Math" w:hAnsi="Cambria Math"/>
                  <w:color w:val="000000" w:themeColor="text1"/>
                </w:rPr>
                <m:t>i</m:t>
              </m:r>
            </m:sub>
          </m:sSub>
        </m:oMath>
      </m:oMathPara>
    </w:p>
    <w:p w14:paraId="26FD95E2" w14:textId="41CDD6B2" w:rsidR="00822D81" w:rsidRPr="007F4A67" w:rsidRDefault="00822D81" w:rsidP="00822D81">
      <w:pPr>
        <w:rPr>
          <w:color w:val="000000" w:themeColor="text1"/>
        </w:rPr>
      </w:pPr>
      <w:r w:rsidRPr="007F4A67">
        <w:rPr>
          <w:color w:val="000000" w:themeColor="text1"/>
        </w:rPr>
        <w:t xml:space="preserve">For </w:t>
      </w:r>
      <w:r>
        <w:rPr>
          <w:color w:val="000000" w:themeColor="text1"/>
        </w:rPr>
        <w:t>small charities</w:t>
      </w:r>
      <w:r w:rsidRPr="007F4A67">
        <w:rPr>
          <w:color w:val="000000" w:themeColor="text1"/>
        </w:rPr>
        <w:t>, the model is:</w:t>
      </w:r>
    </w:p>
    <w:p w14:paraId="696BB75F" w14:textId="7E2DE953" w:rsidR="00822D81" w:rsidRPr="007F4A67" w:rsidRDefault="001B2506" w:rsidP="00822D81">
      <w:pPr>
        <w:pStyle w:val="Boxindent"/>
        <w:jc w:val="both"/>
        <w:rPr>
          <w:rFonts w:eastAsiaTheme="minorEastAsia"/>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Y</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0</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2</m:t>
              </m:r>
            </m:sub>
          </m:sSub>
          <m:r>
            <m:rPr>
              <m:sty m:val="p"/>
            </m:rPr>
            <w:rPr>
              <w:rFonts w:ascii="Cambria Math" w:hAnsi="Cambria Math"/>
              <w:color w:val="000000" w:themeColor="text1"/>
            </w:rPr>
            <m:t>Covariates+</m:t>
          </m:r>
          <m:sSub>
            <m:sSubPr>
              <m:ctrlPr>
                <w:rPr>
                  <w:rFonts w:ascii="Cambria Math" w:hAnsi="Cambria Math"/>
                  <w:color w:val="000000" w:themeColor="text1"/>
                </w:rPr>
              </m:ctrlPr>
            </m:sSubPr>
            <m:e>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3</m:t>
                  </m:r>
                </m:sub>
              </m:sSub>
              <m:r>
                <m:rPr>
                  <m:sty m:val="p"/>
                </m:rPr>
                <w:rPr>
                  <w:rFonts w:ascii="Cambria Math" w:hAnsi="Cambria Math"/>
                  <w:color w:val="000000" w:themeColor="text1"/>
                </w:rPr>
                <m:t>Treatment*Covariates+</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4</m:t>
                  </m:r>
                </m:sub>
              </m:sSub>
              <m:r>
                <m:rPr>
                  <m:sty m:val="p"/>
                </m:rPr>
                <w:rPr>
                  <w:rFonts w:ascii="Cambria Math" w:hAnsi="Cambria Math"/>
                  <w:color w:val="000000" w:themeColor="text1"/>
                </w:rPr>
                <m:t>Missingness+∈</m:t>
              </m:r>
            </m:e>
            <m:sub>
              <m:r>
                <w:rPr>
                  <w:rFonts w:ascii="Cambria Math" w:hAnsi="Cambria Math"/>
                  <w:color w:val="000000" w:themeColor="text1"/>
                </w:rPr>
                <m:t>i</m:t>
              </m:r>
            </m:sub>
          </m:sSub>
        </m:oMath>
      </m:oMathPara>
    </w:p>
    <w:p w14:paraId="462B3966" w14:textId="1ABA7FA7" w:rsidR="00B057B0" w:rsidRPr="002E5985" w:rsidRDefault="008E1D67" w:rsidP="009154FC">
      <w:pPr>
        <w:rPr>
          <w:rFonts w:eastAsiaTheme="minorEastAsia"/>
          <w:color w:val="000000" w:themeColor="text1"/>
        </w:rPr>
      </w:pPr>
      <w:r w:rsidRPr="007F4A67">
        <w:rPr>
          <w:color w:val="000000" w:themeColor="text1"/>
        </w:rPr>
        <w:t xml:space="preserve">Where </w:t>
      </w:r>
      <m:oMath>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oMath>
      <w:r w:rsidR="00B057B0" w:rsidRPr="007F4A67">
        <w:rPr>
          <w:rFonts w:eastAsiaTheme="minorEastAsia"/>
          <w:color w:val="000000" w:themeColor="text1"/>
        </w:rPr>
        <w:t xml:space="preserve"> represents the treatment effect for </w:t>
      </w:r>
      <w:r w:rsidR="007E034C">
        <w:rPr>
          <w:rFonts w:eastAsiaTheme="minorEastAsia"/>
          <w:color w:val="000000" w:themeColor="text1"/>
        </w:rPr>
        <w:t>large</w:t>
      </w:r>
      <w:r w:rsidR="00B057B0" w:rsidRPr="007F4A67">
        <w:rPr>
          <w:rFonts w:eastAsiaTheme="minorEastAsia"/>
          <w:color w:val="000000" w:themeColor="text1"/>
        </w:rPr>
        <w:t xml:space="preserve"> charity</w:t>
      </w:r>
      <w:r w:rsidR="00304E6C" w:rsidRPr="007F4A67">
        <w:rPr>
          <w:rFonts w:eastAsiaTheme="minor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γ</m:t>
            </m:r>
          </m:e>
          <m:sub>
            <m:r>
              <w:rPr>
                <w:rFonts w:ascii="Cambria Math" w:hAnsi="Cambria Math"/>
                <w:color w:val="000000" w:themeColor="text1"/>
              </w:rPr>
              <m:t>1</m:t>
            </m:r>
          </m:sub>
        </m:sSub>
      </m:oMath>
      <w:r w:rsidR="00304E6C" w:rsidRPr="007F4A67">
        <w:rPr>
          <w:rFonts w:eastAsiaTheme="minorEastAsia"/>
          <w:color w:val="000000" w:themeColor="text1"/>
        </w:rPr>
        <w:t xml:space="preserve">represents the treatment effect for </w:t>
      </w:r>
      <w:r w:rsidR="007E034C">
        <w:rPr>
          <w:rFonts w:eastAsiaTheme="minorEastAsia"/>
          <w:color w:val="000000" w:themeColor="text1"/>
        </w:rPr>
        <w:t>medium</w:t>
      </w:r>
      <w:r w:rsidR="007E034C" w:rsidRPr="007F4A67">
        <w:rPr>
          <w:rFonts w:eastAsiaTheme="minorEastAsia"/>
          <w:color w:val="000000" w:themeColor="text1"/>
        </w:rPr>
        <w:t xml:space="preserve"> </w:t>
      </w:r>
      <w:r w:rsidR="00304E6C" w:rsidRPr="007F4A67">
        <w:rPr>
          <w:rFonts w:eastAsiaTheme="minorEastAsia"/>
          <w:color w:val="000000" w:themeColor="text1"/>
        </w:rPr>
        <w:t>charities</w:t>
      </w:r>
      <w:r w:rsidR="007E034C">
        <w:rPr>
          <w:rFonts w:eastAsiaTheme="minorEastAsia"/>
          <w:color w:val="000000" w:themeColor="text1"/>
        </w:rPr>
        <w:t xml:space="preserve">, </w:t>
      </w:r>
      <m:oMath>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1</m:t>
            </m:r>
          </m:sub>
        </m:sSub>
      </m:oMath>
      <w:r w:rsidR="007E034C">
        <w:rPr>
          <w:rFonts w:eastAsiaTheme="minorEastAsia"/>
          <w:color w:val="000000" w:themeColor="text1"/>
        </w:rPr>
        <w:t xml:space="preserve"> represents the treatment effect for small charities</w:t>
      </w:r>
      <w:r w:rsidR="00304E6C" w:rsidRPr="007F4A67">
        <w:rPr>
          <w:rFonts w:eastAsiaTheme="minorEastAsia"/>
          <w:color w:val="000000" w:themeColor="text1"/>
        </w:rPr>
        <w:t xml:space="preserve">. </w:t>
      </w:r>
    </w:p>
    <w:p w14:paraId="38927A25" w14:textId="1896158E" w:rsidR="00C43A3B" w:rsidRDefault="002E5985" w:rsidP="009154FC">
      <w:pPr>
        <w:rPr>
          <w:color w:val="000000" w:themeColor="text1"/>
        </w:rPr>
      </w:pPr>
      <w:r>
        <w:rPr>
          <w:color w:val="000000" w:themeColor="text1"/>
        </w:rPr>
        <w:t>Combining estimates from the interact</w:t>
      </w:r>
      <w:r w:rsidR="00576AF8">
        <w:rPr>
          <w:color w:val="000000" w:themeColor="text1"/>
        </w:rPr>
        <w:t>ed model and split</w:t>
      </w:r>
      <w:r w:rsidR="00573EF3">
        <w:rPr>
          <w:color w:val="000000" w:themeColor="text1"/>
        </w:rPr>
        <w:noBreakHyphen/>
      </w:r>
      <w:r w:rsidR="00576AF8">
        <w:rPr>
          <w:color w:val="000000" w:themeColor="text1"/>
        </w:rPr>
        <w:t>sample regressions allows for a comprehensive analysis of subgroup</w:t>
      </w:r>
      <w:r w:rsidR="00573EF3">
        <w:rPr>
          <w:color w:val="000000" w:themeColor="text1"/>
        </w:rPr>
        <w:noBreakHyphen/>
      </w:r>
      <w:r w:rsidR="00576AF8">
        <w:rPr>
          <w:color w:val="000000" w:themeColor="text1"/>
        </w:rPr>
        <w:t xml:space="preserve">specific treatment effects. </w:t>
      </w:r>
      <w:r w:rsidR="009154FC" w:rsidRPr="009154FC">
        <w:rPr>
          <w:color w:val="000000" w:themeColor="text1"/>
        </w:rPr>
        <w:t>The interaction model offers a formal test of heterogeneity</w:t>
      </w:r>
      <w:r w:rsidR="00356116">
        <w:rPr>
          <w:color w:val="000000" w:themeColor="text1"/>
        </w:rPr>
        <w:t xml:space="preserve"> of the treatment effect</w:t>
      </w:r>
      <w:r w:rsidR="009154FC" w:rsidRPr="009154FC">
        <w:rPr>
          <w:color w:val="000000" w:themeColor="text1"/>
        </w:rPr>
        <w:t>, while the split</w:t>
      </w:r>
      <w:r w:rsidR="00573EF3">
        <w:rPr>
          <w:color w:val="000000" w:themeColor="text1"/>
        </w:rPr>
        <w:noBreakHyphen/>
      </w:r>
      <w:r w:rsidR="009154FC" w:rsidRPr="009154FC">
        <w:rPr>
          <w:color w:val="000000" w:themeColor="text1"/>
        </w:rPr>
        <w:t>sample regressions allow for subgroup</w:t>
      </w:r>
      <w:r w:rsidR="00573EF3">
        <w:rPr>
          <w:color w:val="000000" w:themeColor="text1"/>
        </w:rPr>
        <w:noBreakHyphen/>
      </w:r>
      <w:r w:rsidR="009154FC" w:rsidRPr="009154FC">
        <w:rPr>
          <w:color w:val="000000" w:themeColor="text1"/>
        </w:rPr>
        <w:t xml:space="preserve">specific interpretation of the treatment effect. Together, these methods will </w:t>
      </w:r>
      <w:r w:rsidR="00E52D00">
        <w:rPr>
          <w:color w:val="000000" w:themeColor="text1"/>
        </w:rPr>
        <w:t>provide an</w:t>
      </w:r>
      <w:r w:rsidR="009154FC" w:rsidRPr="009154FC">
        <w:rPr>
          <w:color w:val="000000" w:themeColor="text1"/>
        </w:rPr>
        <w:t xml:space="preserve"> understanding of how the intervention impacts different types of charities.</w:t>
      </w:r>
    </w:p>
    <w:p w14:paraId="3493BC58" w14:textId="0C7777FB" w:rsidR="00DA6505" w:rsidRDefault="00C43A3B" w:rsidP="009154FC">
      <w:pPr>
        <w:rPr>
          <w:color w:val="000000" w:themeColor="text1"/>
        </w:rPr>
      </w:pPr>
      <w:r>
        <w:t>Our</w:t>
      </w:r>
      <w:r w:rsidR="009310B3">
        <w:t xml:space="preserve"> analysis may lack sufficient power to detect interactions, as interactions are inherently more challenging to power for compared to main effects. As such, the results of the interaction analyses should be interpreted with caution. Specifically, we will use the estimated effect sizes of interactions as a guide to understanding potential patterns rather than as definitive evidence of subgroup differences. This limitation will be transparently reported in the interpretation of the results.</w:t>
      </w:r>
    </w:p>
    <w:p w14:paraId="1BDF7E2D" w14:textId="5F21370D" w:rsidR="00816E22" w:rsidRPr="00804296" w:rsidRDefault="00897EC3" w:rsidP="00CE1B8E">
      <w:pPr>
        <w:tabs>
          <w:tab w:val="num" w:pos="720"/>
        </w:tabs>
      </w:pPr>
      <w:r>
        <w:t xml:space="preserve">We </w:t>
      </w:r>
      <w:r w:rsidR="00F05299">
        <w:t>will not correct</w:t>
      </w:r>
      <w:r>
        <w:t xml:space="preserve"> </w:t>
      </w:r>
      <w:r w:rsidR="00F05299">
        <w:t>for</w:t>
      </w:r>
      <w:r>
        <w:t xml:space="preserve"> multiple comparisons </w:t>
      </w:r>
      <w:r w:rsidR="00F05299">
        <w:t>due to the exploratory nature of these analysis</w:t>
      </w:r>
      <w:r w:rsidR="00563898">
        <w:t xml:space="preserve">. We are </w:t>
      </w:r>
      <w:r w:rsidR="00F05299">
        <w:t xml:space="preserve">aware that this </w:t>
      </w:r>
      <w:r>
        <w:t>will inflate the Type I error rate. Given that these tests are likely correlated, we will pay particular attention to patterns in our data to interpret results carefully</w:t>
      </w:r>
      <w:r w:rsidR="00804296">
        <w:t xml:space="preserve"> and </w:t>
      </w:r>
      <w:r w:rsidR="00B1056F">
        <w:t xml:space="preserve">closely examine the consistency of results across tests. </w:t>
      </w:r>
    </w:p>
    <w:p w14:paraId="1C6BF01E" w14:textId="7903990D" w:rsidR="0095289F" w:rsidRPr="00D05AFB" w:rsidRDefault="0095289F" w:rsidP="0027059A">
      <w:pPr>
        <w:pStyle w:val="Heading2"/>
      </w:pPr>
      <w:bookmarkStart w:id="19" w:name="_Toc208322645"/>
      <w:r>
        <w:t>Additional analysis</w:t>
      </w:r>
      <w:bookmarkEnd w:id="19"/>
    </w:p>
    <w:p w14:paraId="5422BF20" w14:textId="6DF817EB" w:rsidR="00412CFB" w:rsidRPr="00524CD4" w:rsidRDefault="000F5E9C" w:rsidP="00412CFB">
      <w:pPr>
        <w:rPr>
          <w:color w:val="000000" w:themeColor="text1"/>
        </w:rPr>
      </w:pPr>
      <w:r>
        <w:rPr>
          <w:color w:val="000000" w:themeColor="text1"/>
        </w:rPr>
        <w:t xml:space="preserve">We will conduct a robustness check of the primary outcome analysis using a </w:t>
      </w:r>
      <w:r w:rsidR="002E0CB6">
        <w:rPr>
          <w:color w:val="000000" w:themeColor="text1"/>
        </w:rPr>
        <w:t>logit</w:t>
      </w:r>
      <w:r>
        <w:rPr>
          <w:color w:val="000000" w:themeColor="text1"/>
        </w:rPr>
        <w:t xml:space="preserve"> regression model as an a</w:t>
      </w:r>
      <w:r w:rsidRPr="00D555C8">
        <w:rPr>
          <w:color w:val="000000" w:themeColor="text1"/>
        </w:rPr>
        <w:t>lternative model specification</w:t>
      </w:r>
      <w:r>
        <w:rPr>
          <w:color w:val="000000" w:themeColor="text1"/>
        </w:rPr>
        <w:t>. L</w:t>
      </w:r>
      <w:r w:rsidR="00412CFB" w:rsidRPr="00524CD4">
        <w:t>ogi</w:t>
      </w:r>
      <w:r w:rsidR="002E0CB6">
        <w:t>t</w:t>
      </w:r>
      <w:r w:rsidR="00412CFB" w:rsidRPr="00524CD4">
        <w:t xml:space="preserve"> regression is suitable when the dependent variable is binary. The model </w:t>
      </w:r>
      <w:r w:rsidR="00412CFB">
        <w:t>will be</w:t>
      </w:r>
      <w:r w:rsidR="00412CFB" w:rsidRPr="00524CD4">
        <w:t xml:space="preserve"> as follows:</w:t>
      </w:r>
    </w:p>
    <w:p w14:paraId="540B0B76" w14:textId="3B03BA9A" w:rsidR="00412CFB" w:rsidRPr="00524CD4" w:rsidRDefault="000417FA" w:rsidP="00412CFB">
      <w:pPr>
        <w:pStyle w:val="Boxindent"/>
        <w:jc w:val="both"/>
        <w:rPr>
          <w:rFonts w:eastAsiaTheme="minorEastAsia"/>
          <w:color w:val="000000" w:themeColor="text1"/>
        </w:rPr>
      </w:pPr>
      <m:oMathPara>
        <m:oMath>
          <m:r>
            <w:rPr>
              <w:rFonts w:ascii="Cambria Math" w:hAnsi="Cambria Math"/>
              <w:color w:val="000000" w:themeColor="text1"/>
            </w:rPr>
            <m:t>lo</m:t>
          </m:r>
          <m:func>
            <m:funcPr>
              <m:ctrlPr>
                <w:rPr>
                  <w:rFonts w:ascii="Cambria Math" w:hAnsi="Cambria Math"/>
                  <w:color w:val="000000" w:themeColor="text1"/>
                </w:rPr>
              </m:ctrlPr>
            </m:funcPr>
            <m:fName>
              <m:r>
                <w:rPr>
                  <w:rFonts w:ascii="Cambria Math" w:hAnsi="Cambria Math"/>
                  <w:color w:val="000000" w:themeColor="text1"/>
                </w:rPr>
                <m:t>g</m:t>
              </m:r>
              <m:ctrlPr>
                <w:rPr>
                  <w:rFonts w:ascii="Cambria Math" w:hAnsi="Cambria Math"/>
                  <w:i/>
                  <w:color w:val="000000" w:themeColor="text1"/>
                </w:rPr>
              </m:ctrlPr>
            </m:fName>
            <m:e>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P</m:t>
                      </m:r>
                      <m:d>
                        <m:dPr>
                          <m:ctrlPr>
                            <w:rPr>
                              <w:rFonts w:ascii="Cambria Math" w:hAnsi="Cambria Math"/>
                              <w:i/>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=1</m:t>
                          </m:r>
                        </m:e>
                      </m:d>
                    </m:num>
                    <m:den>
                      <m:r>
                        <w:rPr>
                          <w:rFonts w:ascii="Cambria Math" w:hAnsi="Cambria Math"/>
                          <w:color w:val="000000" w:themeColor="text1"/>
                        </w:rPr>
                        <m:t>1-P</m:t>
                      </m:r>
                      <m:d>
                        <m:dPr>
                          <m:ctrlPr>
                            <w:rPr>
                              <w:rFonts w:ascii="Cambria Math" w:hAnsi="Cambria Math"/>
                              <w:i/>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=1</m:t>
                          </m:r>
                        </m:e>
                      </m:d>
                    </m:den>
                  </m:f>
                </m:e>
              </m:d>
            </m:e>
          </m:func>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Treatment</m:t>
              </m:r>
            </m:e>
            <m:sub>
              <m:r>
                <m:rPr>
                  <m:sty m:val="p"/>
                </m:rPr>
                <w:rPr>
                  <w:rFonts w:ascii="Cambria Math" w:hAnsi="Cambria Math"/>
                  <w:color w:val="000000" w:themeColor="text1"/>
                </w:rPr>
                <m:t>i</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r>
            <w:rPr>
              <w:rFonts w:ascii="Cambria Math" w:hAnsi="Cambria Math"/>
              <w:color w:val="000000" w:themeColor="text1"/>
            </w:rPr>
            <m:t xml:space="preserve"> </m:t>
          </m:r>
          <m:r>
            <m:rPr>
              <m:sty m:val="p"/>
            </m:rPr>
            <w:rPr>
              <w:rFonts w:ascii="Cambria Math" w:hAnsi="Cambria Math"/>
              <w:color w:val="000000" w:themeColor="text1"/>
            </w:rPr>
            <m:t>Covariates+</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r>
            <w:rPr>
              <w:rFonts w:ascii="Cambria Math" w:hAnsi="Cambria Math"/>
              <w:color w:val="000000" w:themeColor="text1"/>
            </w:rPr>
            <m:t xml:space="preserve"> </m:t>
          </m:r>
          <m:r>
            <m:rPr>
              <m:sty m:val="p"/>
            </m:rPr>
            <w:rPr>
              <w:rFonts w:ascii="Cambria Math" w:hAnsi="Cambria Math"/>
              <w:color w:val="000000" w:themeColor="text1"/>
            </w:rPr>
            <m:t>Covariates*Treatment+</m:t>
          </m:r>
          <m:sSub>
            <m:sSubPr>
              <m:ctrlPr>
                <w:rPr>
                  <w:rFonts w:ascii="Cambria Math" w:hAnsi="Cambria Math"/>
                  <w:color w:val="000000" w:themeColor="text1"/>
                </w:rPr>
              </m:ctrlPr>
            </m:sSubPr>
            <m:e>
              <m:r>
                <m:rPr>
                  <m:sty m:val="p"/>
                </m:rPr>
                <w:rPr>
                  <w:rFonts w:ascii="Cambria Math" w:hAnsi="Cambria Math"/>
                  <w:color w:val="000000" w:themeColor="text1"/>
                </w:rPr>
                <m:t>β</m:t>
              </m:r>
            </m:e>
            <m:sub>
              <m:r>
                <m:rPr>
                  <m:sty m:val="p"/>
                </m:rPr>
                <w:rPr>
                  <w:rFonts w:ascii="Cambria Math" w:hAnsi="Cambria Math"/>
                  <w:color w:val="000000" w:themeColor="text1"/>
                </w:rPr>
                <m:t>4</m:t>
              </m:r>
            </m:sub>
          </m:sSub>
          <m:r>
            <m:rPr>
              <m:sty m:val="p"/>
            </m:rPr>
            <w:rPr>
              <w:rFonts w:ascii="Cambria Math" w:hAnsi="Cambria Math"/>
              <w:color w:val="000000" w:themeColor="text1"/>
            </w:rPr>
            <m:t xml:space="preserve">Missingness+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oMath>
      </m:oMathPara>
    </w:p>
    <w:p w14:paraId="366516DC" w14:textId="77777777" w:rsidR="005C4C9D" w:rsidRDefault="005C4C9D">
      <w:pPr>
        <w:spacing w:after="120" w:line="440" w:lineRule="atLeast"/>
        <w:rPr>
          <w:color w:val="000000" w:themeColor="text1"/>
        </w:rPr>
      </w:pPr>
      <w:r>
        <w:rPr>
          <w:color w:val="000000" w:themeColor="text1"/>
        </w:rPr>
        <w:br w:type="page"/>
      </w:r>
    </w:p>
    <w:p w14:paraId="46C389BB" w14:textId="3A6B0329" w:rsidR="00412CFB" w:rsidRPr="00524CD4" w:rsidRDefault="00412CFB" w:rsidP="00412CFB">
      <w:pPr>
        <w:rPr>
          <w:color w:val="000000" w:themeColor="text1"/>
        </w:rPr>
      </w:pPr>
      <w:r w:rsidRPr="00524CD4">
        <w:rPr>
          <w:color w:val="000000" w:themeColor="text1"/>
        </w:rPr>
        <w:lastRenderedPageBreak/>
        <w:t>Where:</w:t>
      </w:r>
    </w:p>
    <w:p w14:paraId="568798EF" w14:textId="1849E6BC" w:rsidR="00412CFB" w:rsidRPr="00D07E9F" w:rsidRDefault="00412CFB" w:rsidP="00D07E9F">
      <w:pPr>
        <w:pStyle w:val="Bullet1"/>
      </w:pPr>
      <w:r w:rsidRPr="00D07E9F">
        <w:t>The dependent variable Y is binary outcome</w:t>
      </w:r>
      <w:r w:rsidR="00563898" w:rsidRPr="00D07E9F">
        <w:t>:</w:t>
      </w:r>
      <w:r w:rsidRPr="00D07E9F">
        <w:t xml:space="preserve"> Y = 1 if the charity submits on time. Y = 0 if not</w:t>
      </w:r>
      <w:r w:rsidR="00C510A7" w:rsidRPr="00D07E9F">
        <w:t>,</w:t>
      </w:r>
    </w:p>
    <w:p w14:paraId="2B02E609" w14:textId="67F4E39D" w:rsidR="00412CFB" w:rsidRPr="00D07E9F" w:rsidRDefault="001B2506" w:rsidP="00D07E9F">
      <w:pPr>
        <w:pStyle w:val="Bullet1"/>
      </w:pP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00412CFB" w:rsidRPr="00D07E9F">
        <w:t xml:space="preserve"> is the intercept</w:t>
      </w:r>
      <w:r w:rsidR="00C510A7" w:rsidRPr="00D07E9F">
        <w:t>,</w:t>
      </w:r>
    </w:p>
    <w:p w14:paraId="293FBF9D" w14:textId="46F39F74" w:rsidR="00412CFB" w:rsidRPr="00D07E9F" w:rsidRDefault="00412CFB" w:rsidP="00D07E9F">
      <w:pPr>
        <w:pStyle w:val="Bullet1"/>
      </w:pPr>
      <m:oMath>
        <m:r>
          <w:rPr>
            <w:rFonts w:ascii="Cambria Math" w:hAnsi="Cambria Math"/>
          </w:rPr>
          <m:t xml:space="preserve">Treatment </m:t>
        </m:r>
      </m:oMath>
      <w:r w:rsidRPr="00D07E9F">
        <w:t xml:space="preserve">is the treatment indicator (where 0 = control and 1 = </w:t>
      </w:r>
      <w:r w:rsidR="00563898" w:rsidRPr="00D07E9F">
        <w:t>treatment, r</w:t>
      </w:r>
      <w:r w:rsidRPr="00D07E9F">
        <w:t>eceiv</w:t>
      </w:r>
      <w:r w:rsidR="00563898" w:rsidRPr="00D07E9F">
        <w:t>ing additional</w:t>
      </w:r>
      <w:r w:rsidRPr="00D07E9F">
        <w:t xml:space="preserve"> email reminder),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D07E9F">
        <w:t xml:space="preserve"> is the coefficient of treatment and represents the average treatment effect</w:t>
      </w:r>
      <w:r w:rsidR="00C510A7" w:rsidRPr="00D07E9F">
        <w:t>,</w:t>
      </w:r>
    </w:p>
    <w:p w14:paraId="2AF21812" w14:textId="4DFE54E3" w:rsidR="007E12D9" w:rsidRPr="00D07E9F" w:rsidRDefault="007E12D9" w:rsidP="00D07E9F">
      <w:pPr>
        <w:pStyle w:val="Bullet1"/>
      </w:pPr>
      <m:oMath>
        <m:r>
          <m:rPr>
            <m:sty m:val="p"/>
          </m:rPr>
          <w:rPr>
            <w:rFonts w:ascii="Cambria Math" w:hAnsi="Cambria Math"/>
          </w:rPr>
          <m:t>Covariates</m:t>
        </m:r>
      </m:oMath>
      <w:r w:rsidRPr="00D07E9F">
        <w:t xml:space="preserve"> is a vector representing the following covariates: a) charity size based on 2023 AIS submission data (Small/Medium/Large), b) batch number, c) variable indicated whether the charity submitted on time in 2023 (Yes/No</w:t>
      </w:r>
      <w:r w:rsidR="00C5272C" w:rsidRPr="00D07E9F">
        <w:t>). When there is a missing covariate data, the covariate value will be set to 0.</w:t>
      </w:r>
      <w:r w:rsidRPr="00D07E9F">
        <w:t xml:space="preserve"> </w:t>
      </w:r>
      <m:oMath>
        <m:sSub>
          <m:sSubPr>
            <m:ctrlPr>
              <w:rPr>
                <w:rFonts w:ascii="Cambria Math" w:hAnsi="Cambria Math"/>
              </w:rPr>
            </m:ctrlPr>
          </m:sSubPr>
          <m:e>
            <m:r>
              <w:rPr>
                <w:rFonts w:ascii="Cambria Math" w:hAnsi="Cambria Math"/>
              </w:rPr>
              <m:t>β</m:t>
            </m:r>
          </m:e>
          <m:sub>
            <m:r>
              <w:rPr>
                <w:rFonts w:ascii="Cambria Math" w:hAnsi="Cambria Math"/>
              </w:rPr>
              <m:t>2</m:t>
            </m:r>
          </m:sub>
        </m:sSub>
      </m:oMath>
      <w:r w:rsidRPr="00D07E9F">
        <w:t xml:space="preserve"> is the vector of associated coefficients,</w:t>
      </w:r>
    </w:p>
    <w:p w14:paraId="17061510" w14:textId="7869D626" w:rsidR="007E12D9" w:rsidRPr="00D07E9F" w:rsidRDefault="007E12D9" w:rsidP="00D07E9F">
      <w:pPr>
        <w:pStyle w:val="Bullet1"/>
      </w:pPr>
      <m:oMath>
        <m:r>
          <w:rPr>
            <w:rFonts w:ascii="Cambria Math" w:hAnsi="Cambria Math"/>
          </w:rPr>
          <m:t>Treatment x Covariates</m:t>
        </m:r>
      </m:oMath>
      <w:r w:rsidRPr="00D07E9F">
        <w:t xml:space="preserve"> is the interaction of the treatment indicator vector with the covariates vector,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D07E9F">
        <w:t xml:space="preserve"> is the vector of associated coefficients,</w:t>
      </w:r>
    </w:p>
    <w:p w14:paraId="15FFC908" w14:textId="4C252E91" w:rsidR="007E12D9" w:rsidRPr="00D07E9F" w:rsidRDefault="007E12D9" w:rsidP="00D07E9F">
      <w:pPr>
        <w:pStyle w:val="Bullet1"/>
      </w:pPr>
      <m:oMath>
        <m:r>
          <w:rPr>
            <w:rFonts w:ascii="Cambria Math" w:hAnsi="Cambria Math"/>
          </w:rPr>
          <m:t xml:space="preserve">Missingness </m:t>
        </m:r>
      </m:oMath>
      <w:r w:rsidRPr="00D07E9F">
        <w:t xml:space="preserve">is a variable indicated whether any covariate data is missing (Yes/No), </w:t>
      </w:r>
      <m:oMath>
        <m:sSub>
          <m:sSubPr>
            <m:ctrlPr>
              <w:rPr>
                <w:rFonts w:ascii="Cambria Math" w:hAnsi="Cambria Math"/>
              </w:rPr>
            </m:ctrlPr>
          </m:sSubPr>
          <m:e>
            <m:r>
              <w:rPr>
                <w:rFonts w:ascii="Cambria Math" w:hAnsi="Cambria Math"/>
              </w:rPr>
              <m:t>β</m:t>
            </m:r>
          </m:e>
          <m:sub>
            <m:r>
              <w:rPr>
                <w:rFonts w:ascii="Cambria Math" w:hAnsi="Cambria Math"/>
              </w:rPr>
              <m:t>4</m:t>
            </m:r>
          </m:sub>
        </m:sSub>
      </m:oMath>
      <w:r w:rsidRPr="00D07E9F">
        <w:t xml:space="preserve"> is the coefficient on missing covariates and represents the</w:t>
      </w:r>
      <w:r w:rsidR="00E6621A" w:rsidRPr="00D07E9F">
        <w:t xml:space="preserve"> </w:t>
      </w:r>
      <w:r w:rsidRPr="00D07E9F">
        <w:t>effect of missing covariates data on the outcomes.</w:t>
      </w:r>
    </w:p>
    <w:p w14:paraId="2B679D18" w14:textId="4BDAD720" w:rsidR="00412CFB" w:rsidRPr="00D07E9F" w:rsidRDefault="00412CFB" w:rsidP="00D07E9F">
      <w:pPr>
        <w:pStyle w:val="Bullet1"/>
      </w:pPr>
      <w:r w:rsidRPr="00D07E9F">
        <w:rPr>
          <w:rFonts w:ascii="Cambria Math" w:hAnsi="Cambria Math" w:cs="Cambria Math"/>
        </w:rPr>
        <w:t>∈</w:t>
      </w:r>
      <w:r w:rsidRPr="00D07E9F">
        <w:t xml:space="preserve"> is</w:t>
      </w:r>
      <w:r w:rsidR="000953AF" w:rsidRPr="00D07E9F">
        <w:t xml:space="preserve"> the heteroskedasticity</w:t>
      </w:r>
      <w:r w:rsidR="00573EF3">
        <w:noBreakHyphen/>
      </w:r>
      <w:r w:rsidR="000953AF" w:rsidRPr="00D07E9F">
        <w:t>consistent type 2 (HC2) standard error term.</w:t>
      </w:r>
    </w:p>
    <w:p w14:paraId="10BBF0E9" w14:textId="7F8308C1" w:rsidR="0078488A" w:rsidRPr="00D07E9F" w:rsidRDefault="004B33D9" w:rsidP="00D07E9F">
      <w:r w:rsidRPr="00D07E9F">
        <w:t>In our analysis, we will</w:t>
      </w:r>
      <w:r w:rsidR="00407A02" w:rsidRPr="00D07E9F">
        <w:t xml:space="preserve"> </w:t>
      </w:r>
      <w:r w:rsidRPr="00D07E9F">
        <w:t xml:space="preserve">report the </w:t>
      </w:r>
      <w:r w:rsidR="00407A02" w:rsidRPr="00D07E9F">
        <w:t>average marginal treatment effect</w:t>
      </w:r>
      <w:r w:rsidR="00827A67" w:rsidRPr="00D07E9F">
        <w:t>s.</w:t>
      </w:r>
      <w:r w:rsidR="00A247D1" w:rsidRPr="00D07E9F">
        <w:t xml:space="preserve"> </w:t>
      </w:r>
      <w:r w:rsidR="00004F1C" w:rsidRPr="00D07E9F">
        <w:t xml:space="preserve">If the treatment effect remains consistent across </w:t>
      </w:r>
      <w:r w:rsidR="00320972" w:rsidRPr="00D07E9F">
        <w:t>the linear and the log</w:t>
      </w:r>
      <w:r w:rsidR="00F40762" w:rsidRPr="00D07E9F">
        <w:t>it</w:t>
      </w:r>
      <w:r w:rsidR="00320972" w:rsidRPr="00D07E9F">
        <w:t xml:space="preserve"> model, this supports the robustness of the findings. Divergence between models may suggest the choice of model influences the results, requiring further investigation.</w:t>
      </w:r>
    </w:p>
    <w:p w14:paraId="1C4C1F90" w14:textId="3ADD6D90" w:rsidR="0095289F" w:rsidRDefault="0095289F" w:rsidP="00C444F6">
      <w:pPr>
        <w:pStyle w:val="Heading1"/>
      </w:pPr>
      <w:bookmarkStart w:id="20" w:name="_Toc208322646"/>
      <w:r>
        <w:t>Trial threats</w:t>
      </w:r>
      <w:bookmarkEnd w:id="20"/>
    </w:p>
    <w:p w14:paraId="06CCEC41" w14:textId="50013E89" w:rsidR="00784D02" w:rsidRDefault="00784D02" w:rsidP="00D10000">
      <w:pPr>
        <w:rPr>
          <w:b/>
          <w:bCs/>
        </w:rPr>
      </w:pPr>
      <w:r>
        <w:t xml:space="preserve">We have listed common threats to </w:t>
      </w:r>
      <w:r w:rsidR="00D10000">
        <w:t xml:space="preserve">internal </w:t>
      </w:r>
      <w:r>
        <w:t>validity below. This list is not intended to be exhaustive</w:t>
      </w:r>
      <w:r w:rsidRPr="005A1624">
        <w:t>.</w:t>
      </w:r>
    </w:p>
    <w:p w14:paraId="18B7F978" w14:textId="315AD87A" w:rsidR="00A648BB" w:rsidRPr="00DD5853" w:rsidRDefault="006278B3" w:rsidP="00C444F6">
      <w:pPr>
        <w:pStyle w:val="Heading2"/>
      </w:pPr>
      <w:bookmarkStart w:id="21" w:name="_Toc208322647"/>
      <w:r w:rsidRPr="00DD5853">
        <w:t>Non</w:t>
      </w:r>
      <w:r w:rsidR="00BA56DC">
        <w:t>-</w:t>
      </w:r>
      <w:r w:rsidR="00AA7B22">
        <w:t>adherence</w:t>
      </w:r>
      <w:bookmarkEnd w:id="21"/>
    </w:p>
    <w:p w14:paraId="0D6A3B8F" w14:textId="54A7FD93" w:rsidR="00AA7B22" w:rsidRDefault="003D2ECE" w:rsidP="00FA2BBF">
      <w:pPr>
        <w:rPr>
          <w:color w:val="000000" w:themeColor="text1"/>
        </w:rPr>
      </w:pPr>
      <w:bookmarkStart w:id="22" w:name="_Hlk182907413"/>
      <w:r>
        <w:rPr>
          <w:color w:val="000000" w:themeColor="text1"/>
        </w:rPr>
        <w:t>S</w:t>
      </w:r>
      <w:r w:rsidR="006278B3">
        <w:rPr>
          <w:color w:val="000000" w:themeColor="text1"/>
        </w:rPr>
        <w:t>ome participants may not actually receive emails, despite being in the treatment group</w:t>
      </w:r>
      <w:r w:rsidR="0002442A">
        <w:rPr>
          <w:color w:val="000000" w:themeColor="text1"/>
        </w:rPr>
        <w:t>,</w:t>
      </w:r>
      <w:r>
        <w:rPr>
          <w:color w:val="000000" w:themeColor="text1"/>
        </w:rPr>
        <w:t xml:space="preserve"> because </w:t>
      </w:r>
      <w:r w:rsidR="0002442A">
        <w:rPr>
          <w:color w:val="000000" w:themeColor="text1"/>
        </w:rPr>
        <w:t>charities</w:t>
      </w:r>
      <w:r w:rsidR="00573EF3">
        <w:rPr>
          <w:color w:val="000000" w:themeColor="text1"/>
        </w:rPr>
        <w:t>’</w:t>
      </w:r>
      <w:r w:rsidR="0002442A">
        <w:rPr>
          <w:color w:val="000000" w:themeColor="text1"/>
        </w:rPr>
        <w:t xml:space="preserve"> </w:t>
      </w:r>
      <w:r w:rsidR="00FA2BBF" w:rsidRPr="00524CD4">
        <w:rPr>
          <w:color w:val="000000" w:themeColor="text1"/>
        </w:rPr>
        <w:t>emails may be wrong or duplicated etc.</w:t>
      </w:r>
      <w:r w:rsidR="00CB439E">
        <w:rPr>
          <w:color w:val="000000" w:themeColor="text1"/>
        </w:rPr>
        <w:t xml:space="preserve"> </w:t>
      </w:r>
      <w:r w:rsidR="000E3CF3">
        <w:rPr>
          <w:color w:val="000000" w:themeColor="text1"/>
        </w:rPr>
        <w:t>It can lead to</w:t>
      </w:r>
      <w:r w:rsidR="00552128">
        <w:rPr>
          <w:color w:val="000000" w:themeColor="text1"/>
        </w:rPr>
        <w:t xml:space="preserve"> non</w:t>
      </w:r>
      <w:r w:rsidR="00573EF3">
        <w:rPr>
          <w:color w:val="000000" w:themeColor="text1"/>
        </w:rPr>
        <w:noBreakHyphen/>
      </w:r>
      <w:r w:rsidR="00552128">
        <w:rPr>
          <w:color w:val="000000" w:themeColor="text1"/>
        </w:rPr>
        <w:t xml:space="preserve">compliance in the treatment group. </w:t>
      </w:r>
    </w:p>
    <w:p w14:paraId="6D33938E" w14:textId="77777777" w:rsidR="00AA7B22" w:rsidRPr="00D07E9F" w:rsidRDefault="00AA7B22" w:rsidP="00D07E9F">
      <w:pPr>
        <w:rPr>
          <w:rStyle w:val="Strong"/>
        </w:rPr>
      </w:pPr>
      <w:r w:rsidRPr="00D07E9F">
        <w:rPr>
          <w:rStyle w:val="Strong"/>
        </w:rPr>
        <w:t>Mitigation strategies:</w:t>
      </w:r>
    </w:p>
    <w:p w14:paraId="6334529A" w14:textId="1DA70F05" w:rsidR="00AA7B22" w:rsidRDefault="00AA7B22" w:rsidP="00AA7B22">
      <w:pPr>
        <w:rPr>
          <w:b/>
          <w:bCs/>
        </w:rPr>
      </w:pPr>
      <w:r>
        <w:t>To address this, an intention</w:t>
      </w:r>
      <w:r w:rsidR="00573EF3">
        <w:noBreakHyphen/>
      </w:r>
      <w:r>
        <w:t>to</w:t>
      </w:r>
      <w:r w:rsidR="00573EF3">
        <w:noBreakHyphen/>
      </w:r>
      <w:r>
        <w:t xml:space="preserve">treat analysis will ensure that all </w:t>
      </w:r>
      <w:r w:rsidR="00126DAC">
        <w:t>charities</w:t>
      </w:r>
      <w:r w:rsidR="00017289">
        <w:t xml:space="preserve"> with non</w:t>
      </w:r>
      <w:r w:rsidR="00573EF3">
        <w:noBreakHyphen/>
      </w:r>
      <w:r w:rsidR="00017289">
        <w:t>missing outcome</w:t>
      </w:r>
      <w:r w:rsidR="00A56781">
        <w:t>s</w:t>
      </w:r>
      <w:r w:rsidR="00017289">
        <w:t xml:space="preserve"> data</w:t>
      </w:r>
      <w:r w:rsidR="00126DAC">
        <w:t xml:space="preserve"> </w:t>
      </w:r>
      <w:r>
        <w:t>remain part of the analysis, regardless of whether they received the emails</w:t>
      </w:r>
      <w:r w:rsidR="00232754">
        <w:t>, unless the charities have missing outcomes data</w:t>
      </w:r>
      <w:r>
        <w:t xml:space="preserve">. However, this approach may dilute the treatment effect, potentially making it appear smaller than its true impact. </w:t>
      </w:r>
      <w:bookmarkEnd w:id="22"/>
    </w:p>
    <w:p w14:paraId="18288EF2" w14:textId="5E0AE65C" w:rsidR="0095289F" w:rsidRPr="00DD5853" w:rsidRDefault="0095289F" w:rsidP="00C444F6">
      <w:pPr>
        <w:pStyle w:val="Heading2"/>
      </w:pPr>
      <w:bookmarkStart w:id="23" w:name="_Toc208322648"/>
      <w:r w:rsidRPr="00DD5853">
        <w:lastRenderedPageBreak/>
        <w:t>Missing data</w:t>
      </w:r>
      <w:bookmarkEnd w:id="23"/>
    </w:p>
    <w:p w14:paraId="46C9B20E" w14:textId="587F4624" w:rsidR="0095289F" w:rsidRPr="00DD5853" w:rsidRDefault="00715B63" w:rsidP="0095289F">
      <w:pPr>
        <w:rPr>
          <w:color w:val="000000" w:themeColor="text1"/>
        </w:rPr>
      </w:pPr>
      <w:r w:rsidRPr="00DD5853">
        <w:rPr>
          <w:color w:val="000000" w:themeColor="text1"/>
        </w:rPr>
        <w:t xml:space="preserve">Missing </w:t>
      </w:r>
      <w:r w:rsidR="00CF5CD7">
        <w:rPr>
          <w:color w:val="000000" w:themeColor="text1"/>
        </w:rPr>
        <w:t xml:space="preserve">outcome </w:t>
      </w:r>
      <w:r w:rsidRPr="00DD5853">
        <w:rPr>
          <w:color w:val="000000" w:themeColor="text1"/>
        </w:rPr>
        <w:t xml:space="preserve">data can occur </w:t>
      </w:r>
      <w:r w:rsidR="004834B9" w:rsidRPr="00DD5853">
        <w:rPr>
          <w:color w:val="000000" w:themeColor="text1"/>
        </w:rPr>
        <w:t>due to</w:t>
      </w:r>
      <w:r w:rsidRPr="00DD5853">
        <w:rPr>
          <w:color w:val="000000" w:themeColor="text1"/>
        </w:rPr>
        <w:t>:</w:t>
      </w:r>
    </w:p>
    <w:p w14:paraId="31061F19" w14:textId="4C567745" w:rsidR="00715B63" w:rsidRPr="004A7370" w:rsidRDefault="00715B63" w:rsidP="004A7370">
      <w:pPr>
        <w:pStyle w:val="Bullet1"/>
      </w:pPr>
      <w:r w:rsidRPr="004A7370">
        <w:t xml:space="preserve">Attrition: some charities may cease operations </w:t>
      </w:r>
      <w:r w:rsidR="006248DF" w:rsidRPr="004A7370">
        <w:t>during the implementation of the trial.</w:t>
      </w:r>
    </w:p>
    <w:p w14:paraId="7565D353" w14:textId="60836734" w:rsidR="006248DF" w:rsidRPr="004A7370" w:rsidRDefault="006248DF" w:rsidP="004A7370">
      <w:pPr>
        <w:pStyle w:val="Bullet1"/>
      </w:pPr>
      <w:r w:rsidRPr="004A7370">
        <w:t xml:space="preserve">Technical issues: there could be system errors in </w:t>
      </w:r>
      <w:r w:rsidR="0046674B" w:rsidRPr="004A7370">
        <w:t>the online system or email reminders.</w:t>
      </w:r>
    </w:p>
    <w:p w14:paraId="66633C7B" w14:textId="78987D26" w:rsidR="008B2B0F" w:rsidRPr="004A7370" w:rsidRDefault="008B2B0F" w:rsidP="004A7370">
      <w:pPr>
        <w:pStyle w:val="Bullet1"/>
      </w:pPr>
      <w:r w:rsidRPr="004A7370">
        <w:t>Natural disaster: in the event of a natural disaster, deadlines for affected charities will be extended based on their postcodes.</w:t>
      </w:r>
    </w:p>
    <w:p w14:paraId="52A0850B" w14:textId="6CB933DB" w:rsidR="00CF5CD7" w:rsidRPr="00CF5CD7" w:rsidRDefault="00CF5CD7" w:rsidP="00CF5CD7">
      <w:pPr>
        <w:rPr>
          <w:color w:val="000000" w:themeColor="text1"/>
        </w:rPr>
      </w:pPr>
      <w:r>
        <w:rPr>
          <w:color w:val="000000" w:themeColor="text1"/>
        </w:rPr>
        <w:t xml:space="preserve">Missing </w:t>
      </w:r>
      <w:r w:rsidR="00F659E7">
        <w:rPr>
          <w:color w:val="000000" w:themeColor="text1"/>
        </w:rPr>
        <w:t>covariate information</w:t>
      </w:r>
      <w:r>
        <w:rPr>
          <w:color w:val="000000" w:themeColor="text1"/>
        </w:rPr>
        <w:t xml:space="preserve"> can </w:t>
      </w:r>
      <w:r w:rsidR="00580278">
        <w:rPr>
          <w:color w:val="000000" w:themeColor="text1"/>
        </w:rPr>
        <w:t xml:space="preserve">additionally </w:t>
      </w:r>
      <w:r>
        <w:rPr>
          <w:color w:val="000000" w:themeColor="text1"/>
        </w:rPr>
        <w:t>occur due to:</w:t>
      </w:r>
    </w:p>
    <w:p w14:paraId="45B8A6F9" w14:textId="389BDD61" w:rsidR="00F15EDA" w:rsidRPr="004A7370" w:rsidRDefault="00F15EDA" w:rsidP="004A7370">
      <w:pPr>
        <w:pStyle w:val="Bullet1"/>
      </w:pPr>
      <w:r w:rsidRPr="004A7370">
        <w:t xml:space="preserve">Administrative errors: some charities may </w:t>
      </w:r>
      <w:r w:rsidR="005B2EEF" w:rsidRPr="004A7370">
        <w:t xml:space="preserve">not have the correct information or email recorded. </w:t>
      </w:r>
    </w:p>
    <w:p w14:paraId="6B5B3727" w14:textId="5F099E09" w:rsidR="005B2EEF" w:rsidRPr="004A7370" w:rsidRDefault="005B2EEF" w:rsidP="004A7370">
      <w:pPr>
        <w:rPr>
          <w:rStyle w:val="Strong"/>
        </w:rPr>
      </w:pPr>
      <w:r w:rsidRPr="004A7370">
        <w:rPr>
          <w:rStyle w:val="Strong"/>
        </w:rPr>
        <w:t>Mitigation strategies:</w:t>
      </w:r>
    </w:p>
    <w:p w14:paraId="0C71CD07" w14:textId="37797259" w:rsidR="00107F92" w:rsidRDefault="00D024CB" w:rsidP="00800CD0">
      <w:r w:rsidRPr="0081350A">
        <w:rPr>
          <w:color w:val="000000" w:themeColor="text1"/>
        </w:rPr>
        <w:t xml:space="preserve">If the data appears to be missing at random </w:t>
      </w:r>
      <w:r w:rsidR="00E767DD" w:rsidRPr="0081350A">
        <w:rPr>
          <w:color w:val="000000" w:themeColor="text1"/>
        </w:rPr>
        <w:t>due to unrelated event like a technical issue, we will remove the data from the analysis.</w:t>
      </w:r>
      <w:r w:rsidR="00CB54E6" w:rsidRPr="0081350A">
        <w:rPr>
          <w:color w:val="000000" w:themeColor="text1"/>
        </w:rPr>
        <w:t xml:space="preserve"> </w:t>
      </w:r>
      <w:r w:rsidR="00800CD0">
        <w:t>Cases with missing outcome data will be removed from the analysis. Imputation of outcome data will not be attempted, as it may introduce bias if the missingness is related to treatment status.</w:t>
      </w:r>
      <w:r w:rsidR="00107F92" w:rsidRPr="00107F92">
        <w:t xml:space="preserve"> </w:t>
      </w:r>
      <w:r w:rsidR="00107F92">
        <w:t xml:space="preserve">Missing covariate data will be imputed </w:t>
      </w:r>
      <w:r w:rsidR="00F87359">
        <w:t>as 0 with an additional missing</w:t>
      </w:r>
      <w:r w:rsidR="00A60B0F">
        <w:t>ness indicator in the model</w:t>
      </w:r>
      <w:r w:rsidR="00107F92">
        <w:t xml:space="preserve">, regardless of the degree of missingness. </w:t>
      </w:r>
      <w:r w:rsidR="00A60B0F">
        <w:t>This allows the model to account for the missingness explicitly.</w:t>
      </w:r>
    </w:p>
    <w:p w14:paraId="3CB4C450" w14:textId="0A196CDB" w:rsidR="007712D7" w:rsidRPr="004565B1" w:rsidRDefault="007712D7" w:rsidP="00C444F6">
      <w:pPr>
        <w:pStyle w:val="Heading2"/>
      </w:pPr>
      <w:bookmarkStart w:id="24" w:name="_Toc208322649"/>
      <w:r w:rsidRPr="004565B1">
        <w:t>Spillovers/contamination</w:t>
      </w:r>
      <w:bookmarkEnd w:id="24"/>
    </w:p>
    <w:p w14:paraId="411DC46D" w14:textId="1A69947B" w:rsidR="007712D7" w:rsidRDefault="000D55DC" w:rsidP="004A7370">
      <w:pPr>
        <w:pStyle w:val="Bullet2"/>
      </w:pPr>
      <w:r>
        <w:t xml:space="preserve">Behavioural threats: charities </w:t>
      </w:r>
      <w:r w:rsidR="00A616A6">
        <w:t>in the control group might adjust</w:t>
      </w:r>
      <w:r w:rsidR="00733F56">
        <w:t xml:space="preserve"> the</w:t>
      </w:r>
      <w:r w:rsidR="00034714">
        <w:t xml:space="preserve"> timing of their submission </w:t>
      </w:r>
      <w:r w:rsidR="00733F56">
        <w:t xml:space="preserve">if they learn that others are receiving the reminders. </w:t>
      </w:r>
      <w:r w:rsidR="001811D1">
        <w:t xml:space="preserve">This is particularly relevant if we have the same </w:t>
      </w:r>
      <w:r w:rsidR="0012717A">
        <w:t>Responsible P</w:t>
      </w:r>
      <w:r w:rsidR="00113C6C">
        <w:t>erson</w:t>
      </w:r>
      <w:r w:rsidR="0012717A">
        <w:t xml:space="preserve"> </w:t>
      </w:r>
      <w:r w:rsidR="001811D1">
        <w:t>overseeing multiple charities.</w:t>
      </w:r>
    </w:p>
    <w:p w14:paraId="156C7254" w14:textId="77777777" w:rsidR="00113D04" w:rsidRDefault="00FF3380" w:rsidP="004A7370">
      <w:pPr>
        <w:pStyle w:val="Bullet2"/>
      </w:pPr>
      <w:r>
        <w:t>Administrative sharing: Similarly, if multiple charities share the same administration for financial staff, they might apply knowledge from the treatment group across all charities.</w:t>
      </w:r>
    </w:p>
    <w:p w14:paraId="39B56221" w14:textId="77777777" w:rsidR="005A43FE" w:rsidRPr="004A7370" w:rsidRDefault="00113D04" w:rsidP="004A7370">
      <w:pPr>
        <w:rPr>
          <w:rStyle w:val="Strong"/>
        </w:rPr>
      </w:pPr>
      <w:r w:rsidRPr="004A7370">
        <w:rPr>
          <w:rStyle w:val="Strong"/>
        </w:rPr>
        <w:t xml:space="preserve">Mitigation strategies: </w:t>
      </w:r>
    </w:p>
    <w:p w14:paraId="5C6316F8" w14:textId="73AB31ED" w:rsidR="00FC22C8" w:rsidRDefault="00AA7B22" w:rsidP="007D643A">
      <w:r w:rsidRPr="00113D04">
        <w:t xml:space="preserve">The challenge of identifying charities with shared management or </w:t>
      </w:r>
      <w:r>
        <w:t>Responsible Person</w:t>
      </w:r>
      <w:r w:rsidRPr="00113D04">
        <w:t xml:space="preserve"> in our data limits our capacity to manage potential spillover effects effectively. </w:t>
      </w:r>
      <w:r>
        <w:t xml:space="preserve">It is difficult to accurately identify duplicate Responsible Persons across charities, so </w:t>
      </w:r>
      <w:r w:rsidRPr="00113D04">
        <w:t xml:space="preserve">there is a risk that observed impacts may be </w:t>
      </w:r>
      <w:r>
        <w:t>larger than the treatment effects indicate (due to spillover). However, we do not believe that this will be a particularly widespread issue, as internal ACNC estimates suggest that it is likely to be less than 5% of charities with an overlap of Responsible Person</w:t>
      </w:r>
      <w:r w:rsidR="007D643A">
        <w:t>.</w:t>
      </w:r>
    </w:p>
    <w:p w14:paraId="4D864FB7" w14:textId="77777777" w:rsidR="005C4C9D" w:rsidRDefault="005C4C9D">
      <w:pPr>
        <w:spacing w:after="120" w:line="440" w:lineRule="atLeast"/>
        <w:rPr>
          <w:rFonts w:asciiTheme="majorHAnsi" w:eastAsiaTheme="majorEastAsia" w:hAnsiTheme="majorHAnsi" w:cstheme="majorBidi"/>
          <w:color w:val="031A2B" w:themeColor="text2"/>
          <w:sz w:val="34"/>
          <w:szCs w:val="26"/>
        </w:rPr>
      </w:pPr>
      <w:r>
        <w:br w:type="page"/>
      </w:r>
    </w:p>
    <w:p w14:paraId="2E056CE1" w14:textId="2C084CC3" w:rsidR="007712D7" w:rsidRPr="00D05AFB" w:rsidRDefault="007712D7" w:rsidP="0027059A">
      <w:pPr>
        <w:pStyle w:val="Heading2"/>
      </w:pPr>
      <w:bookmarkStart w:id="25" w:name="_Toc208322650"/>
      <w:r>
        <w:lastRenderedPageBreak/>
        <w:t>Blinding and evaluation</w:t>
      </w:r>
      <w:r w:rsidR="001B413D">
        <w:t>-</w:t>
      </w:r>
      <w:r>
        <w:t>driven effects</w:t>
      </w:r>
      <w:bookmarkEnd w:id="25"/>
    </w:p>
    <w:p w14:paraId="54FB36FB" w14:textId="0739C1AB" w:rsidR="00F1265F" w:rsidRPr="005C4C9D" w:rsidRDefault="006A3C37" w:rsidP="005C4C9D">
      <w:pPr>
        <w:rPr>
          <w:color w:val="000000" w:themeColor="text1"/>
        </w:rPr>
      </w:pPr>
      <w:r w:rsidRPr="005060B6">
        <w:rPr>
          <w:color w:val="000000" w:themeColor="text1"/>
        </w:rPr>
        <w:t xml:space="preserve">Since the trial involves sending email reminders, it is impossible to blind the participants to their treatment status. </w:t>
      </w:r>
      <w:r>
        <w:rPr>
          <w:color w:val="000000" w:themeColor="text1"/>
        </w:rPr>
        <w:t xml:space="preserve">The researchers only know the treatment assignment during the data analysis phase, and do not have direct communication with the participants. </w:t>
      </w:r>
      <w:r>
        <w:t xml:space="preserve">Email is a standard method of communication between </w:t>
      </w:r>
      <w:r w:rsidR="001D3BCA">
        <w:t xml:space="preserve">the </w:t>
      </w:r>
      <w:r>
        <w:t xml:space="preserve">ACNC and charities, making it unlikely that charities will be aware they are part of a trial. </w:t>
      </w:r>
      <w:r>
        <w:rPr>
          <w:color w:val="000000" w:themeColor="text1"/>
        </w:rPr>
        <w:t>Therefore, we do not believe there will be significant evaluation</w:t>
      </w:r>
      <w:r w:rsidR="00573EF3">
        <w:rPr>
          <w:color w:val="000000" w:themeColor="text1"/>
        </w:rPr>
        <w:noBreakHyphen/>
      </w:r>
      <w:r>
        <w:rPr>
          <w:color w:val="000000" w:themeColor="text1"/>
        </w:rPr>
        <w:t xml:space="preserve">driven effects in this study. </w:t>
      </w:r>
    </w:p>
    <w:p w14:paraId="10DAF461" w14:textId="2F1508B1" w:rsidR="007712D7" w:rsidRDefault="007712D7" w:rsidP="0027059A">
      <w:pPr>
        <w:pStyle w:val="Heading1"/>
      </w:pPr>
      <w:bookmarkStart w:id="26" w:name="_Toc208322651"/>
      <w:r>
        <w:t>Interpretation of results</w:t>
      </w:r>
      <w:bookmarkEnd w:id="26"/>
    </w:p>
    <w:p w14:paraId="4F116590" w14:textId="43B40E6F" w:rsidR="00AA7B22" w:rsidRDefault="00AA7B22" w:rsidP="00AA7B22">
      <w:pPr>
        <w:rPr>
          <w:color w:val="000000" w:themeColor="text1"/>
        </w:rPr>
      </w:pPr>
      <w:r w:rsidRPr="00A5144C">
        <w:rPr>
          <w:color w:val="000000" w:themeColor="text1"/>
        </w:rPr>
        <w:t xml:space="preserve">The goal is to assess whether email reminders to </w:t>
      </w:r>
      <w:r>
        <w:rPr>
          <w:color w:val="000000" w:themeColor="text1"/>
        </w:rPr>
        <w:t>Responsible Persons</w:t>
      </w:r>
      <w:r w:rsidRPr="00A5144C">
        <w:rPr>
          <w:color w:val="000000" w:themeColor="text1"/>
        </w:rPr>
        <w:t xml:space="preserve"> improve </w:t>
      </w:r>
      <w:r w:rsidRPr="007718A0">
        <w:t>on</w:t>
      </w:r>
      <w:r w:rsidR="00573EF3">
        <w:noBreakHyphen/>
      </w:r>
      <w:r w:rsidR="00480047" w:rsidRPr="007718A0">
        <w:t xml:space="preserve">time </w:t>
      </w:r>
      <w:r w:rsidRPr="00A5144C">
        <w:rPr>
          <w:color w:val="000000" w:themeColor="text1"/>
        </w:rPr>
        <w:t>submissions</w:t>
      </w:r>
      <w:r>
        <w:rPr>
          <w:color w:val="000000" w:themeColor="text1"/>
        </w:rPr>
        <w:t xml:space="preserve"> for charities who report their AIS to </w:t>
      </w:r>
      <w:r w:rsidR="001D3BCA">
        <w:rPr>
          <w:color w:val="000000" w:themeColor="text1"/>
        </w:rPr>
        <w:t xml:space="preserve">the </w:t>
      </w:r>
      <w:r>
        <w:rPr>
          <w:color w:val="000000" w:themeColor="text1"/>
        </w:rPr>
        <w:t>ACNC with a financial year ending 30</w:t>
      </w:r>
      <w:r w:rsidR="001D3BCA">
        <w:rPr>
          <w:color w:val="000000" w:themeColor="text1"/>
        </w:rPr>
        <w:t> </w:t>
      </w:r>
      <w:r>
        <w:rPr>
          <w:color w:val="000000" w:themeColor="text1"/>
        </w:rPr>
        <w:t>June</w:t>
      </w:r>
      <w:r w:rsidRPr="00A5144C">
        <w:rPr>
          <w:color w:val="000000" w:themeColor="text1"/>
        </w:rPr>
        <w:t xml:space="preserve">. A significant effect suggests the reminders </w:t>
      </w:r>
      <w:r>
        <w:rPr>
          <w:color w:val="000000" w:themeColor="text1"/>
        </w:rPr>
        <w:t>sent to Responsible Person (in</w:t>
      </w:r>
      <w:r w:rsidR="00F1265F">
        <w:rPr>
          <w:color w:val="000000" w:themeColor="text1"/>
        </w:rPr>
        <w:t> </w:t>
      </w:r>
      <w:r>
        <w:rPr>
          <w:color w:val="000000" w:themeColor="text1"/>
        </w:rPr>
        <w:t>addition</w:t>
      </w:r>
      <w:r w:rsidR="00F1265F">
        <w:rPr>
          <w:color w:val="000000" w:themeColor="text1"/>
        </w:rPr>
        <w:t> </w:t>
      </w:r>
      <w:r>
        <w:rPr>
          <w:color w:val="000000" w:themeColor="text1"/>
        </w:rPr>
        <w:t>to other business</w:t>
      </w:r>
      <w:r w:rsidR="00573EF3">
        <w:rPr>
          <w:color w:val="000000" w:themeColor="text1"/>
        </w:rPr>
        <w:noBreakHyphen/>
      </w:r>
      <w:r>
        <w:rPr>
          <w:color w:val="000000" w:themeColor="text1"/>
        </w:rPr>
        <w:t>as</w:t>
      </w:r>
      <w:r w:rsidR="00573EF3">
        <w:rPr>
          <w:color w:val="000000" w:themeColor="text1"/>
        </w:rPr>
        <w:noBreakHyphen/>
      </w:r>
      <w:r>
        <w:rPr>
          <w:color w:val="000000" w:themeColor="text1"/>
        </w:rPr>
        <w:t xml:space="preserve">usual communications) </w:t>
      </w:r>
      <w:r w:rsidRPr="00A5144C">
        <w:rPr>
          <w:color w:val="000000" w:themeColor="text1"/>
        </w:rPr>
        <w:t xml:space="preserve">are an effective compliance nudge. </w:t>
      </w:r>
    </w:p>
    <w:p w14:paraId="69723122" w14:textId="604D4B41" w:rsidR="00AA7B22" w:rsidRPr="00A5144C" w:rsidRDefault="00AA7B22" w:rsidP="00AA7B22">
      <w:pPr>
        <w:rPr>
          <w:color w:val="000000" w:themeColor="text1"/>
        </w:rPr>
      </w:pPr>
      <w:r>
        <w:rPr>
          <w:color w:val="000000" w:themeColor="text1"/>
        </w:rPr>
        <w:t>I</w:t>
      </w:r>
      <w:r w:rsidRPr="00A5144C">
        <w:rPr>
          <w:color w:val="000000" w:themeColor="text1"/>
        </w:rPr>
        <w:t xml:space="preserve">f no significant effect is observed, this </w:t>
      </w:r>
      <w:r>
        <w:rPr>
          <w:color w:val="000000" w:themeColor="text1"/>
        </w:rPr>
        <w:t xml:space="preserve">means that we will not have any evidence to suggest these emails improve </w:t>
      </w:r>
      <w:r w:rsidRPr="007718A0">
        <w:t>on</w:t>
      </w:r>
      <w:r w:rsidR="00573EF3">
        <w:noBreakHyphen/>
      </w:r>
      <w:r w:rsidR="00480047" w:rsidRPr="007718A0">
        <w:t xml:space="preserve">time </w:t>
      </w:r>
      <w:r>
        <w:rPr>
          <w:color w:val="000000" w:themeColor="text1"/>
        </w:rPr>
        <w:t xml:space="preserve">AIS submission. However, </w:t>
      </w:r>
      <w:r w:rsidRPr="00A5144C">
        <w:rPr>
          <w:color w:val="000000" w:themeColor="text1"/>
        </w:rPr>
        <w:t xml:space="preserve">this does not necessarily mean </w:t>
      </w:r>
      <w:r>
        <w:rPr>
          <w:color w:val="000000" w:themeColor="text1"/>
        </w:rPr>
        <w:t xml:space="preserve">sending additional </w:t>
      </w:r>
      <w:r w:rsidRPr="00A5144C">
        <w:rPr>
          <w:color w:val="000000" w:themeColor="text1"/>
        </w:rPr>
        <w:t>reminders do</w:t>
      </w:r>
      <w:r>
        <w:rPr>
          <w:color w:val="000000" w:themeColor="text1"/>
        </w:rPr>
        <w:t>es</w:t>
      </w:r>
      <w:r w:rsidRPr="00A5144C">
        <w:rPr>
          <w:color w:val="000000" w:themeColor="text1"/>
        </w:rPr>
        <w:t xml:space="preserve"> not work—it may reflect other factors, such as t</w:t>
      </w:r>
      <w:r>
        <w:rPr>
          <w:color w:val="000000" w:themeColor="text1"/>
        </w:rPr>
        <w:t xml:space="preserve">hat </w:t>
      </w:r>
      <w:r w:rsidRPr="00A5144C">
        <w:rPr>
          <w:color w:val="000000" w:themeColor="text1"/>
        </w:rPr>
        <w:t xml:space="preserve">the content </w:t>
      </w:r>
      <w:r>
        <w:rPr>
          <w:color w:val="000000" w:themeColor="text1"/>
        </w:rPr>
        <w:t>itself needs to be reworked, or that the</w:t>
      </w:r>
      <w:r w:rsidRPr="00A5144C">
        <w:rPr>
          <w:color w:val="000000" w:themeColor="text1"/>
        </w:rPr>
        <w:t xml:space="preserve"> reminders alone </w:t>
      </w:r>
      <w:r>
        <w:rPr>
          <w:color w:val="000000" w:themeColor="text1"/>
        </w:rPr>
        <w:t>are</w:t>
      </w:r>
      <w:r w:rsidRPr="00A5144C">
        <w:rPr>
          <w:color w:val="000000" w:themeColor="text1"/>
        </w:rPr>
        <w:t xml:space="preserve"> insufficient to change behaviour.</w:t>
      </w:r>
    </w:p>
    <w:p w14:paraId="6D6855E0" w14:textId="7C35033F" w:rsidR="00E8146A" w:rsidRPr="00F04126" w:rsidRDefault="00067108" w:rsidP="007712D7">
      <w:pPr>
        <w:rPr>
          <w:color w:val="000000" w:themeColor="text1"/>
        </w:rPr>
      </w:pPr>
      <w:r w:rsidRPr="00D65709">
        <w:rPr>
          <w:color w:val="000000" w:themeColor="text1"/>
        </w:rPr>
        <w:t>Generalisability of the results:</w:t>
      </w:r>
      <w:r>
        <w:rPr>
          <w:color w:val="000000" w:themeColor="text1"/>
        </w:rPr>
        <w:t xml:space="preserve"> It is important to note that the results </w:t>
      </w:r>
      <w:r w:rsidR="009D75E7">
        <w:rPr>
          <w:color w:val="000000" w:themeColor="text1"/>
        </w:rPr>
        <w:t xml:space="preserve">of the trial </w:t>
      </w:r>
      <w:r>
        <w:rPr>
          <w:color w:val="000000" w:themeColor="text1"/>
        </w:rPr>
        <w:t>may not generalise well to charitie</w:t>
      </w:r>
      <w:r w:rsidR="006334F5">
        <w:rPr>
          <w:color w:val="000000" w:themeColor="text1"/>
        </w:rPr>
        <w:t>s</w:t>
      </w:r>
      <w:r>
        <w:rPr>
          <w:color w:val="000000" w:themeColor="text1"/>
        </w:rPr>
        <w:t xml:space="preserve"> with </w:t>
      </w:r>
      <w:r w:rsidR="00B5501D">
        <w:rPr>
          <w:color w:val="000000" w:themeColor="text1"/>
        </w:rPr>
        <w:t>June</w:t>
      </w:r>
      <w:r w:rsidR="009D75E7">
        <w:rPr>
          <w:color w:val="000000" w:themeColor="text1"/>
        </w:rPr>
        <w:t xml:space="preserve"> AIS submission </w:t>
      </w:r>
      <w:r>
        <w:rPr>
          <w:color w:val="000000" w:themeColor="text1"/>
        </w:rPr>
        <w:t>deadlines.</w:t>
      </w:r>
      <w:r w:rsidR="00570606">
        <w:rPr>
          <w:color w:val="000000" w:themeColor="text1"/>
        </w:rPr>
        <w:t xml:space="preserve"> Th</w:t>
      </w:r>
      <w:r w:rsidR="009D75E7">
        <w:rPr>
          <w:color w:val="000000" w:themeColor="text1"/>
        </w:rPr>
        <w:t>is is because th</w:t>
      </w:r>
      <w:r w:rsidR="00570606">
        <w:rPr>
          <w:color w:val="000000" w:themeColor="text1"/>
        </w:rPr>
        <w:t xml:space="preserve">e submission behaviour between charities with deadlines in </w:t>
      </w:r>
      <w:r w:rsidR="00B5501D">
        <w:rPr>
          <w:color w:val="000000" w:themeColor="text1"/>
        </w:rPr>
        <w:t>June</w:t>
      </w:r>
      <w:r w:rsidR="009D75E7">
        <w:rPr>
          <w:color w:val="000000" w:themeColor="text1"/>
        </w:rPr>
        <w:t xml:space="preserve"> </w:t>
      </w:r>
      <w:r w:rsidR="00570606">
        <w:rPr>
          <w:color w:val="000000" w:themeColor="text1"/>
        </w:rPr>
        <w:t xml:space="preserve">compared to those in </w:t>
      </w:r>
      <w:r w:rsidR="00C32839">
        <w:rPr>
          <w:color w:val="000000" w:themeColor="text1"/>
        </w:rPr>
        <w:t xml:space="preserve">January </w:t>
      </w:r>
      <w:r w:rsidR="00570606">
        <w:rPr>
          <w:color w:val="000000" w:themeColor="text1"/>
        </w:rPr>
        <w:t xml:space="preserve">may differ and we may not be able to reliably predict that the findings will apply to the </w:t>
      </w:r>
      <w:r w:rsidR="00B5501D">
        <w:rPr>
          <w:color w:val="000000" w:themeColor="text1"/>
        </w:rPr>
        <w:t>June</w:t>
      </w:r>
      <w:r w:rsidR="009D75E7">
        <w:rPr>
          <w:color w:val="000000" w:themeColor="text1"/>
        </w:rPr>
        <w:t xml:space="preserve"> </w:t>
      </w:r>
      <w:r w:rsidR="00570606">
        <w:rPr>
          <w:color w:val="000000" w:themeColor="text1"/>
        </w:rPr>
        <w:t>cohort.</w:t>
      </w:r>
    </w:p>
    <w:p w14:paraId="37D85F81" w14:textId="1D902856" w:rsidR="0057334D" w:rsidRDefault="0057334D" w:rsidP="0027059A">
      <w:pPr>
        <w:pStyle w:val="Heading1"/>
      </w:pPr>
      <w:bookmarkStart w:id="27" w:name="_Toc208322652"/>
      <w:r>
        <w:t>Pre</w:t>
      </w:r>
      <w:r w:rsidR="001B413D">
        <w:t>-</w:t>
      </w:r>
      <w:r>
        <w:t>analysis plan commitments</w:t>
      </w:r>
      <w:bookmarkEnd w:id="27"/>
    </w:p>
    <w:p w14:paraId="398C77EA" w14:textId="65624559" w:rsidR="00F533D1" w:rsidRPr="00064666" w:rsidRDefault="00216C1D" w:rsidP="00547A97">
      <w:pPr>
        <w:rPr>
          <w:color w:val="000000" w:themeColor="text1"/>
        </w:rPr>
      </w:pPr>
      <w:r>
        <w:rPr>
          <w:color w:val="000000" w:themeColor="text1"/>
        </w:rPr>
        <w:t>No trial data have been</w:t>
      </w:r>
      <w:r w:rsidR="003D1842">
        <w:rPr>
          <w:color w:val="000000" w:themeColor="text1"/>
        </w:rPr>
        <w:t xml:space="preserve"> collected</w:t>
      </w:r>
      <w:r w:rsidR="00D74B89">
        <w:rPr>
          <w:color w:val="000000" w:themeColor="text1"/>
        </w:rPr>
        <w:t xml:space="preserve">. We </w:t>
      </w:r>
      <w:r w:rsidR="00B5501D">
        <w:rPr>
          <w:color w:val="000000" w:themeColor="text1"/>
        </w:rPr>
        <w:t>have</w:t>
      </w:r>
      <w:r w:rsidR="00D74B89">
        <w:rPr>
          <w:color w:val="000000" w:themeColor="text1"/>
        </w:rPr>
        <w:t xml:space="preserve"> only analysed historical data before the trial to determine th</w:t>
      </w:r>
      <w:r w:rsidR="003E1F7F">
        <w:rPr>
          <w:color w:val="000000" w:themeColor="text1"/>
        </w:rPr>
        <w:t>e estimated sample size and potential subgroup size.</w:t>
      </w:r>
      <w:r w:rsidR="00B65E20">
        <w:rPr>
          <w:color w:val="000000" w:themeColor="text1"/>
        </w:rPr>
        <w:t xml:space="preserve"> Any deviations from this pre</w:t>
      </w:r>
      <w:r w:rsidR="00573EF3">
        <w:rPr>
          <w:color w:val="000000" w:themeColor="text1"/>
        </w:rPr>
        <w:noBreakHyphen/>
      </w:r>
      <w:r w:rsidR="00B65E20">
        <w:rPr>
          <w:color w:val="000000" w:themeColor="text1"/>
        </w:rPr>
        <w:t xml:space="preserve">analysis plan will be documented and justified in the final report. </w:t>
      </w:r>
    </w:p>
    <w:sectPr w:rsidR="00F533D1" w:rsidRPr="00064666" w:rsidSect="007D643A">
      <w:headerReference w:type="even" r:id="rId13"/>
      <w:headerReference w:type="default" r:id="rId14"/>
      <w:footerReference w:type="even" r:id="rId15"/>
      <w:footerReference w:type="default" r:id="rId16"/>
      <w:headerReference w:type="first" r:id="rId17"/>
      <w:footerReference w:type="first" r:id="rId18"/>
      <w:pgSz w:w="11906" w:h="16838" w:code="9"/>
      <w:pgMar w:top="1814"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35AF" w14:textId="77777777" w:rsidR="00CF287E" w:rsidRDefault="00CF287E" w:rsidP="00EF4574">
      <w:pPr>
        <w:spacing w:after="0" w:line="240" w:lineRule="auto"/>
      </w:pPr>
      <w:r>
        <w:separator/>
      </w:r>
    </w:p>
    <w:p w14:paraId="16647D8D" w14:textId="77777777" w:rsidR="00CF287E" w:rsidRDefault="00CF287E"/>
    <w:p w14:paraId="67AC2081" w14:textId="77777777" w:rsidR="00A9611F" w:rsidRDefault="00A9611F"/>
  </w:endnote>
  <w:endnote w:type="continuationSeparator" w:id="0">
    <w:p w14:paraId="07042C14" w14:textId="77777777" w:rsidR="00CF287E" w:rsidRDefault="00CF287E" w:rsidP="00EF4574">
      <w:pPr>
        <w:spacing w:after="0" w:line="240" w:lineRule="auto"/>
      </w:pPr>
      <w:r>
        <w:continuationSeparator/>
      </w:r>
    </w:p>
    <w:p w14:paraId="461BB0FD" w14:textId="77777777" w:rsidR="00CF287E" w:rsidRDefault="00CF287E"/>
    <w:p w14:paraId="77BB0F01" w14:textId="77777777" w:rsidR="00A9611F" w:rsidRDefault="00A9611F"/>
  </w:endnote>
  <w:endnote w:type="continuationNotice" w:id="1">
    <w:p w14:paraId="53956EC6" w14:textId="77777777" w:rsidR="00CF287E" w:rsidRDefault="00CF287E">
      <w:pPr>
        <w:spacing w:after="0" w:line="240" w:lineRule="auto"/>
      </w:pPr>
    </w:p>
    <w:p w14:paraId="1E152A04" w14:textId="77777777" w:rsidR="00A9611F" w:rsidRDefault="00A96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D474" w14:textId="13249C99" w:rsidR="000E1089" w:rsidRPr="00E40849" w:rsidRDefault="000E10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14F5" w14:textId="77777777" w:rsidR="000A6A8B" w:rsidRDefault="000A6A8B">
    <w:pPr>
      <w:pStyle w:val="Footer"/>
    </w:pPr>
  </w:p>
  <w:p w14:paraId="75EDBE96" w14:textId="42280A95" w:rsidR="000A6A8B" w:rsidRDefault="000A6A8B" w:rsidP="000A6A8B">
    <w:pPr>
      <w:pStyle w:val="Footer"/>
      <w:jc w:val="center"/>
      <w:rPr>
        <w:rStyle w:val="Classification"/>
      </w:rPr>
    </w:pPr>
    <w:r w:rsidRPr="000A6A8B">
      <w:rPr>
        <w:rStyle w:val="Classification"/>
      </w:rPr>
      <w:t>Classification</w:t>
    </w:r>
  </w:p>
  <w:p w14:paraId="3CB57A8D"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F785" w14:textId="77777777" w:rsidR="008E60C1" w:rsidRDefault="008E6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0"/>
        <w:sz w:val="14"/>
        <w:szCs w:val="22"/>
        <w14:ligatures w14:val="none"/>
      </w:rPr>
      <w:id w:val="1226100612"/>
      <w:docPartObj>
        <w:docPartGallery w:val="Page Numbers (Bottom of Page)"/>
        <w:docPartUnique/>
      </w:docPartObj>
    </w:sdtPr>
    <w:sdtEndPr>
      <w:rPr>
        <w:noProof/>
      </w:rPr>
    </w:sdtEndPr>
    <w:sdtContent>
      <w:p w14:paraId="2605C27A" w14:textId="66FBEDBB" w:rsidR="002345D4" w:rsidRPr="002345D4" w:rsidRDefault="002345D4" w:rsidP="002345D4">
        <w:pPr>
          <w:tabs>
            <w:tab w:val="center" w:pos="4513"/>
            <w:tab w:val="center" w:pos="8819"/>
            <w:tab w:val="right" w:pos="9026"/>
          </w:tabs>
          <w:suppressAutoHyphens/>
          <w:spacing w:before="120" w:after="0" w:line="180" w:lineRule="atLeast"/>
          <w:jc w:val="right"/>
          <w:rPr>
            <w:kern w:val="0"/>
            <w:sz w:val="14"/>
            <w:szCs w:val="22"/>
            <w14:ligatures w14:val="none"/>
          </w:rPr>
        </w:pPr>
        <w:r w:rsidRPr="002345D4">
          <w:rPr>
            <w:kern w:val="0"/>
            <w:sz w:val="14"/>
            <w:szCs w:val="22"/>
            <w14:ligatures w14:val="none"/>
          </w:rPr>
          <w:fldChar w:fldCharType="begin"/>
        </w:r>
        <w:r w:rsidRPr="002345D4">
          <w:rPr>
            <w:kern w:val="0"/>
            <w:sz w:val="14"/>
            <w:szCs w:val="22"/>
            <w14:ligatures w14:val="none"/>
          </w:rPr>
          <w:instrText xml:space="preserve"> PAGE   \* MERGEFORMAT </w:instrText>
        </w:r>
        <w:r w:rsidRPr="002345D4">
          <w:rPr>
            <w:kern w:val="0"/>
            <w:sz w:val="14"/>
            <w:szCs w:val="22"/>
            <w14:ligatures w14:val="none"/>
          </w:rPr>
          <w:fldChar w:fldCharType="separate"/>
        </w:r>
        <w:r w:rsidRPr="002345D4">
          <w:rPr>
            <w:kern w:val="0"/>
            <w:sz w:val="14"/>
            <w:szCs w:val="22"/>
            <w14:ligatures w14:val="none"/>
          </w:rPr>
          <w:t>9</w:t>
        </w:r>
        <w:r w:rsidRPr="002345D4">
          <w:rPr>
            <w:noProof/>
            <w:kern w:val="0"/>
            <w:sz w:val="14"/>
            <w:szCs w:val="22"/>
            <w14:ligatures w14:val="none"/>
          </w:rPr>
          <w:fldChar w:fldCharType="end"/>
        </w:r>
      </w:p>
    </w:sdtContent>
  </w:sdt>
  <w:p w14:paraId="0D0CAFAF" w14:textId="3670C4FB" w:rsidR="008E60C1" w:rsidRDefault="008E60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3503" w14:textId="77777777" w:rsidR="008E60C1" w:rsidRDefault="008E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CEE7" w14:textId="77777777" w:rsidR="00CF287E" w:rsidRDefault="00CF287E" w:rsidP="0020122A">
      <w:pPr>
        <w:pStyle w:val="FootnoteSeparator"/>
      </w:pPr>
    </w:p>
  </w:footnote>
  <w:footnote w:type="continuationSeparator" w:id="0">
    <w:p w14:paraId="337165F2" w14:textId="77777777" w:rsidR="00CF287E" w:rsidRDefault="00CF287E" w:rsidP="00EF4574">
      <w:pPr>
        <w:spacing w:after="0" w:line="240" w:lineRule="auto"/>
      </w:pPr>
      <w:r>
        <w:continuationSeparator/>
      </w:r>
    </w:p>
    <w:p w14:paraId="2060B3A2" w14:textId="77777777" w:rsidR="00CF287E" w:rsidRDefault="00CF287E"/>
    <w:p w14:paraId="56F7D91F" w14:textId="77777777" w:rsidR="00A9611F" w:rsidRDefault="00A9611F"/>
  </w:footnote>
  <w:footnote w:type="continuationNotice" w:id="1">
    <w:p w14:paraId="51E8A2FD" w14:textId="77777777" w:rsidR="00CF287E" w:rsidRDefault="00CF287E">
      <w:pPr>
        <w:spacing w:after="0" w:line="240" w:lineRule="auto"/>
      </w:pPr>
    </w:p>
    <w:p w14:paraId="5C018958" w14:textId="77777777" w:rsidR="00A9611F" w:rsidRDefault="00A9611F"/>
  </w:footnote>
  <w:footnote w:id="2">
    <w:p w14:paraId="735F205C" w14:textId="7A9E407A" w:rsidR="0073797A" w:rsidRDefault="00573EF3" w:rsidP="00F522A6">
      <w:pPr>
        <w:pStyle w:val="FootnoteText"/>
        <w:ind w:left="426" w:hanging="426"/>
      </w:pPr>
      <w:r w:rsidRPr="00573EF3">
        <w:rPr>
          <w:rStyle w:val="FootnoteReference"/>
          <w:sz w:val="18"/>
          <w:szCs w:val="22"/>
          <w:vertAlign w:val="baseline"/>
        </w:rPr>
        <w:footnoteRef/>
      </w:r>
      <w:r w:rsidR="00F522A6">
        <w:rPr>
          <w:sz w:val="18"/>
          <w:szCs w:val="22"/>
        </w:rPr>
        <w:t xml:space="preserve"> </w:t>
      </w:r>
      <w:r w:rsidR="00F522A6">
        <w:rPr>
          <w:sz w:val="18"/>
          <w:szCs w:val="22"/>
        </w:rPr>
        <w:tab/>
      </w:r>
      <w:r w:rsidR="0073797A" w:rsidRPr="00E807D7">
        <w:rPr>
          <w:sz w:val="18"/>
          <w:szCs w:val="22"/>
        </w:rPr>
        <w:t xml:space="preserve">Power calculated using R library </w:t>
      </w:r>
      <w:r>
        <w:rPr>
          <w:sz w:val="18"/>
          <w:szCs w:val="22"/>
        </w:rPr>
        <w:t>“</w:t>
      </w:r>
      <w:r w:rsidR="0073797A" w:rsidRPr="00E807D7">
        <w:rPr>
          <w:sz w:val="18"/>
          <w:szCs w:val="22"/>
        </w:rPr>
        <w:t>stats</w:t>
      </w:r>
      <w:r>
        <w:rPr>
          <w:sz w:val="18"/>
          <w:szCs w:val="22"/>
        </w:rPr>
        <w:t>”</w:t>
      </w:r>
      <w:r w:rsidR="0073797A" w:rsidRPr="00E807D7">
        <w:rPr>
          <w:sz w:val="18"/>
          <w:szCs w:val="22"/>
        </w:rPr>
        <w:t xml:space="preserve"> package and the following code: power.prop.test(n = 10</w:t>
      </w:r>
      <w:r w:rsidR="0073797A">
        <w:rPr>
          <w:sz w:val="18"/>
          <w:szCs w:val="22"/>
        </w:rPr>
        <w:t>,</w:t>
      </w:r>
      <w:r w:rsidR="0073797A" w:rsidRPr="00E807D7">
        <w:rPr>
          <w:sz w:val="18"/>
          <w:szCs w:val="22"/>
        </w:rPr>
        <w:t>000/2, p1</w:t>
      </w:r>
      <w:r w:rsidR="00783446">
        <w:rPr>
          <w:sz w:val="18"/>
          <w:szCs w:val="22"/>
        </w:rPr>
        <w:t> </w:t>
      </w:r>
      <w:r w:rsidR="0073797A" w:rsidRPr="00E807D7">
        <w:rPr>
          <w:sz w:val="18"/>
          <w:szCs w:val="22"/>
        </w:rPr>
        <w:t>=</w:t>
      </w:r>
      <w:r w:rsidR="00783446">
        <w:rPr>
          <w:sz w:val="18"/>
          <w:szCs w:val="22"/>
        </w:rPr>
        <w:t> </w:t>
      </w:r>
      <w:r w:rsidR="0073797A" w:rsidRPr="00E807D7">
        <w:rPr>
          <w:sz w:val="18"/>
          <w:szCs w:val="22"/>
        </w:rPr>
        <w:t xml:space="preserve">0.705, p2 = 0.73, sig.level = 0.05, power = NULL, alternative = </w:t>
      </w:r>
      <w:r>
        <w:rPr>
          <w:sz w:val="18"/>
          <w:szCs w:val="22"/>
        </w:rPr>
        <w:t>“</w:t>
      </w:r>
      <w:r w:rsidR="0073797A" w:rsidRPr="00E807D7">
        <w:rPr>
          <w:sz w:val="18"/>
          <w:szCs w:val="22"/>
        </w:rPr>
        <w:t>one.sided</w:t>
      </w:r>
      <w:r>
        <w:rPr>
          <w:sz w:val="18"/>
          <w:szCs w:val="22"/>
        </w:rPr>
        <w:t>”</w:t>
      </w:r>
      <w:r w:rsidR="0073797A" w:rsidRPr="00E807D7">
        <w:rPr>
          <w:sz w:val="18"/>
          <w:szCs w:val="22"/>
        </w:rPr>
        <w:t>)</w:t>
      </w:r>
      <w:r w:rsidR="0073797A">
        <w:rPr>
          <w:sz w:val="18"/>
          <w:szCs w:val="22"/>
        </w:rPr>
        <w:t xml:space="preserve">. </w:t>
      </w:r>
      <w:r w:rsidR="007419D3" w:rsidRPr="007419D3">
        <w:rPr>
          <w:sz w:val="18"/>
          <w:szCs w:val="22"/>
        </w:rPr>
        <w:t xml:space="preserve">For the other cases, n was replaced with 11,000 and 12,000. </w:t>
      </w:r>
      <w:r w:rsidR="0073797A">
        <w:rPr>
          <w:sz w:val="18"/>
          <w:szCs w:val="22"/>
        </w:rPr>
        <w:t xml:space="preserve">We do not use multiple hypotheses testing correction in the power calculation.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B220" w14:textId="3499DA17" w:rsidR="00ED1ED5" w:rsidRDefault="00516F1F">
    <w:pPr>
      <w:pStyle w:val="Header"/>
    </w:pPr>
    <w:r>
      <w:rPr>
        <w:noProof/>
        <w:lang w:eastAsia="en-AU"/>
      </w:rPr>
      <w:drawing>
        <wp:inline distT="0" distB="0" distL="0" distR="0" wp14:anchorId="0D507F8C" wp14:editId="53576C4A">
          <wp:extent cx="7540953" cy="10666800"/>
          <wp:effectExtent l="0" t="0" r="3175" b="1270"/>
          <wp:docPr id="545066150" name="Picture 545066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3658" w14:textId="7C8339D3" w:rsidR="000C2A48" w:rsidRDefault="00A24C47" w:rsidP="000A6A8B">
    <w:pPr>
      <w:pStyle w:val="Header"/>
      <w:jc w:val="center"/>
    </w:pPr>
    <w:r>
      <w:rPr>
        <w:noProof/>
        <w:lang w:eastAsia="en-AU"/>
      </w:rPr>
      <w:drawing>
        <wp:anchor distT="0" distB="0" distL="114300" distR="114300" simplePos="0" relativeHeight="251658241" behindDoc="0" locked="0" layoutInCell="1" allowOverlap="1" wp14:anchorId="51B458B3" wp14:editId="149BB124">
          <wp:simplePos x="0" y="0"/>
          <wp:positionH relativeFrom="column">
            <wp:posOffset>-900430</wp:posOffset>
          </wp:positionH>
          <wp:positionV relativeFrom="paragraph">
            <wp:posOffset>-360045</wp:posOffset>
          </wp:positionV>
          <wp:extent cx="7571105" cy="10705465"/>
          <wp:effectExtent l="0" t="0" r="0" b="635"/>
          <wp:wrapNone/>
          <wp:docPr id="450239992" name="Picture 450239992"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r w:rsidR="000A6A8B" w:rsidRPr="000A6A8B">
      <w:rPr>
        <w:rStyle w:val="Classification"/>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F314" w14:textId="77777777" w:rsidR="008E60C1" w:rsidRDefault="008E6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53D1" w14:textId="3469D30C" w:rsidR="00CD2968" w:rsidRPr="00A66D8B" w:rsidRDefault="008E14B0" w:rsidP="00CD2968">
    <w:pPr>
      <w:pStyle w:val="Header"/>
      <w:tabs>
        <w:tab w:val="left" w:pos="253"/>
        <w:tab w:val="right" w:pos="9070"/>
      </w:tabs>
      <w:spacing w:before="480"/>
      <w:rPr>
        <w:b/>
        <w:color w:val="001B36"/>
      </w:rPr>
    </w:pPr>
    <w:r>
      <w:rPr>
        <w:b/>
        <w:noProof/>
        <w:color w:val="001B36"/>
        <w:lang w:eastAsia="en-AU"/>
      </w:rPr>
      <w:drawing>
        <wp:anchor distT="0" distB="0" distL="114300" distR="114300" simplePos="0" relativeHeight="251658240" behindDoc="1" locked="0" layoutInCell="1" allowOverlap="1" wp14:anchorId="73EE346C" wp14:editId="7DAF607B">
          <wp:simplePos x="0" y="0"/>
          <wp:positionH relativeFrom="column">
            <wp:posOffset>-4678045</wp:posOffset>
          </wp:positionH>
          <wp:positionV relativeFrom="paragraph">
            <wp:posOffset>-361315</wp:posOffset>
          </wp:positionV>
          <wp:extent cx="15113000" cy="10686854"/>
          <wp:effectExtent l="0" t="0" r="0" b="635"/>
          <wp:wrapNone/>
          <wp:docPr id="38209296" name="Picture 38209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04214" name="Picture 13103042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0" cy="10686854"/>
                  </a:xfrm>
                  <a:prstGeom prst="rect">
                    <a:avLst/>
                  </a:prstGeom>
                </pic:spPr>
              </pic:pic>
            </a:graphicData>
          </a:graphic>
          <wp14:sizeRelH relativeFrom="margin">
            <wp14:pctWidth>0</wp14:pctWidth>
          </wp14:sizeRelH>
          <wp14:sizeRelV relativeFrom="margin">
            <wp14:pctHeight>0</wp14:pctHeight>
          </wp14:sizeRelV>
        </wp:anchor>
      </w:drawing>
    </w:r>
    <w:r w:rsidR="00CD2968">
      <w:rPr>
        <w:b/>
        <w:color w:val="001B36"/>
      </w:rPr>
      <w:tab/>
    </w:r>
    <w:r w:rsidR="00CD2968">
      <w:rPr>
        <w:b/>
        <w:color w:val="001B36"/>
      </w:rPr>
      <w:tab/>
    </w:r>
    <w:r w:rsidR="00CD2968">
      <w:rPr>
        <w:b/>
        <w:color w:val="001B36"/>
      </w:rPr>
      <w:tab/>
    </w:r>
    <w:r w:rsidR="005403F9">
      <w:rPr>
        <w:b/>
        <w:color w:val="001B36"/>
      </w:rPr>
      <w:br/>
    </w:r>
    <w:r w:rsidR="005403F9">
      <w:rPr>
        <w:b/>
        <w:color w:val="001B36"/>
      </w:rPr>
      <w:br/>
    </w:r>
    <w:r w:rsidR="00595A22">
      <w:rPr>
        <w:b/>
        <w:color w:val="001B36"/>
      </w:rPr>
      <w:t xml:space="preserve">The </w:t>
    </w:r>
    <w:r w:rsidR="0037039C">
      <w:rPr>
        <w:b/>
        <w:color w:val="001B36"/>
      </w:rPr>
      <w:t>ACNC and ACE</w:t>
    </w:r>
    <w:r w:rsidR="00CD2968" w:rsidRPr="00F52FE8">
      <w:rPr>
        <w:b/>
        <w:color w:val="FF0000"/>
      </w:rPr>
      <w:t xml:space="preserve"> | </w:t>
    </w:r>
    <w:r w:rsidR="00195551">
      <w:rPr>
        <w:b/>
        <w:color w:val="001B36"/>
      </w:rPr>
      <w:t>Pre</w:t>
    </w:r>
    <w:r w:rsidR="00573EF3">
      <w:rPr>
        <w:b/>
        <w:color w:val="001B36"/>
      </w:rPr>
      <w:noBreakHyphen/>
    </w:r>
    <w:r w:rsidR="00195551">
      <w:rPr>
        <w:b/>
        <w:color w:val="001B36"/>
      </w:rPr>
      <w:t>analysis Plan</w:t>
    </w:r>
    <w:r w:rsidR="00587625">
      <w:rPr>
        <w:b/>
        <w:color w:val="001B36"/>
      </w:rPr>
      <w:t xml:space="preserve">: </w:t>
    </w:r>
    <w:r w:rsidR="0046706B" w:rsidRPr="007718A0">
      <w:t>Improving on</w:t>
    </w:r>
    <w:r w:rsidR="00573EF3">
      <w:noBreakHyphen/>
    </w:r>
    <w:r w:rsidR="0046706B" w:rsidRPr="007718A0">
      <w:t>time submission rates for charit</w:t>
    </w:r>
    <w:r>
      <w: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017" w14:textId="77777777" w:rsidR="008E60C1" w:rsidRDefault="008E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2E757DF"/>
    <w:multiLevelType w:val="multilevel"/>
    <w:tmpl w:val="0A5822D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C224561"/>
    <w:multiLevelType w:val="multilevel"/>
    <w:tmpl w:val="B2840A08"/>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100113"/>
    <w:multiLevelType w:val="multilevel"/>
    <w:tmpl w:val="7A8CCD0A"/>
    <w:lvl w:ilvl="0">
      <w:start w:val="1"/>
      <w:numFmt w:val="bullet"/>
      <w:lvlText w:val="o"/>
      <w:lvlJc w:val="left"/>
      <w:pPr>
        <w:tabs>
          <w:tab w:val="num" w:pos="1600"/>
        </w:tabs>
        <w:ind w:left="1600" w:hanging="520"/>
      </w:pPr>
      <w:rPr>
        <w:rFonts w:ascii="Courier New" w:hAnsi="Courier New" w:cs="Courier New" w:hint="default"/>
      </w:rPr>
    </w:lvl>
    <w:lvl w:ilvl="1">
      <w:start w:val="1"/>
      <w:numFmt w:val="bullet"/>
      <w:lvlText w:val="–"/>
      <w:lvlJc w:val="left"/>
      <w:pPr>
        <w:tabs>
          <w:tab w:val="num" w:pos="2120"/>
        </w:tabs>
        <w:ind w:left="2120" w:hanging="520"/>
      </w:pPr>
      <w:rPr>
        <w:rFonts w:ascii="Times New Roman" w:hAnsi="Times New Roman" w:cs="Times New Roman"/>
      </w:rPr>
    </w:lvl>
    <w:lvl w:ilvl="2">
      <w:start w:val="1"/>
      <w:numFmt w:val="bullet"/>
      <w:lvlText w:val=":"/>
      <w:lvlJc w:val="left"/>
      <w:pPr>
        <w:tabs>
          <w:tab w:val="num" w:pos="2640"/>
        </w:tabs>
        <w:ind w:left="2640" w:hanging="520"/>
      </w:pPr>
      <w:rPr>
        <w:rFonts w:ascii="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7" w15:restartNumberingAfterBreak="0">
    <w:nsid w:val="5FBE3580"/>
    <w:multiLevelType w:val="multilevel"/>
    <w:tmpl w:val="7A2435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65274D7B"/>
    <w:multiLevelType w:val="hybridMultilevel"/>
    <w:tmpl w:val="F67444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C65207"/>
    <w:multiLevelType w:val="hybridMultilevel"/>
    <w:tmpl w:val="C4D478D8"/>
    <w:lvl w:ilvl="0" w:tplc="0C09000F">
      <w:start w:val="1"/>
      <w:numFmt w:val="decimal"/>
      <w:lvlText w:val="%1."/>
      <w:lvlJc w:val="left"/>
      <w:pPr>
        <w:ind w:left="1440" w:hanging="360"/>
      </w:pPr>
    </w:lvl>
    <w:lvl w:ilvl="1" w:tplc="FFFFFFFF">
      <w:numFmt w:val="decimal"/>
      <w:lvlText w:val="o"/>
      <w:lvlJc w:val="left"/>
      <w:pPr>
        <w:ind w:left="2160" w:hanging="360"/>
      </w:pPr>
      <w:rPr>
        <w:rFonts w:ascii="Courier New" w:hAnsi="Courier New" w:cs="Courier New" w:hint="default"/>
      </w:rPr>
    </w:lvl>
    <w:lvl w:ilvl="2" w:tplc="FFFFFFFF">
      <w:numFmt w:val="decimal"/>
      <w:lvlText w:val=""/>
      <w:lvlJc w:val="left"/>
      <w:pPr>
        <w:ind w:left="2880" w:hanging="360"/>
      </w:pPr>
      <w:rPr>
        <w:rFonts w:ascii="Wingdings" w:hAnsi="Wingdings" w:hint="default"/>
      </w:rPr>
    </w:lvl>
    <w:lvl w:ilvl="3" w:tplc="FFFFFFFF">
      <w:numFmt w:val="decimal"/>
      <w:lvlText w:val=""/>
      <w:lvlJc w:val="left"/>
      <w:pPr>
        <w:ind w:left="3600" w:hanging="360"/>
      </w:pPr>
      <w:rPr>
        <w:rFonts w:ascii="Symbol" w:hAnsi="Symbol" w:hint="default"/>
      </w:rPr>
    </w:lvl>
    <w:lvl w:ilvl="4" w:tplc="FFFFFFFF">
      <w:numFmt w:val="decimal"/>
      <w:lvlText w:val="o"/>
      <w:lvlJc w:val="left"/>
      <w:pPr>
        <w:ind w:left="4320" w:hanging="360"/>
      </w:pPr>
      <w:rPr>
        <w:rFonts w:ascii="Courier New" w:hAnsi="Courier New" w:cs="Courier New" w:hint="default"/>
      </w:rPr>
    </w:lvl>
    <w:lvl w:ilvl="5" w:tplc="FFFFFFFF">
      <w:numFmt w:val="decimal"/>
      <w:lvlText w:val=""/>
      <w:lvlJc w:val="left"/>
      <w:pPr>
        <w:ind w:left="5040" w:hanging="360"/>
      </w:pPr>
      <w:rPr>
        <w:rFonts w:ascii="Wingdings" w:hAnsi="Wingdings" w:hint="default"/>
      </w:rPr>
    </w:lvl>
    <w:lvl w:ilvl="6" w:tplc="FFFFFFFF">
      <w:numFmt w:val="decimal"/>
      <w:lvlText w:val=""/>
      <w:lvlJc w:val="left"/>
      <w:pPr>
        <w:ind w:left="5760" w:hanging="360"/>
      </w:pPr>
      <w:rPr>
        <w:rFonts w:ascii="Symbol" w:hAnsi="Symbol" w:hint="default"/>
      </w:rPr>
    </w:lvl>
    <w:lvl w:ilvl="7" w:tplc="FFFFFFFF">
      <w:numFmt w:val="decimal"/>
      <w:lvlText w:val="o"/>
      <w:lvlJc w:val="left"/>
      <w:pPr>
        <w:ind w:left="6480" w:hanging="360"/>
      </w:pPr>
      <w:rPr>
        <w:rFonts w:ascii="Courier New" w:hAnsi="Courier New" w:cs="Courier New" w:hint="default"/>
      </w:rPr>
    </w:lvl>
    <w:lvl w:ilvl="8" w:tplc="FFFFFFFF">
      <w:numFmt w:val="decimal"/>
      <w:lvlText w:val=""/>
      <w:lvlJc w:val="left"/>
      <w:pPr>
        <w:ind w:left="7200" w:hanging="360"/>
      </w:pPr>
      <w:rPr>
        <w:rFonts w:ascii="Wingdings" w:hAnsi="Wingdings" w:hint="default"/>
      </w:rPr>
    </w:lvl>
  </w:abstractNum>
  <w:abstractNum w:abstractNumId="1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D450AF8"/>
    <w:multiLevelType w:val="multilevel"/>
    <w:tmpl w:val="EFA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439FF"/>
    <w:multiLevelType w:val="multilevel"/>
    <w:tmpl w:val="D3806466"/>
    <w:lvl w:ilvl="0">
      <w:start w:val="1"/>
      <w:numFmt w:val="bullet"/>
      <w:lvlText w:val="o"/>
      <w:lvlJc w:val="left"/>
      <w:pPr>
        <w:tabs>
          <w:tab w:val="num" w:pos="804"/>
        </w:tabs>
        <w:ind w:left="804" w:hanging="520"/>
      </w:pPr>
      <w:rPr>
        <w:rFonts w:ascii="Courier New" w:hAnsi="Courier New" w:cs="Courier New" w:hint="default"/>
      </w:rPr>
    </w:lvl>
    <w:lvl w:ilvl="1">
      <w:start w:val="1"/>
      <w:numFmt w:val="bullet"/>
      <w:lvlText w:val="–"/>
      <w:lvlJc w:val="left"/>
      <w:pPr>
        <w:tabs>
          <w:tab w:val="num" w:pos="1324"/>
        </w:tabs>
        <w:ind w:left="1324" w:hanging="520"/>
      </w:pPr>
      <w:rPr>
        <w:rFonts w:ascii="Times New Roman" w:hAnsi="Times New Roman" w:cs="Times New Roman"/>
      </w:rPr>
    </w:lvl>
    <w:lvl w:ilvl="2">
      <w:start w:val="1"/>
      <w:numFmt w:val="bullet"/>
      <w:lvlText w:val=":"/>
      <w:lvlJc w:val="left"/>
      <w:pPr>
        <w:tabs>
          <w:tab w:val="num" w:pos="1844"/>
        </w:tabs>
        <w:ind w:left="1844" w:hanging="520"/>
      </w:pPr>
      <w:rPr>
        <w:rFonts w:ascii="Times New Roman" w:hAnsi="Times New Roman" w:cs="Times New Roman"/>
      </w:r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16cid:durableId="233780793">
    <w:abstractNumId w:val="5"/>
  </w:num>
  <w:num w:numId="2" w16cid:durableId="1498305683">
    <w:abstractNumId w:val="6"/>
  </w:num>
  <w:num w:numId="3" w16cid:durableId="975647529">
    <w:abstractNumId w:val="1"/>
  </w:num>
  <w:num w:numId="4" w16cid:durableId="259917623">
    <w:abstractNumId w:val="7"/>
  </w:num>
  <w:num w:numId="5" w16cid:durableId="1172918720">
    <w:abstractNumId w:val="11"/>
  </w:num>
  <w:num w:numId="6" w16cid:durableId="868881952">
    <w:abstractNumId w:val="8"/>
  </w:num>
  <w:num w:numId="7" w16cid:durableId="416709799">
    <w:abstractNumId w:val="12"/>
  </w:num>
  <w:num w:numId="8" w16cid:durableId="854149821">
    <w:abstractNumId w:val="9"/>
    <w:lvlOverride w:ilvl="0">
      <w:startOverride w:val="1"/>
    </w:lvlOverride>
    <w:lvlOverride w:ilvl="1"/>
    <w:lvlOverride w:ilvl="2"/>
    <w:lvlOverride w:ilvl="3"/>
    <w:lvlOverride w:ilvl="4"/>
    <w:lvlOverride w:ilvl="5"/>
    <w:lvlOverride w:ilvl="6"/>
    <w:lvlOverride w:ilvl="7"/>
    <w:lvlOverride w:ilvl="8"/>
  </w:num>
  <w:num w:numId="9" w16cid:durableId="1411149569">
    <w:abstractNumId w:val="3"/>
  </w:num>
  <w:num w:numId="10" w16cid:durableId="1463231801">
    <w:abstractNumId w:val="4"/>
  </w:num>
  <w:num w:numId="11" w16cid:durableId="1303195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589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293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95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406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51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487385">
    <w:abstractNumId w:val="0"/>
  </w:num>
  <w:num w:numId="18" w16cid:durableId="1904557894">
    <w:abstractNumId w:val="2"/>
  </w:num>
  <w:num w:numId="19" w16cid:durableId="28037716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1DC"/>
    <w:rsid w:val="00001389"/>
    <w:rsid w:val="00001A84"/>
    <w:rsid w:val="00001B5E"/>
    <w:rsid w:val="00001D45"/>
    <w:rsid w:val="00002057"/>
    <w:rsid w:val="00003730"/>
    <w:rsid w:val="00003E86"/>
    <w:rsid w:val="00004090"/>
    <w:rsid w:val="00004D85"/>
    <w:rsid w:val="00004F1C"/>
    <w:rsid w:val="0000509C"/>
    <w:rsid w:val="000050D2"/>
    <w:rsid w:val="000064FA"/>
    <w:rsid w:val="00006C15"/>
    <w:rsid w:val="000077A4"/>
    <w:rsid w:val="00007CF1"/>
    <w:rsid w:val="00010058"/>
    <w:rsid w:val="0001175F"/>
    <w:rsid w:val="000117B8"/>
    <w:rsid w:val="000117F2"/>
    <w:rsid w:val="00014430"/>
    <w:rsid w:val="00014578"/>
    <w:rsid w:val="000145F9"/>
    <w:rsid w:val="00014F4F"/>
    <w:rsid w:val="00015A64"/>
    <w:rsid w:val="00016786"/>
    <w:rsid w:val="0001698D"/>
    <w:rsid w:val="00017289"/>
    <w:rsid w:val="00021431"/>
    <w:rsid w:val="0002293D"/>
    <w:rsid w:val="00022DEF"/>
    <w:rsid w:val="0002309D"/>
    <w:rsid w:val="000233DF"/>
    <w:rsid w:val="00024323"/>
    <w:rsid w:val="0002442A"/>
    <w:rsid w:val="000255C5"/>
    <w:rsid w:val="00026161"/>
    <w:rsid w:val="0002782F"/>
    <w:rsid w:val="00030168"/>
    <w:rsid w:val="00030273"/>
    <w:rsid w:val="0003033F"/>
    <w:rsid w:val="00030633"/>
    <w:rsid w:val="00030752"/>
    <w:rsid w:val="00030955"/>
    <w:rsid w:val="0003151E"/>
    <w:rsid w:val="00032E2C"/>
    <w:rsid w:val="000339F1"/>
    <w:rsid w:val="00034098"/>
    <w:rsid w:val="000344B6"/>
    <w:rsid w:val="00034714"/>
    <w:rsid w:val="00034D75"/>
    <w:rsid w:val="00035C03"/>
    <w:rsid w:val="00036F26"/>
    <w:rsid w:val="0003700D"/>
    <w:rsid w:val="00037A02"/>
    <w:rsid w:val="00037FA4"/>
    <w:rsid w:val="00040A78"/>
    <w:rsid w:val="00040B4C"/>
    <w:rsid w:val="00040E03"/>
    <w:rsid w:val="00040EE2"/>
    <w:rsid w:val="00041780"/>
    <w:rsid w:val="000417FA"/>
    <w:rsid w:val="00041D4C"/>
    <w:rsid w:val="00042126"/>
    <w:rsid w:val="00042FCB"/>
    <w:rsid w:val="000430FA"/>
    <w:rsid w:val="00043296"/>
    <w:rsid w:val="000435BC"/>
    <w:rsid w:val="000436FF"/>
    <w:rsid w:val="0004421C"/>
    <w:rsid w:val="000445F5"/>
    <w:rsid w:val="000447AE"/>
    <w:rsid w:val="00044887"/>
    <w:rsid w:val="00044A18"/>
    <w:rsid w:val="000459D8"/>
    <w:rsid w:val="00045BC1"/>
    <w:rsid w:val="00045C7F"/>
    <w:rsid w:val="00045CD9"/>
    <w:rsid w:val="00047231"/>
    <w:rsid w:val="00047985"/>
    <w:rsid w:val="00047BDD"/>
    <w:rsid w:val="0005033D"/>
    <w:rsid w:val="00050D23"/>
    <w:rsid w:val="000514A0"/>
    <w:rsid w:val="000528B5"/>
    <w:rsid w:val="00053A0D"/>
    <w:rsid w:val="00054E4D"/>
    <w:rsid w:val="00055F98"/>
    <w:rsid w:val="00056F08"/>
    <w:rsid w:val="000570A5"/>
    <w:rsid w:val="00060073"/>
    <w:rsid w:val="000603C7"/>
    <w:rsid w:val="00060C11"/>
    <w:rsid w:val="00060D47"/>
    <w:rsid w:val="00061BF7"/>
    <w:rsid w:val="00062533"/>
    <w:rsid w:val="000645FF"/>
    <w:rsid w:val="00064666"/>
    <w:rsid w:val="00064B97"/>
    <w:rsid w:val="00064EA1"/>
    <w:rsid w:val="0006542A"/>
    <w:rsid w:val="0006547C"/>
    <w:rsid w:val="000662DA"/>
    <w:rsid w:val="00067108"/>
    <w:rsid w:val="00067D6A"/>
    <w:rsid w:val="00070269"/>
    <w:rsid w:val="0007117E"/>
    <w:rsid w:val="00072A7A"/>
    <w:rsid w:val="000732D9"/>
    <w:rsid w:val="000736D8"/>
    <w:rsid w:val="00073E68"/>
    <w:rsid w:val="000743A9"/>
    <w:rsid w:val="00074F47"/>
    <w:rsid w:val="00075694"/>
    <w:rsid w:val="00075F58"/>
    <w:rsid w:val="0007729A"/>
    <w:rsid w:val="0007779A"/>
    <w:rsid w:val="00077D94"/>
    <w:rsid w:val="00077DAD"/>
    <w:rsid w:val="000802CA"/>
    <w:rsid w:val="000805D5"/>
    <w:rsid w:val="00081660"/>
    <w:rsid w:val="000829F4"/>
    <w:rsid w:val="000834F1"/>
    <w:rsid w:val="0008364F"/>
    <w:rsid w:val="000837B4"/>
    <w:rsid w:val="00083C00"/>
    <w:rsid w:val="0008451A"/>
    <w:rsid w:val="00084B80"/>
    <w:rsid w:val="0008518B"/>
    <w:rsid w:val="000860FA"/>
    <w:rsid w:val="00086313"/>
    <w:rsid w:val="0008727A"/>
    <w:rsid w:val="00087FB3"/>
    <w:rsid w:val="000905D0"/>
    <w:rsid w:val="00090A77"/>
    <w:rsid w:val="00090B5E"/>
    <w:rsid w:val="000919EE"/>
    <w:rsid w:val="00092F5D"/>
    <w:rsid w:val="000953AF"/>
    <w:rsid w:val="00095AB0"/>
    <w:rsid w:val="00096337"/>
    <w:rsid w:val="00096F75"/>
    <w:rsid w:val="000973CE"/>
    <w:rsid w:val="000975AE"/>
    <w:rsid w:val="000A28D2"/>
    <w:rsid w:val="000A2BA0"/>
    <w:rsid w:val="000A301C"/>
    <w:rsid w:val="000A48FE"/>
    <w:rsid w:val="000A4B30"/>
    <w:rsid w:val="000A586A"/>
    <w:rsid w:val="000A6A8B"/>
    <w:rsid w:val="000A7165"/>
    <w:rsid w:val="000A76DB"/>
    <w:rsid w:val="000B0F7C"/>
    <w:rsid w:val="000B1BE5"/>
    <w:rsid w:val="000B1D33"/>
    <w:rsid w:val="000B1DE7"/>
    <w:rsid w:val="000B1E9E"/>
    <w:rsid w:val="000B2B73"/>
    <w:rsid w:val="000B4560"/>
    <w:rsid w:val="000B486D"/>
    <w:rsid w:val="000B4B40"/>
    <w:rsid w:val="000B4FD0"/>
    <w:rsid w:val="000B5A3A"/>
    <w:rsid w:val="000B69CB"/>
    <w:rsid w:val="000B6DDC"/>
    <w:rsid w:val="000B7CB6"/>
    <w:rsid w:val="000B7D07"/>
    <w:rsid w:val="000C0559"/>
    <w:rsid w:val="000C05E9"/>
    <w:rsid w:val="000C0931"/>
    <w:rsid w:val="000C0CBC"/>
    <w:rsid w:val="000C176B"/>
    <w:rsid w:val="000C1C56"/>
    <w:rsid w:val="000C24E6"/>
    <w:rsid w:val="000C2A48"/>
    <w:rsid w:val="000C302A"/>
    <w:rsid w:val="000C304A"/>
    <w:rsid w:val="000C3E38"/>
    <w:rsid w:val="000C49C0"/>
    <w:rsid w:val="000C560B"/>
    <w:rsid w:val="000C5F75"/>
    <w:rsid w:val="000C6161"/>
    <w:rsid w:val="000C6565"/>
    <w:rsid w:val="000C657D"/>
    <w:rsid w:val="000C664B"/>
    <w:rsid w:val="000C6F21"/>
    <w:rsid w:val="000C74F4"/>
    <w:rsid w:val="000C7CB6"/>
    <w:rsid w:val="000C7EC9"/>
    <w:rsid w:val="000D0BB9"/>
    <w:rsid w:val="000D1794"/>
    <w:rsid w:val="000D2C79"/>
    <w:rsid w:val="000D319E"/>
    <w:rsid w:val="000D55DC"/>
    <w:rsid w:val="000D60B1"/>
    <w:rsid w:val="000D66D2"/>
    <w:rsid w:val="000D6CF1"/>
    <w:rsid w:val="000D720A"/>
    <w:rsid w:val="000D738E"/>
    <w:rsid w:val="000D745E"/>
    <w:rsid w:val="000D7B21"/>
    <w:rsid w:val="000E103A"/>
    <w:rsid w:val="000E1089"/>
    <w:rsid w:val="000E1EBB"/>
    <w:rsid w:val="000E2037"/>
    <w:rsid w:val="000E2218"/>
    <w:rsid w:val="000E3431"/>
    <w:rsid w:val="000E3CF3"/>
    <w:rsid w:val="000E42E2"/>
    <w:rsid w:val="000E4B93"/>
    <w:rsid w:val="000E4C9E"/>
    <w:rsid w:val="000E6318"/>
    <w:rsid w:val="000E6D7A"/>
    <w:rsid w:val="000E7123"/>
    <w:rsid w:val="000E7700"/>
    <w:rsid w:val="000E7900"/>
    <w:rsid w:val="000E7D6B"/>
    <w:rsid w:val="000F1143"/>
    <w:rsid w:val="000F12F5"/>
    <w:rsid w:val="000F1755"/>
    <w:rsid w:val="000F24C7"/>
    <w:rsid w:val="000F25C3"/>
    <w:rsid w:val="000F2690"/>
    <w:rsid w:val="000F2964"/>
    <w:rsid w:val="000F41E5"/>
    <w:rsid w:val="000F50CE"/>
    <w:rsid w:val="000F5990"/>
    <w:rsid w:val="000F5D91"/>
    <w:rsid w:val="000F5E9C"/>
    <w:rsid w:val="000F7100"/>
    <w:rsid w:val="000F721E"/>
    <w:rsid w:val="00101188"/>
    <w:rsid w:val="00101808"/>
    <w:rsid w:val="00101B0B"/>
    <w:rsid w:val="00103136"/>
    <w:rsid w:val="00103F59"/>
    <w:rsid w:val="00104589"/>
    <w:rsid w:val="00105E59"/>
    <w:rsid w:val="001062A0"/>
    <w:rsid w:val="001066EB"/>
    <w:rsid w:val="001072F3"/>
    <w:rsid w:val="001073B8"/>
    <w:rsid w:val="00107F92"/>
    <w:rsid w:val="00111FBB"/>
    <w:rsid w:val="00112379"/>
    <w:rsid w:val="001139B2"/>
    <w:rsid w:val="00113C6C"/>
    <w:rsid w:val="00113CFC"/>
    <w:rsid w:val="00113D04"/>
    <w:rsid w:val="00114046"/>
    <w:rsid w:val="0011440F"/>
    <w:rsid w:val="001144B6"/>
    <w:rsid w:val="001144E1"/>
    <w:rsid w:val="001145B3"/>
    <w:rsid w:val="00114BF1"/>
    <w:rsid w:val="00115C24"/>
    <w:rsid w:val="00116D13"/>
    <w:rsid w:val="00116EED"/>
    <w:rsid w:val="00120394"/>
    <w:rsid w:val="001222B9"/>
    <w:rsid w:val="001225DF"/>
    <w:rsid w:val="00122837"/>
    <w:rsid w:val="00122E31"/>
    <w:rsid w:val="001232B1"/>
    <w:rsid w:val="0012424D"/>
    <w:rsid w:val="0012505A"/>
    <w:rsid w:val="0012615F"/>
    <w:rsid w:val="001262E7"/>
    <w:rsid w:val="00126854"/>
    <w:rsid w:val="00126DAC"/>
    <w:rsid w:val="00126E5D"/>
    <w:rsid w:val="001270B3"/>
    <w:rsid w:val="0012717A"/>
    <w:rsid w:val="00127C66"/>
    <w:rsid w:val="00127DC7"/>
    <w:rsid w:val="001307B1"/>
    <w:rsid w:val="0013080F"/>
    <w:rsid w:val="00130F9C"/>
    <w:rsid w:val="0013110E"/>
    <w:rsid w:val="00131941"/>
    <w:rsid w:val="00132077"/>
    <w:rsid w:val="00132932"/>
    <w:rsid w:val="00132970"/>
    <w:rsid w:val="00132CAF"/>
    <w:rsid w:val="00132F5C"/>
    <w:rsid w:val="0013336D"/>
    <w:rsid w:val="001333D4"/>
    <w:rsid w:val="001334B5"/>
    <w:rsid w:val="00133F18"/>
    <w:rsid w:val="001341F0"/>
    <w:rsid w:val="0013490D"/>
    <w:rsid w:val="00134C50"/>
    <w:rsid w:val="00135108"/>
    <w:rsid w:val="001355F5"/>
    <w:rsid w:val="00136530"/>
    <w:rsid w:val="001369AD"/>
    <w:rsid w:val="00137042"/>
    <w:rsid w:val="00137282"/>
    <w:rsid w:val="0014068E"/>
    <w:rsid w:val="00140AA7"/>
    <w:rsid w:val="00140E5E"/>
    <w:rsid w:val="00140F9F"/>
    <w:rsid w:val="00141CAD"/>
    <w:rsid w:val="00143C5E"/>
    <w:rsid w:val="00143D39"/>
    <w:rsid w:val="00143E77"/>
    <w:rsid w:val="0014438F"/>
    <w:rsid w:val="00144EB9"/>
    <w:rsid w:val="001453F3"/>
    <w:rsid w:val="00146A82"/>
    <w:rsid w:val="00147B1A"/>
    <w:rsid w:val="001504A5"/>
    <w:rsid w:val="0015076F"/>
    <w:rsid w:val="00150EBB"/>
    <w:rsid w:val="001515CE"/>
    <w:rsid w:val="001519C9"/>
    <w:rsid w:val="001519EF"/>
    <w:rsid w:val="001541EA"/>
    <w:rsid w:val="0015530C"/>
    <w:rsid w:val="001555CC"/>
    <w:rsid w:val="00155E79"/>
    <w:rsid w:val="001564FA"/>
    <w:rsid w:val="00156584"/>
    <w:rsid w:val="00156778"/>
    <w:rsid w:val="00156C5A"/>
    <w:rsid w:val="001577BB"/>
    <w:rsid w:val="001612A4"/>
    <w:rsid w:val="001614A3"/>
    <w:rsid w:val="001620A2"/>
    <w:rsid w:val="00164D91"/>
    <w:rsid w:val="001654D8"/>
    <w:rsid w:val="00165B10"/>
    <w:rsid w:val="001660A8"/>
    <w:rsid w:val="001667F1"/>
    <w:rsid w:val="00166DC1"/>
    <w:rsid w:val="001671A7"/>
    <w:rsid w:val="0016740D"/>
    <w:rsid w:val="00170100"/>
    <w:rsid w:val="00170D51"/>
    <w:rsid w:val="00171358"/>
    <w:rsid w:val="0017199C"/>
    <w:rsid w:val="001719EC"/>
    <w:rsid w:val="00173CB0"/>
    <w:rsid w:val="001740F3"/>
    <w:rsid w:val="001746D5"/>
    <w:rsid w:val="001748EA"/>
    <w:rsid w:val="00174B90"/>
    <w:rsid w:val="001753F5"/>
    <w:rsid w:val="001759F8"/>
    <w:rsid w:val="00175A10"/>
    <w:rsid w:val="001763C3"/>
    <w:rsid w:val="00176701"/>
    <w:rsid w:val="00176E9C"/>
    <w:rsid w:val="001771A4"/>
    <w:rsid w:val="00177844"/>
    <w:rsid w:val="00177BCD"/>
    <w:rsid w:val="00177CBF"/>
    <w:rsid w:val="00177FA9"/>
    <w:rsid w:val="00180E0E"/>
    <w:rsid w:val="00180EB8"/>
    <w:rsid w:val="001811D1"/>
    <w:rsid w:val="001816DB"/>
    <w:rsid w:val="0018179A"/>
    <w:rsid w:val="00182122"/>
    <w:rsid w:val="0018258F"/>
    <w:rsid w:val="00182F5F"/>
    <w:rsid w:val="0018422D"/>
    <w:rsid w:val="00185787"/>
    <w:rsid w:val="00185AA5"/>
    <w:rsid w:val="00185DFF"/>
    <w:rsid w:val="00186940"/>
    <w:rsid w:val="0018752F"/>
    <w:rsid w:val="00187580"/>
    <w:rsid w:val="00187AEF"/>
    <w:rsid w:val="00190196"/>
    <w:rsid w:val="00191B25"/>
    <w:rsid w:val="00192B44"/>
    <w:rsid w:val="00194400"/>
    <w:rsid w:val="0019478D"/>
    <w:rsid w:val="00194BFD"/>
    <w:rsid w:val="00194C5D"/>
    <w:rsid w:val="0019532F"/>
    <w:rsid w:val="00195551"/>
    <w:rsid w:val="00195E76"/>
    <w:rsid w:val="0019646E"/>
    <w:rsid w:val="0019672E"/>
    <w:rsid w:val="00197040"/>
    <w:rsid w:val="001A10CC"/>
    <w:rsid w:val="001A14E5"/>
    <w:rsid w:val="001A181B"/>
    <w:rsid w:val="001A2147"/>
    <w:rsid w:val="001A305D"/>
    <w:rsid w:val="001A34E2"/>
    <w:rsid w:val="001A61D5"/>
    <w:rsid w:val="001A757F"/>
    <w:rsid w:val="001B10ED"/>
    <w:rsid w:val="001B12C3"/>
    <w:rsid w:val="001B1CE8"/>
    <w:rsid w:val="001B1FE9"/>
    <w:rsid w:val="001B2506"/>
    <w:rsid w:val="001B30A2"/>
    <w:rsid w:val="001B358A"/>
    <w:rsid w:val="001B413D"/>
    <w:rsid w:val="001B42A5"/>
    <w:rsid w:val="001B660C"/>
    <w:rsid w:val="001B6D8F"/>
    <w:rsid w:val="001B71CE"/>
    <w:rsid w:val="001B741D"/>
    <w:rsid w:val="001B75C6"/>
    <w:rsid w:val="001B76A1"/>
    <w:rsid w:val="001B7992"/>
    <w:rsid w:val="001C110F"/>
    <w:rsid w:val="001C3A16"/>
    <w:rsid w:val="001C3A57"/>
    <w:rsid w:val="001C3E76"/>
    <w:rsid w:val="001C48C5"/>
    <w:rsid w:val="001C4AE2"/>
    <w:rsid w:val="001C4FFD"/>
    <w:rsid w:val="001C54C0"/>
    <w:rsid w:val="001C5BFF"/>
    <w:rsid w:val="001C6C10"/>
    <w:rsid w:val="001C6EF8"/>
    <w:rsid w:val="001C7604"/>
    <w:rsid w:val="001C7BE4"/>
    <w:rsid w:val="001D093C"/>
    <w:rsid w:val="001D1F41"/>
    <w:rsid w:val="001D2046"/>
    <w:rsid w:val="001D39E4"/>
    <w:rsid w:val="001D39EF"/>
    <w:rsid w:val="001D3BCA"/>
    <w:rsid w:val="001D3D60"/>
    <w:rsid w:val="001D49DD"/>
    <w:rsid w:val="001D4F3D"/>
    <w:rsid w:val="001D549B"/>
    <w:rsid w:val="001D6634"/>
    <w:rsid w:val="001D6656"/>
    <w:rsid w:val="001D6969"/>
    <w:rsid w:val="001D6A69"/>
    <w:rsid w:val="001D6B2C"/>
    <w:rsid w:val="001D7151"/>
    <w:rsid w:val="001D715E"/>
    <w:rsid w:val="001D75EF"/>
    <w:rsid w:val="001D79BB"/>
    <w:rsid w:val="001D7DF5"/>
    <w:rsid w:val="001D7EB4"/>
    <w:rsid w:val="001E1DC0"/>
    <w:rsid w:val="001E2CC7"/>
    <w:rsid w:val="001E32A5"/>
    <w:rsid w:val="001E396B"/>
    <w:rsid w:val="001E3A17"/>
    <w:rsid w:val="001E3D33"/>
    <w:rsid w:val="001E4318"/>
    <w:rsid w:val="001E4D39"/>
    <w:rsid w:val="001E5C36"/>
    <w:rsid w:val="001E5D9D"/>
    <w:rsid w:val="001E6162"/>
    <w:rsid w:val="001E6789"/>
    <w:rsid w:val="001E6AD5"/>
    <w:rsid w:val="001E7D34"/>
    <w:rsid w:val="001F0872"/>
    <w:rsid w:val="001F10B0"/>
    <w:rsid w:val="001F1597"/>
    <w:rsid w:val="001F191D"/>
    <w:rsid w:val="001F1C28"/>
    <w:rsid w:val="001F1E50"/>
    <w:rsid w:val="001F2E66"/>
    <w:rsid w:val="001F32A3"/>
    <w:rsid w:val="001F3828"/>
    <w:rsid w:val="001F38A2"/>
    <w:rsid w:val="001F3B23"/>
    <w:rsid w:val="001F482E"/>
    <w:rsid w:val="001F4963"/>
    <w:rsid w:val="001F4C84"/>
    <w:rsid w:val="001F5419"/>
    <w:rsid w:val="001F60C0"/>
    <w:rsid w:val="001F611B"/>
    <w:rsid w:val="001F6BC0"/>
    <w:rsid w:val="00200693"/>
    <w:rsid w:val="0020077A"/>
    <w:rsid w:val="00200E9B"/>
    <w:rsid w:val="0020122A"/>
    <w:rsid w:val="002021A5"/>
    <w:rsid w:val="00202E6C"/>
    <w:rsid w:val="002034EA"/>
    <w:rsid w:val="002062CB"/>
    <w:rsid w:val="002078B7"/>
    <w:rsid w:val="00207D93"/>
    <w:rsid w:val="00210114"/>
    <w:rsid w:val="00211517"/>
    <w:rsid w:val="00212933"/>
    <w:rsid w:val="002131B7"/>
    <w:rsid w:val="0021526D"/>
    <w:rsid w:val="00215C75"/>
    <w:rsid w:val="0021679E"/>
    <w:rsid w:val="002167B0"/>
    <w:rsid w:val="00216BAA"/>
    <w:rsid w:val="00216C1D"/>
    <w:rsid w:val="00216CD4"/>
    <w:rsid w:val="00216D34"/>
    <w:rsid w:val="00217A77"/>
    <w:rsid w:val="002200FE"/>
    <w:rsid w:val="002226A4"/>
    <w:rsid w:val="00222EA9"/>
    <w:rsid w:val="0022316B"/>
    <w:rsid w:val="002239AD"/>
    <w:rsid w:val="002312FF"/>
    <w:rsid w:val="002316BC"/>
    <w:rsid w:val="0023259F"/>
    <w:rsid w:val="00232754"/>
    <w:rsid w:val="002328CF"/>
    <w:rsid w:val="00232E91"/>
    <w:rsid w:val="00233997"/>
    <w:rsid w:val="00234404"/>
    <w:rsid w:val="002345D4"/>
    <w:rsid w:val="00234846"/>
    <w:rsid w:val="00234923"/>
    <w:rsid w:val="0023519B"/>
    <w:rsid w:val="00235633"/>
    <w:rsid w:val="00235EF9"/>
    <w:rsid w:val="00235F93"/>
    <w:rsid w:val="0023674B"/>
    <w:rsid w:val="00236770"/>
    <w:rsid w:val="00236771"/>
    <w:rsid w:val="002374FA"/>
    <w:rsid w:val="00237D26"/>
    <w:rsid w:val="00237EA9"/>
    <w:rsid w:val="0024142C"/>
    <w:rsid w:val="0024303A"/>
    <w:rsid w:val="0024406B"/>
    <w:rsid w:val="00244DE1"/>
    <w:rsid w:val="00245764"/>
    <w:rsid w:val="00246C5B"/>
    <w:rsid w:val="00246C60"/>
    <w:rsid w:val="00247871"/>
    <w:rsid w:val="00247B37"/>
    <w:rsid w:val="002500EC"/>
    <w:rsid w:val="00250F91"/>
    <w:rsid w:val="00253395"/>
    <w:rsid w:val="00253963"/>
    <w:rsid w:val="00253B73"/>
    <w:rsid w:val="00254143"/>
    <w:rsid w:val="0025415E"/>
    <w:rsid w:val="00255DF8"/>
    <w:rsid w:val="0025781B"/>
    <w:rsid w:val="0025795A"/>
    <w:rsid w:val="00260889"/>
    <w:rsid w:val="002611AB"/>
    <w:rsid w:val="0026155E"/>
    <w:rsid w:val="00261F94"/>
    <w:rsid w:val="002626BE"/>
    <w:rsid w:val="00262AD5"/>
    <w:rsid w:val="00263770"/>
    <w:rsid w:val="00263B01"/>
    <w:rsid w:val="00263D80"/>
    <w:rsid w:val="00264CE2"/>
    <w:rsid w:val="00264FA6"/>
    <w:rsid w:val="00265673"/>
    <w:rsid w:val="0026600A"/>
    <w:rsid w:val="00266174"/>
    <w:rsid w:val="0026705B"/>
    <w:rsid w:val="00267347"/>
    <w:rsid w:val="00267E46"/>
    <w:rsid w:val="0027059A"/>
    <w:rsid w:val="00270AC8"/>
    <w:rsid w:val="00272B6A"/>
    <w:rsid w:val="00272FC6"/>
    <w:rsid w:val="002736E9"/>
    <w:rsid w:val="00274D11"/>
    <w:rsid w:val="00274DBC"/>
    <w:rsid w:val="0027545D"/>
    <w:rsid w:val="00275696"/>
    <w:rsid w:val="00276877"/>
    <w:rsid w:val="00276933"/>
    <w:rsid w:val="00276FD4"/>
    <w:rsid w:val="002770D0"/>
    <w:rsid w:val="00277389"/>
    <w:rsid w:val="002800F1"/>
    <w:rsid w:val="00280332"/>
    <w:rsid w:val="00280EFA"/>
    <w:rsid w:val="0028168D"/>
    <w:rsid w:val="002816A1"/>
    <w:rsid w:val="00281BF5"/>
    <w:rsid w:val="002826A9"/>
    <w:rsid w:val="0028273E"/>
    <w:rsid w:val="00284D80"/>
    <w:rsid w:val="00284EE6"/>
    <w:rsid w:val="0028602A"/>
    <w:rsid w:val="002868B4"/>
    <w:rsid w:val="00286F3F"/>
    <w:rsid w:val="00287B46"/>
    <w:rsid w:val="00290C87"/>
    <w:rsid w:val="00291267"/>
    <w:rsid w:val="0029436C"/>
    <w:rsid w:val="002947BB"/>
    <w:rsid w:val="00294A0A"/>
    <w:rsid w:val="00295065"/>
    <w:rsid w:val="0029529D"/>
    <w:rsid w:val="002954FE"/>
    <w:rsid w:val="00295E84"/>
    <w:rsid w:val="002965C9"/>
    <w:rsid w:val="0029673D"/>
    <w:rsid w:val="00297F73"/>
    <w:rsid w:val="002A0433"/>
    <w:rsid w:val="002A1579"/>
    <w:rsid w:val="002A2E82"/>
    <w:rsid w:val="002A3A49"/>
    <w:rsid w:val="002A3B45"/>
    <w:rsid w:val="002A3F11"/>
    <w:rsid w:val="002A4981"/>
    <w:rsid w:val="002A66CC"/>
    <w:rsid w:val="002A67C1"/>
    <w:rsid w:val="002A6C9B"/>
    <w:rsid w:val="002A6E71"/>
    <w:rsid w:val="002A7A63"/>
    <w:rsid w:val="002B088D"/>
    <w:rsid w:val="002B1F38"/>
    <w:rsid w:val="002B207F"/>
    <w:rsid w:val="002B20AC"/>
    <w:rsid w:val="002B28AF"/>
    <w:rsid w:val="002B2AD0"/>
    <w:rsid w:val="002B42E8"/>
    <w:rsid w:val="002B5D77"/>
    <w:rsid w:val="002B6CD6"/>
    <w:rsid w:val="002B6D56"/>
    <w:rsid w:val="002B70AA"/>
    <w:rsid w:val="002B71D7"/>
    <w:rsid w:val="002B76EC"/>
    <w:rsid w:val="002B7879"/>
    <w:rsid w:val="002C0081"/>
    <w:rsid w:val="002C081B"/>
    <w:rsid w:val="002C135A"/>
    <w:rsid w:val="002C15DB"/>
    <w:rsid w:val="002C1696"/>
    <w:rsid w:val="002C255A"/>
    <w:rsid w:val="002C4BC1"/>
    <w:rsid w:val="002C6C59"/>
    <w:rsid w:val="002C709D"/>
    <w:rsid w:val="002C73EA"/>
    <w:rsid w:val="002C75C6"/>
    <w:rsid w:val="002C7AD1"/>
    <w:rsid w:val="002C7EFC"/>
    <w:rsid w:val="002D0D8F"/>
    <w:rsid w:val="002D1105"/>
    <w:rsid w:val="002D1193"/>
    <w:rsid w:val="002D1E46"/>
    <w:rsid w:val="002D2A33"/>
    <w:rsid w:val="002D335E"/>
    <w:rsid w:val="002D3A6C"/>
    <w:rsid w:val="002D3CC5"/>
    <w:rsid w:val="002D5276"/>
    <w:rsid w:val="002D5439"/>
    <w:rsid w:val="002D6AA8"/>
    <w:rsid w:val="002D70A3"/>
    <w:rsid w:val="002D77FC"/>
    <w:rsid w:val="002D7BFA"/>
    <w:rsid w:val="002E0CB6"/>
    <w:rsid w:val="002E10FC"/>
    <w:rsid w:val="002E1887"/>
    <w:rsid w:val="002E247B"/>
    <w:rsid w:val="002E2D4A"/>
    <w:rsid w:val="002E322B"/>
    <w:rsid w:val="002E3890"/>
    <w:rsid w:val="002E3F2A"/>
    <w:rsid w:val="002E4AF6"/>
    <w:rsid w:val="002E591D"/>
    <w:rsid w:val="002E5985"/>
    <w:rsid w:val="002E613E"/>
    <w:rsid w:val="002E6279"/>
    <w:rsid w:val="002E66E6"/>
    <w:rsid w:val="002E675E"/>
    <w:rsid w:val="002E701C"/>
    <w:rsid w:val="002F1078"/>
    <w:rsid w:val="002F15A2"/>
    <w:rsid w:val="002F1757"/>
    <w:rsid w:val="002F17D7"/>
    <w:rsid w:val="002F1CD3"/>
    <w:rsid w:val="002F1E02"/>
    <w:rsid w:val="002F2040"/>
    <w:rsid w:val="002F2C8B"/>
    <w:rsid w:val="002F2CEC"/>
    <w:rsid w:val="002F3A74"/>
    <w:rsid w:val="002F3F6D"/>
    <w:rsid w:val="002F4166"/>
    <w:rsid w:val="002F46D9"/>
    <w:rsid w:val="002F4C91"/>
    <w:rsid w:val="002F5017"/>
    <w:rsid w:val="002F504B"/>
    <w:rsid w:val="002F6AA0"/>
    <w:rsid w:val="002F6DEC"/>
    <w:rsid w:val="002F7283"/>
    <w:rsid w:val="002F7654"/>
    <w:rsid w:val="002F768F"/>
    <w:rsid w:val="002F7F67"/>
    <w:rsid w:val="00301144"/>
    <w:rsid w:val="00302082"/>
    <w:rsid w:val="00302937"/>
    <w:rsid w:val="003029CC"/>
    <w:rsid w:val="00303536"/>
    <w:rsid w:val="00304E6C"/>
    <w:rsid w:val="00305192"/>
    <w:rsid w:val="00306BF4"/>
    <w:rsid w:val="00306D61"/>
    <w:rsid w:val="00306F6D"/>
    <w:rsid w:val="0030777B"/>
    <w:rsid w:val="003078F9"/>
    <w:rsid w:val="00307D48"/>
    <w:rsid w:val="003104A4"/>
    <w:rsid w:val="0031057A"/>
    <w:rsid w:val="00310CCE"/>
    <w:rsid w:val="00311DBE"/>
    <w:rsid w:val="003125C2"/>
    <w:rsid w:val="00313823"/>
    <w:rsid w:val="00314238"/>
    <w:rsid w:val="00314618"/>
    <w:rsid w:val="003148B7"/>
    <w:rsid w:val="0031519A"/>
    <w:rsid w:val="003158C3"/>
    <w:rsid w:val="00316824"/>
    <w:rsid w:val="00320972"/>
    <w:rsid w:val="003222D7"/>
    <w:rsid w:val="00322389"/>
    <w:rsid w:val="00322651"/>
    <w:rsid w:val="00322769"/>
    <w:rsid w:val="00323A3B"/>
    <w:rsid w:val="0032404B"/>
    <w:rsid w:val="003241C0"/>
    <w:rsid w:val="003248D6"/>
    <w:rsid w:val="00325493"/>
    <w:rsid w:val="00325629"/>
    <w:rsid w:val="00325783"/>
    <w:rsid w:val="00325929"/>
    <w:rsid w:val="00326A6C"/>
    <w:rsid w:val="003274CD"/>
    <w:rsid w:val="00327EB0"/>
    <w:rsid w:val="003322CA"/>
    <w:rsid w:val="00332695"/>
    <w:rsid w:val="003328F1"/>
    <w:rsid w:val="00332FC6"/>
    <w:rsid w:val="00333312"/>
    <w:rsid w:val="00333840"/>
    <w:rsid w:val="0033543C"/>
    <w:rsid w:val="003354FA"/>
    <w:rsid w:val="00336CFC"/>
    <w:rsid w:val="00341285"/>
    <w:rsid w:val="00341B50"/>
    <w:rsid w:val="00341BD1"/>
    <w:rsid w:val="00341C8F"/>
    <w:rsid w:val="0034224A"/>
    <w:rsid w:val="003424F6"/>
    <w:rsid w:val="0034403F"/>
    <w:rsid w:val="00346DD3"/>
    <w:rsid w:val="00346FF6"/>
    <w:rsid w:val="00347648"/>
    <w:rsid w:val="00347912"/>
    <w:rsid w:val="00347E1F"/>
    <w:rsid w:val="00350680"/>
    <w:rsid w:val="003506AE"/>
    <w:rsid w:val="0035119D"/>
    <w:rsid w:val="0035158E"/>
    <w:rsid w:val="003522DC"/>
    <w:rsid w:val="0035234C"/>
    <w:rsid w:val="003526F8"/>
    <w:rsid w:val="00353123"/>
    <w:rsid w:val="00353A74"/>
    <w:rsid w:val="00353E99"/>
    <w:rsid w:val="003546C4"/>
    <w:rsid w:val="0035496E"/>
    <w:rsid w:val="003554F2"/>
    <w:rsid w:val="00355AB0"/>
    <w:rsid w:val="00356116"/>
    <w:rsid w:val="00356E93"/>
    <w:rsid w:val="00356F33"/>
    <w:rsid w:val="0035741E"/>
    <w:rsid w:val="0036068E"/>
    <w:rsid w:val="00360952"/>
    <w:rsid w:val="0036138C"/>
    <w:rsid w:val="003617B3"/>
    <w:rsid w:val="00361918"/>
    <w:rsid w:val="00361C27"/>
    <w:rsid w:val="003622F1"/>
    <w:rsid w:val="00363D55"/>
    <w:rsid w:val="003641EE"/>
    <w:rsid w:val="0036467C"/>
    <w:rsid w:val="00366DE6"/>
    <w:rsid w:val="0037039C"/>
    <w:rsid w:val="00371931"/>
    <w:rsid w:val="0037194B"/>
    <w:rsid w:val="00371A07"/>
    <w:rsid w:val="00371E89"/>
    <w:rsid w:val="00373831"/>
    <w:rsid w:val="0037538D"/>
    <w:rsid w:val="003759C6"/>
    <w:rsid w:val="003762D6"/>
    <w:rsid w:val="00376474"/>
    <w:rsid w:val="00376AD8"/>
    <w:rsid w:val="00377062"/>
    <w:rsid w:val="00377230"/>
    <w:rsid w:val="00377707"/>
    <w:rsid w:val="00377C62"/>
    <w:rsid w:val="00377C8A"/>
    <w:rsid w:val="00381AC3"/>
    <w:rsid w:val="00381DF0"/>
    <w:rsid w:val="00382108"/>
    <w:rsid w:val="003833F4"/>
    <w:rsid w:val="003844B0"/>
    <w:rsid w:val="0038558F"/>
    <w:rsid w:val="00385B38"/>
    <w:rsid w:val="00385E38"/>
    <w:rsid w:val="00386D99"/>
    <w:rsid w:val="00386E0C"/>
    <w:rsid w:val="00390AA2"/>
    <w:rsid w:val="00390FE7"/>
    <w:rsid w:val="00391B8D"/>
    <w:rsid w:val="003923E4"/>
    <w:rsid w:val="00392828"/>
    <w:rsid w:val="00392D3B"/>
    <w:rsid w:val="00392E10"/>
    <w:rsid w:val="00393A42"/>
    <w:rsid w:val="00393A7E"/>
    <w:rsid w:val="00393EE9"/>
    <w:rsid w:val="0039447C"/>
    <w:rsid w:val="003944AE"/>
    <w:rsid w:val="0039536C"/>
    <w:rsid w:val="0039618C"/>
    <w:rsid w:val="00396DF1"/>
    <w:rsid w:val="00397305"/>
    <w:rsid w:val="003975B2"/>
    <w:rsid w:val="003978DE"/>
    <w:rsid w:val="003A13BE"/>
    <w:rsid w:val="003A1D1C"/>
    <w:rsid w:val="003A4179"/>
    <w:rsid w:val="003A4D50"/>
    <w:rsid w:val="003A4DD2"/>
    <w:rsid w:val="003A4EF2"/>
    <w:rsid w:val="003A588E"/>
    <w:rsid w:val="003A59F6"/>
    <w:rsid w:val="003A64D2"/>
    <w:rsid w:val="003A71C5"/>
    <w:rsid w:val="003A7C77"/>
    <w:rsid w:val="003B02C4"/>
    <w:rsid w:val="003B0938"/>
    <w:rsid w:val="003B1A7C"/>
    <w:rsid w:val="003B1DE5"/>
    <w:rsid w:val="003B1EF0"/>
    <w:rsid w:val="003B38FC"/>
    <w:rsid w:val="003B4105"/>
    <w:rsid w:val="003B4562"/>
    <w:rsid w:val="003B4939"/>
    <w:rsid w:val="003B4F12"/>
    <w:rsid w:val="003B6962"/>
    <w:rsid w:val="003B6D8E"/>
    <w:rsid w:val="003B7B3E"/>
    <w:rsid w:val="003C0154"/>
    <w:rsid w:val="003C0C41"/>
    <w:rsid w:val="003C0E54"/>
    <w:rsid w:val="003C0E5E"/>
    <w:rsid w:val="003C0EF7"/>
    <w:rsid w:val="003C4039"/>
    <w:rsid w:val="003C4A63"/>
    <w:rsid w:val="003C4ED5"/>
    <w:rsid w:val="003C5F48"/>
    <w:rsid w:val="003C695B"/>
    <w:rsid w:val="003D07F5"/>
    <w:rsid w:val="003D098C"/>
    <w:rsid w:val="003D1715"/>
    <w:rsid w:val="003D1842"/>
    <w:rsid w:val="003D24E6"/>
    <w:rsid w:val="003D2CE9"/>
    <w:rsid w:val="003D2ECE"/>
    <w:rsid w:val="003D34DE"/>
    <w:rsid w:val="003D3E74"/>
    <w:rsid w:val="003D4106"/>
    <w:rsid w:val="003D42C1"/>
    <w:rsid w:val="003D5189"/>
    <w:rsid w:val="003D58F9"/>
    <w:rsid w:val="003D67EC"/>
    <w:rsid w:val="003E092A"/>
    <w:rsid w:val="003E0D4F"/>
    <w:rsid w:val="003E1325"/>
    <w:rsid w:val="003E194A"/>
    <w:rsid w:val="003E1EFF"/>
    <w:rsid w:val="003E1F7F"/>
    <w:rsid w:val="003E218B"/>
    <w:rsid w:val="003E2A2F"/>
    <w:rsid w:val="003E3BAA"/>
    <w:rsid w:val="003E3E6F"/>
    <w:rsid w:val="003E4025"/>
    <w:rsid w:val="003E507B"/>
    <w:rsid w:val="003E5248"/>
    <w:rsid w:val="003E55EF"/>
    <w:rsid w:val="003E6353"/>
    <w:rsid w:val="003E69BC"/>
    <w:rsid w:val="003E7666"/>
    <w:rsid w:val="003F022A"/>
    <w:rsid w:val="003F075D"/>
    <w:rsid w:val="003F1194"/>
    <w:rsid w:val="003F1F39"/>
    <w:rsid w:val="003F1FE9"/>
    <w:rsid w:val="003F279B"/>
    <w:rsid w:val="003F28B1"/>
    <w:rsid w:val="003F353D"/>
    <w:rsid w:val="003F381E"/>
    <w:rsid w:val="003F52CA"/>
    <w:rsid w:val="003F5A7C"/>
    <w:rsid w:val="003F673A"/>
    <w:rsid w:val="003F6DB6"/>
    <w:rsid w:val="003F78D0"/>
    <w:rsid w:val="004001C3"/>
    <w:rsid w:val="00400FDB"/>
    <w:rsid w:val="004022A4"/>
    <w:rsid w:val="00402C20"/>
    <w:rsid w:val="00403317"/>
    <w:rsid w:val="00403373"/>
    <w:rsid w:val="00403E65"/>
    <w:rsid w:val="004040C8"/>
    <w:rsid w:val="004040FB"/>
    <w:rsid w:val="00404791"/>
    <w:rsid w:val="00405917"/>
    <w:rsid w:val="00407A02"/>
    <w:rsid w:val="00410207"/>
    <w:rsid w:val="00411216"/>
    <w:rsid w:val="00411C0C"/>
    <w:rsid w:val="00411DDC"/>
    <w:rsid w:val="0041217D"/>
    <w:rsid w:val="004122F9"/>
    <w:rsid w:val="00412CFB"/>
    <w:rsid w:val="00412E8F"/>
    <w:rsid w:val="0041300C"/>
    <w:rsid w:val="004151EA"/>
    <w:rsid w:val="00416136"/>
    <w:rsid w:val="0041676A"/>
    <w:rsid w:val="00417493"/>
    <w:rsid w:val="0041775C"/>
    <w:rsid w:val="00417881"/>
    <w:rsid w:val="00417916"/>
    <w:rsid w:val="00417991"/>
    <w:rsid w:val="00417CB7"/>
    <w:rsid w:val="00417F32"/>
    <w:rsid w:val="004200B9"/>
    <w:rsid w:val="00421580"/>
    <w:rsid w:val="00422767"/>
    <w:rsid w:val="004229BD"/>
    <w:rsid w:val="00423407"/>
    <w:rsid w:val="0042354B"/>
    <w:rsid w:val="004238AC"/>
    <w:rsid w:val="00423B1C"/>
    <w:rsid w:val="00423F31"/>
    <w:rsid w:val="00424ABC"/>
    <w:rsid w:val="004252AC"/>
    <w:rsid w:val="004256C6"/>
    <w:rsid w:val="00426021"/>
    <w:rsid w:val="00427151"/>
    <w:rsid w:val="00427458"/>
    <w:rsid w:val="00430323"/>
    <w:rsid w:val="004306B3"/>
    <w:rsid w:val="00430AD0"/>
    <w:rsid w:val="00430EF7"/>
    <w:rsid w:val="00431024"/>
    <w:rsid w:val="004310D0"/>
    <w:rsid w:val="004317B6"/>
    <w:rsid w:val="00431899"/>
    <w:rsid w:val="00431985"/>
    <w:rsid w:val="004319A5"/>
    <w:rsid w:val="00431B25"/>
    <w:rsid w:val="004331B4"/>
    <w:rsid w:val="0043416F"/>
    <w:rsid w:val="00434243"/>
    <w:rsid w:val="0043488D"/>
    <w:rsid w:val="0043490B"/>
    <w:rsid w:val="00434A30"/>
    <w:rsid w:val="00434B2C"/>
    <w:rsid w:val="00435332"/>
    <w:rsid w:val="004364B1"/>
    <w:rsid w:val="004369AD"/>
    <w:rsid w:val="00436D50"/>
    <w:rsid w:val="004372CA"/>
    <w:rsid w:val="00437852"/>
    <w:rsid w:val="00437E87"/>
    <w:rsid w:val="00440A35"/>
    <w:rsid w:val="00441EBA"/>
    <w:rsid w:val="00442235"/>
    <w:rsid w:val="004429B4"/>
    <w:rsid w:val="004439F6"/>
    <w:rsid w:val="00444FF9"/>
    <w:rsid w:val="00445CE4"/>
    <w:rsid w:val="00446EF6"/>
    <w:rsid w:val="0045006C"/>
    <w:rsid w:val="0045053E"/>
    <w:rsid w:val="004509B7"/>
    <w:rsid w:val="00450E56"/>
    <w:rsid w:val="004519B1"/>
    <w:rsid w:val="00452412"/>
    <w:rsid w:val="00453A22"/>
    <w:rsid w:val="00453A7D"/>
    <w:rsid w:val="004541A4"/>
    <w:rsid w:val="0045463D"/>
    <w:rsid w:val="00455254"/>
    <w:rsid w:val="0045558E"/>
    <w:rsid w:val="004558C4"/>
    <w:rsid w:val="004565B1"/>
    <w:rsid w:val="004600AF"/>
    <w:rsid w:val="004600DF"/>
    <w:rsid w:val="0046065E"/>
    <w:rsid w:val="00460D81"/>
    <w:rsid w:val="0046194E"/>
    <w:rsid w:val="00461BEB"/>
    <w:rsid w:val="0046339B"/>
    <w:rsid w:val="0046339E"/>
    <w:rsid w:val="004642FD"/>
    <w:rsid w:val="00464AF4"/>
    <w:rsid w:val="00464C44"/>
    <w:rsid w:val="004653CC"/>
    <w:rsid w:val="004654B5"/>
    <w:rsid w:val="0046674B"/>
    <w:rsid w:val="00466CDF"/>
    <w:rsid w:val="0046706B"/>
    <w:rsid w:val="00467992"/>
    <w:rsid w:val="00470484"/>
    <w:rsid w:val="00471E7B"/>
    <w:rsid w:val="00472AA6"/>
    <w:rsid w:val="00472CB8"/>
    <w:rsid w:val="00473113"/>
    <w:rsid w:val="0047327D"/>
    <w:rsid w:val="00474113"/>
    <w:rsid w:val="00474ABC"/>
    <w:rsid w:val="00474CCE"/>
    <w:rsid w:val="00475A14"/>
    <w:rsid w:val="00476329"/>
    <w:rsid w:val="004770C2"/>
    <w:rsid w:val="00480047"/>
    <w:rsid w:val="0048127B"/>
    <w:rsid w:val="004821E8"/>
    <w:rsid w:val="00482353"/>
    <w:rsid w:val="004827CF"/>
    <w:rsid w:val="00482B20"/>
    <w:rsid w:val="00483149"/>
    <w:rsid w:val="004834B9"/>
    <w:rsid w:val="00486804"/>
    <w:rsid w:val="00486999"/>
    <w:rsid w:val="00486EAC"/>
    <w:rsid w:val="00490175"/>
    <w:rsid w:val="004921EE"/>
    <w:rsid w:val="004931A9"/>
    <w:rsid w:val="00493A33"/>
    <w:rsid w:val="00493AF8"/>
    <w:rsid w:val="00494048"/>
    <w:rsid w:val="004946E0"/>
    <w:rsid w:val="00497D48"/>
    <w:rsid w:val="004A0192"/>
    <w:rsid w:val="004A0BC6"/>
    <w:rsid w:val="004A1454"/>
    <w:rsid w:val="004A30FB"/>
    <w:rsid w:val="004A3621"/>
    <w:rsid w:val="004A3B5A"/>
    <w:rsid w:val="004A43F2"/>
    <w:rsid w:val="004A4B93"/>
    <w:rsid w:val="004A53AD"/>
    <w:rsid w:val="004A652F"/>
    <w:rsid w:val="004A718F"/>
    <w:rsid w:val="004A71FF"/>
    <w:rsid w:val="004A7370"/>
    <w:rsid w:val="004A77BC"/>
    <w:rsid w:val="004A79C5"/>
    <w:rsid w:val="004B09C8"/>
    <w:rsid w:val="004B191B"/>
    <w:rsid w:val="004B1964"/>
    <w:rsid w:val="004B1BAF"/>
    <w:rsid w:val="004B2335"/>
    <w:rsid w:val="004B235C"/>
    <w:rsid w:val="004B23BB"/>
    <w:rsid w:val="004B2C4C"/>
    <w:rsid w:val="004B33D9"/>
    <w:rsid w:val="004B3775"/>
    <w:rsid w:val="004B37BC"/>
    <w:rsid w:val="004B388C"/>
    <w:rsid w:val="004B46DF"/>
    <w:rsid w:val="004B52EB"/>
    <w:rsid w:val="004B634D"/>
    <w:rsid w:val="004B6C63"/>
    <w:rsid w:val="004B7111"/>
    <w:rsid w:val="004B7288"/>
    <w:rsid w:val="004C05EA"/>
    <w:rsid w:val="004C0923"/>
    <w:rsid w:val="004C0B94"/>
    <w:rsid w:val="004C1636"/>
    <w:rsid w:val="004C16D3"/>
    <w:rsid w:val="004C1885"/>
    <w:rsid w:val="004C1B07"/>
    <w:rsid w:val="004C1B2F"/>
    <w:rsid w:val="004C2207"/>
    <w:rsid w:val="004C22F7"/>
    <w:rsid w:val="004C25EB"/>
    <w:rsid w:val="004C2A06"/>
    <w:rsid w:val="004C2A89"/>
    <w:rsid w:val="004C3152"/>
    <w:rsid w:val="004C3A18"/>
    <w:rsid w:val="004C44B9"/>
    <w:rsid w:val="004C47BE"/>
    <w:rsid w:val="004C5EE1"/>
    <w:rsid w:val="004C6134"/>
    <w:rsid w:val="004C61B7"/>
    <w:rsid w:val="004C6279"/>
    <w:rsid w:val="004C6936"/>
    <w:rsid w:val="004C6D89"/>
    <w:rsid w:val="004C792D"/>
    <w:rsid w:val="004C7DF9"/>
    <w:rsid w:val="004C7EC3"/>
    <w:rsid w:val="004D199B"/>
    <w:rsid w:val="004D20BC"/>
    <w:rsid w:val="004D254A"/>
    <w:rsid w:val="004D26C1"/>
    <w:rsid w:val="004D26E9"/>
    <w:rsid w:val="004D4C37"/>
    <w:rsid w:val="004D691F"/>
    <w:rsid w:val="004D6931"/>
    <w:rsid w:val="004D7BE1"/>
    <w:rsid w:val="004E006E"/>
    <w:rsid w:val="004E058F"/>
    <w:rsid w:val="004E09CC"/>
    <w:rsid w:val="004E227F"/>
    <w:rsid w:val="004E2734"/>
    <w:rsid w:val="004E3AFE"/>
    <w:rsid w:val="004E3B87"/>
    <w:rsid w:val="004E3BD2"/>
    <w:rsid w:val="004E3D42"/>
    <w:rsid w:val="004E3D88"/>
    <w:rsid w:val="004E4443"/>
    <w:rsid w:val="004E48DC"/>
    <w:rsid w:val="004E4CE0"/>
    <w:rsid w:val="004E57CC"/>
    <w:rsid w:val="004E6D57"/>
    <w:rsid w:val="004F0561"/>
    <w:rsid w:val="004F449B"/>
    <w:rsid w:val="004F4647"/>
    <w:rsid w:val="004F48AE"/>
    <w:rsid w:val="004F4B29"/>
    <w:rsid w:val="004F5882"/>
    <w:rsid w:val="004F66DF"/>
    <w:rsid w:val="004F6C37"/>
    <w:rsid w:val="004F702A"/>
    <w:rsid w:val="0050003E"/>
    <w:rsid w:val="00500102"/>
    <w:rsid w:val="00500BEF"/>
    <w:rsid w:val="00501139"/>
    <w:rsid w:val="005023BD"/>
    <w:rsid w:val="0050287C"/>
    <w:rsid w:val="00502B75"/>
    <w:rsid w:val="00502BD1"/>
    <w:rsid w:val="00503DA1"/>
    <w:rsid w:val="00504DCD"/>
    <w:rsid w:val="00505226"/>
    <w:rsid w:val="00505A8A"/>
    <w:rsid w:val="005060B6"/>
    <w:rsid w:val="005064A7"/>
    <w:rsid w:val="00506A0C"/>
    <w:rsid w:val="00507378"/>
    <w:rsid w:val="005075CA"/>
    <w:rsid w:val="00510326"/>
    <w:rsid w:val="00510921"/>
    <w:rsid w:val="00510AD3"/>
    <w:rsid w:val="00511AA4"/>
    <w:rsid w:val="00511F4C"/>
    <w:rsid w:val="00513348"/>
    <w:rsid w:val="00513534"/>
    <w:rsid w:val="0051413A"/>
    <w:rsid w:val="00514252"/>
    <w:rsid w:val="005144AB"/>
    <w:rsid w:val="00514611"/>
    <w:rsid w:val="0051473B"/>
    <w:rsid w:val="00514B87"/>
    <w:rsid w:val="00514C62"/>
    <w:rsid w:val="00515434"/>
    <w:rsid w:val="00516F1F"/>
    <w:rsid w:val="005173C0"/>
    <w:rsid w:val="00517A2F"/>
    <w:rsid w:val="0052133E"/>
    <w:rsid w:val="005239E6"/>
    <w:rsid w:val="00524CD4"/>
    <w:rsid w:val="005258B0"/>
    <w:rsid w:val="00525DFD"/>
    <w:rsid w:val="00525EDB"/>
    <w:rsid w:val="005267E4"/>
    <w:rsid w:val="00527571"/>
    <w:rsid w:val="00527876"/>
    <w:rsid w:val="005300DF"/>
    <w:rsid w:val="00531B2D"/>
    <w:rsid w:val="0053271D"/>
    <w:rsid w:val="0053279A"/>
    <w:rsid w:val="00533B5D"/>
    <w:rsid w:val="00533E2E"/>
    <w:rsid w:val="0053422C"/>
    <w:rsid w:val="005345E4"/>
    <w:rsid w:val="00534965"/>
    <w:rsid w:val="00536282"/>
    <w:rsid w:val="00536C6B"/>
    <w:rsid w:val="005403F9"/>
    <w:rsid w:val="00541E5B"/>
    <w:rsid w:val="00542C88"/>
    <w:rsid w:val="00544A90"/>
    <w:rsid w:val="005453F2"/>
    <w:rsid w:val="005461D6"/>
    <w:rsid w:val="00547689"/>
    <w:rsid w:val="00547A97"/>
    <w:rsid w:val="00547BD5"/>
    <w:rsid w:val="005503B6"/>
    <w:rsid w:val="00550B18"/>
    <w:rsid w:val="00550CE0"/>
    <w:rsid w:val="00551149"/>
    <w:rsid w:val="005519AB"/>
    <w:rsid w:val="00551BF3"/>
    <w:rsid w:val="00551C8B"/>
    <w:rsid w:val="00552128"/>
    <w:rsid w:val="00552F8D"/>
    <w:rsid w:val="005530C1"/>
    <w:rsid w:val="00554349"/>
    <w:rsid w:val="005546B8"/>
    <w:rsid w:val="00554A41"/>
    <w:rsid w:val="00556ED0"/>
    <w:rsid w:val="005570E8"/>
    <w:rsid w:val="005572DA"/>
    <w:rsid w:val="00557A02"/>
    <w:rsid w:val="00560735"/>
    <w:rsid w:val="00561D85"/>
    <w:rsid w:val="00562BB4"/>
    <w:rsid w:val="0056326F"/>
    <w:rsid w:val="0056382A"/>
    <w:rsid w:val="00563898"/>
    <w:rsid w:val="005641DB"/>
    <w:rsid w:val="005648FF"/>
    <w:rsid w:val="00564A22"/>
    <w:rsid w:val="00564BF6"/>
    <w:rsid w:val="00564D52"/>
    <w:rsid w:val="00565C75"/>
    <w:rsid w:val="0056631A"/>
    <w:rsid w:val="0056652A"/>
    <w:rsid w:val="00566B77"/>
    <w:rsid w:val="0056779C"/>
    <w:rsid w:val="00570606"/>
    <w:rsid w:val="00570D39"/>
    <w:rsid w:val="00572382"/>
    <w:rsid w:val="00572B1B"/>
    <w:rsid w:val="0057334D"/>
    <w:rsid w:val="005738FD"/>
    <w:rsid w:val="00573ACC"/>
    <w:rsid w:val="00573EF3"/>
    <w:rsid w:val="00574019"/>
    <w:rsid w:val="005744CB"/>
    <w:rsid w:val="005744E4"/>
    <w:rsid w:val="00575029"/>
    <w:rsid w:val="00576499"/>
    <w:rsid w:val="00576566"/>
    <w:rsid w:val="00576AF8"/>
    <w:rsid w:val="00576E11"/>
    <w:rsid w:val="00576F1E"/>
    <w:rsid w:val="00577F85"/>
    <w:rsid w:val="00580278"/>
    <w:rsid w:val="00582F1C"/>
    <w:rsid w:val="005834CE"/>
    <w:rsid w:val="00583607"/>
    <w:rsid w:val="00584512"/>
    <w:rsid w:val="005845A6"/>
    <w:rsid w:val="005846A8"/>
    <w:rsid w:val="00586BF3"/>
    <w:rsid w:val="00587170"/>
    <w:rsid w:val="00587388"/>
    <w:rsid w:val="005875EF"/>
    <w:rsid w:val="00587625"/>
    <w:rsid w:val="00587F3A"/>
    <w:rsid w:val="0059004D"/>
    <w:rsid w:val="005913E1"/>
    <w:rsid w:val="00591D6B"/>
    <w:rsid w:val="005920FE"/>
    <w:rsid w:val="0059276A"/>
    <w:rsid w:val="00593060"/>
    <w:rsid w:val="00593373"/>
    <w:rsid w:val="005948A9"/>
    <w:rsid w:val="00594B5D"/>
    <w:rsid w:val="00594C43"/>
    <w:rsid w:val="00594C8F"/>
    <w:rsid w:val="00595A22"/>
    <w:rsid w:val="00595BE8"/>
    <w:rsid w:val="005963E8"/>
    <w:rsid w:val="00596D1B"/>
    <w:rsid w:val="005970EA"/>
    <w:rsid w:val="00597319"/>
    <w:rsid w:val="005A086A"/>
    <w:rsid w:val="005A0A03"/>
    <w:rsid w:val="005A14D5"/>
    <w:rsid w:val="005A1624"/>
    <w:rsid w:val="005A1B5D"/>
    <w:rsid w:val="005A40B6"/>
    <w:rsid w:val="005A40F0"/>
    <w:rsid w:val="005A4190"/>
    <w:rsid w:val="005A43FE"/>
    <w:rsid w:val="005A446A"/>
    <w:rsid w:val="005A4CCE"/>
    <w:rsid w:val="005A55EC"/>
    <w:rsid w:val="005A5E00"/>
    <w:rsid w:val="005A7175"/>
    <w:rsid w:val="005A7933"/>
    <w:rsid w:val="005A7BCB"/>
    <w:rsid w:val="005A7ECB"/>
    <w:rsid w:val="005B04B2"/>
    <w:rsid w:val="005B137C"/>
    <w:rsid w:val="005B1971"/>
    <w:rsid w:val="005B20D4"/>
    <w:rsid w:val="005B2255"/>
    <w:rsid w:val="005B2EEF"/>
    <w:rsid w:val="005B2FC6"/>
    <w:rsid w:val="005B36A4"/>
    <w:rsid w:val="005B5B60"/>
    <w:rsid w:val="005B5FC9"/>
    <w:rsid w:val="005B6A91"/>
    <w:rsid w:val="005B6B4A"/>
    <w:rsid w:val="005B7063"/>
    <w:rsid w:val="005B7653"/>
    <w:rsid w:val="005B78FE"/>
    <w:rsid w:val="005C097A"/>
    <w:rsid w:val="005C0B61"/>
    <w:rsid w:val="005C1481"/>
    <w:rsid w:val="005C173A"/>
    <w:rsid w:val="005C189A"/>
    <w:rsid w:val="005C1C3F"/>
    <w:rsid w:val="005C216D"/>
    <w:rsid w:val="005C2ADC"/>
    <w:rsid w:val="005C375A"/>
    <w:rsid w:val="005C37F0"/>
    <w:rsid w:val="005C39BB"/>
    <w:rsid w:val="005C3C1C"/>
    <w:rsid w:val="005C4BDC"/>
    <w:rsid w:val="005C4C9D"/>
    <w:rsid w:val="005C4F3C"/>
    <w:rsid w:val="005C73EA"/>
    <w:rsid w:val="005D007C"/>
    <w:rsid w:val="005D01D5"/>
    <w:rsid w:val="005D039D"/>
    <w:rsid w:val="005D0757"/>
    <w:rsid w:val="005D0C79"/>
    <w:rsid w:val="005D107C"/>
    <w:rsid w:val="005D1AF2"/>
    <w:rsid w:val="005D22DD"/>
    <w:rsid w:val="005D27BD"/>
    <w:rsid w:val="005D28BC"/>
    <w:rsid w:val="005D2C3D"/>
    <w:rsid w:val="005D2D36"/>
    <w:rsid w:val="005D3107"/>
    <w:rsid w:val="005D335F"/>
    <w:rsid w:val="005D35E3"/>
    <w:rsid w:val="005D36E3"/>
    <w:rsid w:val="005D3E0C"/>
    <w:rsid w:val="005D4502"/>
    <w:rsid w:val="005D4C98"/>
    <w:rsid w:val="005D5258"/>
    <w:rsid w:val="005D5E8C"/>
    <w:rsid w:val="005D6191"/>
    <w:rsid w:val="005D6A96"/>
    <w:rsid w:val="005D72FA"/>
    <w:rsid w:val="005D764C"/>
    <w:rsid w:val="005E0EF9"/>
    <w:rsid w:val="005E31D1"/>
    <w:rsid w:val="005E3A5A"/>
    <w:rsid w:val="005E4765"/>
    <w:rsid w:val="005E4807"/>
    <w:rsid w:val="005E58A6"/>
    <w:rsid w:val="005E5A2A"/>
    <w:rsid w:val="005E6B09"/>
    <w:rsid w:val="005E72DE"/>
    <w:rsid w:val="005E775A"/>
    <w:rsid w:val="005E7DAE"/>
    <w:rsid w:val="005F0B28"/>
    <w:rsid w:val="005F37B7"/>
    <w:rsid w:val="005F4EC5"/>
    <w:rsid w:val="005F51DF"/>
    <w:rsid w:val="005F55F0"/>
    <w:rsid w:val="005F58A5"/>
    <w:rsid w:val="005F5990"/>
    <w:rsid w:val="005F6F75"/>
    <w:rsid w:val="005F7243"/>
    <w:rsid w:val="005F7248"/>
    <w:rsid w:val="005F7384"/>
    <w:rsid w:val="005F741B"/>
    <w:rsid w:val="006000A2"/>
    <w:rsid w:val="00600B0A"/>
    <w:rsid w:val="00600C46"/>
    <w:rsid w:val="0060213A"/>
    <w:rsid w:val="0060223E"/>
    <w:rsid w:val="00602930"/>
    <w:rsid w:val="006032C6"/>
    <w:rsid w:val="00603FD2"/>
    <w:rsid w:val="0060415E"/>
    <w:rsid w:val="00604BA3"/>
    <w:rsid w:val="00605335"/>
    <w:rsid w:val="00606690"/>
    <w:rsid w:val="00607D2B"/>
    <w:rsid w:val="00610157"/>
    <w:rsid w:val="0061022F"/>
    <w:rsid w:val="00610383"/>
    <w:rsid w:val="0061047A"/>
    <w:rsid w:val="006105DA"/>
    <w:rsid w:val="00610BF7"/>
    <w:rsid w:val="00611468"/>
    <w:rsid w:val="00611697"/>
    <w:rsid w:val="00611808"/>
    <w:rsid w:val="00611C12"/>
    <w:rsid w:val="00613369"/>
    <w:rsid w:val="00614118"/>
    <w:rsid w:val="00614173"/>
    <w:rsid w:val="0061433E"/>
    <w:rsid w:val="006149DF"/>
    <w:rsid w:val="0061574B"/>
    <w:rsid w:val="00615863"/>
    <w:rsid w:val="0061642D"/>
    <w:rsid w:val="00616B23"/>
    <w:rsid w:val="006171E8"/>
    <w:rsid w:val="006201DF"/>
    <w:rsid w:val="00620929"/>
    <w:rsid w:val="0062132B"/>
    <w:rsid w:val="0062201E"/>
    <w:rsid w:val="00622056"/>
    <w:rsid w:val="0062228F"/>
    <w:rsid w:val="0062289A"/>
    <w:rsid w:val="006230BC"/>
    <w:rsid w:val="00623BA1"/>
    <w:rsid w:val="00623F4F"/>
    <w:rsid w:val="00624863"/>
    <w:rsid w:val="006248DF"/>
    <w:rsid w:val="006249BD"/>
    <w:rsid w:val="00624B2B"/>
    <w:rsid w:val="006251F6"/>
    <w:rsid w:val="0062639B"/>
    <w:rsid w:val="006265B5"/>
    <w:rsid w:val="006268BD"/>
    <w:rsid w:val="006278B3"/>
    <w:rsid w:val="0062790A"/>
    <w:rsid w:val="00627C63"/>
    <w:rsid w:val="00627F61"/>
    <w:rsid w:val="006300E2"/>
    <w:rsid w:val="0063024B"/>
    <w:rsid w:val="00630E0A"/>
    <w:rsid w:val="00631AB2"/>
    <w:rsid w:val="00632190"/>
    <w:rsid w:val="006334F5"/>
    <w:rsid w:val="006335AD"/>
    <w:rsid w:val="006335F6"/>
    <w:rsid w:val="00633BA1"/>
    <w:rsid w:val="00634516"/>
    <w:rsid w:val="006346BC"/>
    <w:rsid w:val="00634FC7"/>
    <w:rsid w:val="0063591B"/>
    <w:rsid w:val="006367AC"/>
    <w:rsid w:val="00636BA0"/>
    <w:rsid w:val="006371E4"/>
    <w:rsid w:val="00637E90"/>
    <w:rsid w:val="00641254"/>
    <w:rsid w:val="00641411"/>
    <w:rsid w:val="00641CCE"/>
    <w:rsid w:val="006424C8"/>
    <w:rsid w:val="0064270A"/>
    <w:rsid w:val="00644A84"/>
    <w:rsid w:val="00644F07"/>
    <w:rsid w:val="0064539C"/>
    <w:rsid w:val="00645538"/>
    <w:rsid w:val="006473F5"/>
    <w:rsid w:val="0064778C"/>
    <w:rsid w:val="00650883"/>
    <w:rsid w:val="00651938"/>
    <w:rsid w:val="00652252"/>
    <w:rsid w:val="0065225C"/>
    <w:rsid w:val="00652D71"/>
    <w:rsid w:val="006539EC"/>
    <w:rsid w:val="00654D72"/>
    <w:rsid w:val="00654E0D"/>
    <w:rsid w:val="0065565C"/>
    <w:rsid w:val="00655E65"/>
    <w:rsid w:val="006569AF"/>
    <w:rsid w:val="00656B96"/>
    <w:rsid w:val="00656C14"/>
    <w:rsid w:val="00657B6B"/>
    <w:rsid w:val="00657F8B"/>
    <w:rsid w:val="006600A2"/>
    <w:rsid w:val="0066078C"/>
    <w:rsid w:val="00660A6E"/>
    <w:rsid w:val="00660DD9"/>
    <w:rsid w:val="0066130F"/>
    <w:rsid w:val="00661D51"/>
    <w:rsid w:val="00662D9B"/>
    <w:rsid w:val="006630B8"/>
    <w:rsid w:val="0066400E"/>
    <w:rsid w:val="0066540A"/>
    <w:rsid w:val="006658F0"/>
    <w:rsid w:val="00666291"/>
    <w:rsid w:val="0066652A"/>
    <w:rsid w:val="0066770E"/>
    <w:rsid w:val="006705BE"/>
    <w:rsid w:val="006707AF"/>
    <w:rsid w:val="00671025"/>
    <w:rsid w:val="00671CA9"/>
    <w:rsid w:val="00672D08"/>
    <w:rsid w:val="00674047"/>
    <w:rsid w:val="00674A41"/>
    <w:rsid w:val="006755CF"/>
    <w:rsid w:val="0067643E"/>
    <w:rsid w:val="00676F0A"/>
    <w:rsid w:val="00677982"/>
    <w:rsid w:val="00681BE2"/>
    <w:rsid w:val="00681C78"/>
    <w:rsid w:val="00682167"/>
    <w:rsid w:val="006826E0"/>
    <w:rsid w:val="006831BB"/>
    <w:rsid w:val="0068325D"/>
    <w:rsid w:val="00683BF6"/>
    <w:rsid w:val="006840AA"/>
    <w:rsid w:val="00684531"/>
    <w:rsid w:val="006845D1"/>
    <w:rsid w:val="006852E7"/>
    <w:rsid w:val="006854D1"/>
    <w:rsid w:val="00685584"/>
    <w:rsid w:val="00685779"/>
    <w:rsid w:val="0068582D"/>
    <w:rsid w:val="00686C98"/>
    <w:rsid w:val="0069048F"/>
    <w:rsid w:val="00690EF2"/>
    <w:rsid w:val="00691B57"/>
    <w:rsid w:val="00691B62"/>
    <w:rsid w:val="006925AF"/>
    <w:rsid w:val="00693755"/>
    <w:rsid w:val="00694E94"/>
    <w:rsid w:val="0069524C"/>
    <w:rsid w:val="00695345"/>
    <w:rsid w:val="006964BA"/>
    <w:rsid w:val="006A061F"/>
    <w:rsid w:val="006A1665"/>
    <w:rsid w:val="006A31DC"/>
    <w:rsid w:val="006A3C37"/>
    <w:rsid w:val="006A4B26"/>
    <w:rsid w:val="006A5C0E"/>
    <w:rsid w:val="006A5DE9"/>
    <w:rsid w:val="006A682C"/>
    <w:rsid w:val="006A7A42"/>
    <w:rsid w:val="006A7E05"/>
    <w:rsid w:val="006B059D"/>
    <w:rsid w:val="006B06D1"/>
    <w:rsid w:val="006B0899"/>
    <w:rsid w:val="006B09A5"/>
    <w:rsid w:val="006B0E8B"/>
    <w:rsid w:val="006B10BA"/>
    <w:rsid w:val="006B1F88"/>
    <w:rsid w:val="006B24F6"/>
    <w:rsid w:val="006B309F"/>
    <w:rsid w:val="006B41C0"/>
    <w:rsid w:val="006B453B"/>
    <w:rsid w:val="006B47C9"/>
    <w:rsid w:val="006B4CF2"/>
    <w:rsid w:val="006B7A7A"/>
    <w:rsid w:val="006B7F15"/>
    <w:rsid w:val="006C0798"/>
    <w:rsid w:val="006C0E7B"/>
    <w:rsid w:val="006C0FED"/>
    <w:rsid w:val="006C163C"/>
    <w:rsid w:val="006C23E0"/>
    <w:rsid w:val="006C2AE5"/>
    <w:rsid w:val="006C4126"/>
    <w:rsid w:val="006C42AF"/>
    <w:rsid w:val="006C46E4"/>
    <w:rsid w:val="006C4DD1"/>
    <w:rsid w:val="006C4DFC"/>
    <w:rsid w:val="006C5587"/>
    <w:rsid w:val="006C64B9"/>
    <w:rsid w:val="006C6E3C"/>
    <w:rsid w:val="006C70E3"/>
    <w:rsid w:val="006C75D3"/>
    <w:rsid w:val="006C7F6A"/>
    <w:rsid w:val="006D17BD"/>
    <w:rsid w:val="006D1C69"/>
    <w:rsid w:val="006D25CE"/>
    <w:rsid w:val="006D274A"/>
    <w:rsid w:val="006D4809"/>
    <w:rsid w:val="006D4B32"/>
    <w:rsid w:val="006D4FC5"/>
    <w:rsid w:val="006D51FB"/>
    <w:rsid w:val="006D5364"/>
    <w:rsid w:val="006D5598"/>
    <w:rsid w:val="006D74D8"/>
    <w:rsid w:val="006D76B2"/>
    <w:rsid w:val="006D7AF6"/>
    <w:rsid w:val="006E0AA8"/>
    <w:rsid w:val="006E0B8F"/>
    <w:rsid w:val="006E102B"/>
    <w:rsid w:val="006E17A3"/>
    <w:rsid w:val="006E2E54"/>
    <w:rsid w:val="006E3501"/>
    <w:rsid w:val="006E377A"/>
    <w:rsid w:val="006E3B59"/>
    <w:rsid w:val="006E3E29"/>
    <w:rsid w:val="006E47B6"/>
    <w:rsid w:val="006E517D"/>
    <w:rsid w:val="006E64F8"/>
    <w:rsid w:val="006E659F"/>
    <w:rsid w:val="006F00EC"/>
    <w:rsid w:val="006F17DF"/>
    <w:rsid w:val="006F18B2"/>
    <w:rsid w:val="006F3A03"/>
    <w:rsid w:val="006F3E85"/>
    <w:rsid w:val="006F46A2"/>
    <w:rsid w:val="006F4B03"/>
    <w:rsid w:val="006F4EC1"/>
    <w:rsid w:val="006F6E2D"/>
    <w:rsid w:val="007005C7"/>
    <w:rsid w:val="007009A6"/>
    <w:rsid w:val="00700C6C"/>
    <w:rsid w:val="0070131B"/>
    <w:rsid w:val="00701940"/>
    <w:rsid w:val="00703043"/>
    <w:rsid w:val="00703223"/>
    <w:rsid w:val="0070396D"/>
    <w:rsid w:val="00703F8D"/>
    <w:rsid w:val="00703FDA"/>
    <w:rsid w:val="00704904"/>
    <w:rsid w:val="00704E6B"/>
    <w:rsid w:val="00705AE7"/>
    <w:rsid w:val="00705FB3"/>
    <w:rsid w:val="00706184"/>
    <w:rsid w:val="007064A2"/>
    <w:rsid w:val="00707120"/>
    <w:rsid w:val="0070755D"/>
    <w:rsid w:val="007077E5"/>
    <w:rsid w:val="00710291"/>
    <w:rsid w:val="00710B1A"/>
    <w:rsid w:val="00711432"/>
    <w:rsid w:val="00711B21"/>
    <w:rsid w:val="00711D8E"/>
    <w:rsid w:val="007122E3"/>
    <w:rsid w:val="00712672"/>
    <w:rsid w:val="00713716"/>
    <w:rsid w:val="00713731"/>
    <w:rsid w:val="00713876"/>
    <w:rsid w:val="00713DC0"/>
    <w:rsid w:val="007153E0"/>
    <w:rsid w:val="00715518"/>
    <w:rsid w:val="00715B63"/>
    <w:rsid w:val="00715E43"/>
    <w:rsid w:val="00717B37"/>
    <w:rsid w:val="00717BA2"/>
    <w:rsid w:val="007205AB"/>
    <w:rsid w:val="007208F4"/>
    <w:rsid w:val="00721291"/>
    <w:rsid w:val="00721CFD"/>
    <w:rsid w:val="007222C8"/>
    <w:rsid w:val="00722BBD"/>
    <w:rsid w:val="00723159"/>
    <w:rsid w:val="0072366F"/>
    <w:rsid w:val="00723707"/>
    <w:rsid w:val="007238A9"/>
    <w:rsid w:val="007239C1"/>
    <w:rsid w:val="00723C4E"/>
    <w:rsid w:val="00723CD4"/>
    <w:rsid w:val="0072414F"/>
    <w:rsid w:val="007245C1"/>
    <w:rsid w:val="0072587A"/>
    <w:rsid w:val="00725B8D"/>
    <w:rsid w:val="00727730"/>
    <w:rsid w:val="007315B0"/>
    <w:rsid w:val="007321E2"/>
    <w:rsid w:val="007326CA"/>
    <w:rsid w:val="00733F56"/>
    <w:rsid w:val="007344E0"/>
    <w:rsid w:val="007344F1"/>
    <w:rsid w:val="00734E3F"/>
    <w:rsid w:val="00735371"/>
    <w:rsid w:val="00735A86"/>
    <w:rsid w:val="00735BD8"/>
    <w:rsid w:val="00735E70"/>
    <w:rsid w:val="00736159"/>
    <w:rsid w:val="007363A9"/>
    <w:rsid w:val="007363AB"/>
    <w:rsid w:val="007367E2"/>
    <w:rsid w:val="00736985"/>
    <w:rsid w:val="0073797A"/>
    <w:rsid w:val="00737A13"/>
    <w:rsid w:val="00740A28"/>
    <w:rsid w:val="00740A38"/>
    <w:rsid w:val="00740DCA"/>
    <w:rsid w:val="007419D3"/>
    <w:rsid w:val="00741EC0"/>
    <w:rsid w:val="00742A96"/>
    <w:rsid w:val="00743322"/>
    <w:rsid w:val="00743E8A"/>
    <w:rsid w:val="0074479D"/>
    <w:rsid w:val="00744D3B"/>
    <w:rsid w:val="0074591E"/>
    <w:rsid w:val="007459B5"/>
    <w:rsid w:val="00745B78"/>
    <w:rsid w:val="007461D8"/>
    <w:rsid w:val="0074673B"/>
    <w:rsid w:val="00747AF9"/>
    <w:rsid w:val="00750C64"/>
    <w:rsid w:val="0075170B"/>
    <w:rsid w:val="00751DB3"/>
    <w:rsid w:val="00751FB6"/>
    <w:rsid w:val="00752093"/>
    <w:rsid w:val="00752768"/>
    <w:rsid w:val="00752A9D"/>
    <w:rsid w:val="007532E9"/>
    <w:rsid w:val="00753809"/>
    <w:rsid w:val="00754D3C"/>
    <w:rsid w:val="00755255"/>
    <w:rsid w:val="00755521"/>
    <w:rsid w:val="0075669D"/>
    <w:rsid w:val="0075767F"/>
    <w:rsid w:val="00757CFF"/>
    <w:rsid w:val="00760590"/>
    <w:rsid w:val="007606C9"/>
    <w:rsid w:val="00760BE1"/>
    <w:rsid w:val="00760E37"/>
    <w:rsid w:val="00761086"/>
    <w:rsid w:val="0076239B"/>
    <w:rsid w:val="007631AA"/>
    <w:rsid w:val="00763677"/>
    <w:rsid w:val="00764196"/>
    <w:rsid w:val="00765749"/>
    <w:rsid w:val="007658D7"/>
    <w:rsid w:val="0076727A"/>
    <w:rsid w:val="007674E6"/>
    <w:rsid w:val="00767A25"/>
    <w:rsid w:val="00767FE2"/>
    <w:rsid w:val="00771243"/>
    <w:rsid w:val="007712D7"/>
    <w:rsid w:val="007718A0"/>
    <w:rsid w:val="00772529"/>
    <w:rsid w:val="00772BF0"/>
    <w:rsid w:val="00772C5A"/>
    <w:rsid w:val="00772C94"/>
    <w:rsid w:val="0077469E"/>
    <w:rsid w:val="007747EE"/>
    <w:rsid w:val="00774CF8"/>
    <w:rsid w:val="00774F8B"/>
    <w:rsid w:val="00774FF9"/>
    <w:rsid w:val="00776679"/>
    <w:rsid w:val="00776AC8"/>
    <w:rsid w:val="00776CDC"/>
    <w:rsid w:val="0078106B"/>
    <w:rsid w:val="00781D58"/>
    <w:rsid w:val="00782A5B"/>
    <w:rsid w:val="00782DB5"/>
    <w:rsid w:val="00783421"/>
    <w:rsid w:val="00783446"/>
    <w:rsid w:val="0078488A"/>
    <w:rsid w:val="00784D02"/>
    <w:rsid w:val="0078509E"/>
    <w:rsid w:val="00785695"/>
    <w:rsid w:val="00786B83"/>
    <w:rsid w:val="00786DD6"/>
    <w:rsid w:val="0078779E"/>
    <w:rsid w:val="00790110"/>
    <w:rsid w:val="007910B4"/>
    <w:rsid w:val="007911E5"/>
    <w:rsid w:val="00791F30"/>
    <w:rsid w:val="0079204F"/>
    <w:rsid w:val="0079227F"/>
    <w:rsid w:val="00792567"/>
    <w:rsid w:val="007938C6"/>
    <w:rsid w:val="00793954"/>
    <w:rsid w:val="00793A01"/>
    <w:rsid w:val="007941CE"/>
    <w:rsid w:val="00794633"/>
    <w:rsid w:val="00794863"/>
    <w:rsid w:val="00794B31"/>
    <w:rsid w:val="00794EFB"/>
    <w:rsid w:val="00795244"/>
    <w:rsid w:val="00795462"/>
    <w:rsid w:val="007956FC"/>
    <w:rsid w:val="007964DD"/>
    <w:rsid w:val="0079672C"/>
    <w:rsid w:val="007973DD"/>
    <w:rsid w:val="007977E7"/>
    <w:rsid w:val="00797918"/>
    <w:rsid w:val="007A1B9A"/>
    <w:rsid w:val="007A3A47"/>
    <w:rsid w:val="007A44AC"/>
    <w:rsid w:val="007A4A62"/>
    <w:rsid w:val="007A4F4B"/>
    <w:rsid w:val="007A5FC5"/>
    <w:rsid w:val="007A667D"/>
    <w:rsid w:val="007A6BC5"/>
    <w:rsid w:val="007B088B"/>
    <w:rsid w:val="007B0EB7"/>
    <w:rsid w:val="007B37F4"/>
    <w:rsid w:val="007B4BD7"/>
    <w:rsid w:val="007B4C4C"/>
    <w:rsid w:val="007B51FE"/>
    <w:rsid w:val="007B5821"/>
    <w:rsid w:val="007B6200"/>
    <w:rsid w:val="007B6463"/>
    <w:rsid w:val="007B6B9B"/>
    <w:rsid w:val="007B740D"/>
    <w:rsid w:val="007C1CB7"/>
    <w:rsid w:val="007C2E2C"/>
    <w:rsid w:val="007C436D"/>
    <w:rsid w:val="007C5866"/>
    <w:rsid w:val="007C62D3"/>
    <w:rsid w:val="007C6F86"/>
    <w:rsid w:val="007D016B"/>
    <w:rsid w:val="007D10A2"/>
    <w:rsid w:val="007D12F9"/>
    <w:rsid w:val="007D1454"/>
    <w:rsid w:val="007D1B05"/>
    <w:rsid w:val="007D2527"/>
    <w:rsid w:val="007D29D9"/>
    <w:rsid w:val="007D3243"/>
    <w:rsid w:val="007D35DD"/>
    <w:rsid w:val="007D39A4"/>
    <w:rsid w:val="007D431E"/>
    <w:rsid w:val="007D5040"/>
    <w:rsid w:val="007D60C5"/>
    <w:rsid w:val="007D6395"/>
    <w:rsid w:val="007D643A"/>
    <w:rsid w:val="007D79DE"/>
    <w:rsid w:val="007E01B0"/>
    <w:rsid w:val="007E034C"/>
    <w:rsid w:val="007E0DC6"/>
    <w:rsid w:val="007E0F9E"/>
    <w:rsid w:val="007E100B"/>
    <w:rsid w:val="007E102E"/>
    <w:rsid w:val="007E12D9"/>
    <w:rsid w:val="007E1444"/>
    <w:rsid w:val="007E179E"/>
    <w:rsid w:val="007E19EE"/>
    <w:rsid w:val="007E2B72"/>
    <w:rsid w:val="007E3605"/>
    <w:rsid w:val="007E3737"/>
    <w:rsid w:val="007E3AC4"/>
    <w:rsid w:val="007E68CF"/>
    <w:rsid w:val="007E69BE"/>
    <w:rsid w:val="007E76CC"/>
    <w:rsid w:val="007E799B"/>
    <w:rsid w:val="007E7A2C"/>
    <w:rsid w:val="007F0422"/>
    <w:rsid w:val="007F0F46"/>
    <w:rsid w:val="007F19FD"/>
    <w:rsid w:val="007F3D60"/>
    <w:rsid w:val="007F49E2"/>
    <w:rsid w:val="007F4A67"/>
    <w:rsid w:val="007F527B"/>
    <w:rsid w:val="007F569E"/>
    <w:rsid w:val="007F5D5D"/>
    <w:rsid w:val="007F7E5B"/>
    <w:rsid w:val="00800072"/>
    <w:rsid w:val="00800081"/>
    <w:rsid w:val="008007B0"/>
    <w:rsid w:val="00800CD0"/>
    <w:rsid w:val="00800CEF"/>
    <w:rsid w:val="00801B9F"/>
    <w:rsid w:val="00801BE6"/>
    <w:rsid w:val="008021B7"/>
    <w:rsid w:val="00802BFC"/>
    <w:rsid w:val="0080332A"/>
    <w:rsid w:val="00804296"/>
    <w:rsid w:val="00804B38"/>
    <w:rsid w:val="00805591"/>
    <w:rsid w:val="00806A69"/>
    <w:rsid w:val="00806CC2"/>
    <w:rsid w:val="00807F0C"/>
    <w:rsid w:val="00810333"/>
    <w:rsid w:val="00810438"/>
    <w:rsid w:val="008107E4"/>
    <w:rsid w:val="00810A94"/>
    <w:rsid w:val="00810DEB"/>
    <w:rsid w:val="00811783"/>
    <w:rsid w:val="008117C2"/>
    <w:rsid w:val="00811BE0"/>
    <w:rsid w:val="0081213E"/>
    <w:rsid w:val="008123DC"/>
    <w:rsid w:val="00813068"/>
    <w:rsid w:val="0081323F"/>
    <w:rsid w:val="0081350A"/>
    <w:rsid w:val="00814AD7"/>
    <w:rsid w:val="00815632"/>
    <w:rsid w:val="00816B6A"/>
    <w:rsid w:val="00816CD6"/>
    <w:rsid w:val="00816E22"/>
    <w:rsid w:val="00820596"/>
    <w:rsid w:val="0082061C"/>
    <w:rsid w:val="00821020"/>
    <w:rsid w:val="00821C45"/>
    <w:rsid w:val="008228B7"/>
    <w:rsid w:val="00822D81"/>
    <w:rsid w:val="00823A32"/>
    <w:rsid w:val="00823C09"/>
    <w:rsid w:val="0082426C"/>
    <w:rsid w:val="008245A0"/>
    <w:rsid w:val="0082589D"/>
    <w:rsid w:val="008258FD"/>
    <w:rsid w:val="00825AC4"/>
    <w:rsid w:val="00825D05"/>
    <w:rsid w:val="0082606C"/>
    <w:rsid w:val="008267C5"/>
    <w:rsid w:val="008271BA"/>
    <w:rsid w:val="00827A67"/>
    <w:rsid w:val="00827AFF"/>
    <w:rsid w:val="008307C1"/>
    <w:rsid w:val="00831CAC"/>
    <w:rsid w:val="00831CC6"/>
    <w:rsid w:val="00832564"/>
    <w:rsid w:val="008325D6"/>
    <w:rsid w:val="008332C3"/>
    <w:rsid w:val="008339EC"/>
    <w:rsid w:val="00833AD3"/>
    <w:rsid w:val="00833FEF"/>
    <w:rsid w:val="00834019"/>
    <w:rsid w:val="00834809"/>
    <w:rsid w:val="008351C4"/>
    <w:rsid w:val="00835ABF"/>
    <w:rsid w:val="00835FDC"/>
    <w:rsid w:val="00836BD8"/>
    <w:rsid w:val="00837D62"/>
    <w:rsid w:val="00840902"/>
    <w:rsid w:val="00841300"/>
    <w:rsid w:val="00841C42"/>
    <w:rsid w:val="00841D94"/>
    <w:rsid w:val="00842EA1"/>
    <w:rsid w:val="008436C1"/>
    <w:rsid w:val="008438A4"/>
    <w:rsid w:val="00843E56"/>
    <w:rsid w:val="008441C4"/>
    <w:rsid w:val="00844E76"/>
    <w:rsid w:val="00845FA3"/>
    <w:rsid w:val="0084634C"/>
    <w:rsid w:val="0084682F"/>
    <w:rsid w:val="00846B27"/>
    <w:rsid w:val="00846BEA"/>
    <w:rsid w:val="0084741F"/>
    <w:rsid w:val="008509CE"/>
    <w:rsid w:val="00851484"/>
    <w:rsid w:val="008515B8"/>
    <w:rsid w:val="0085173B"/>
    <w:rsid w:val="00851E18"/>
    <w:rsid w:val="00853453"/>
    <w:rsid w:val="008538FF"/>
    <w:rsid w:val="00855168"/>
    <w:rsid w:val="008556AC"/>
    <w:rsid w:val="00856CC2"/>
    <w:rsid w:val="00856EB5"/>
    <w:rsid w:val="0085717A"/>
    <w:rsid w:val="0086072E"/>
    <w:rsid w:val="00860B1E"/>
    <w:rsid w:val="00860C29"/>
    <w:rsid w:val="00861AE4"/>
    <w:rsid w:val="00861C39"/>
    <w:rsid w:val="0086240C"/>
    <w:rsid w:val="008625FB"/>
    <w:rsid w:val="00862BFB"/>
    <w:rsid w:val="0086323E"/>
    <w:rsid w:val="008637AD"/>
    <w:rsid w:val="00864178"/>
    <w:rsid w:val="00864621"/>
    <w:rsid w:val="00864B2C"/>
    <w:rsid w:val="00864F46"/>
    <w:rsid w:val="008656CC"/>
    <w:rsid w:val="00867519"/>
    <w:rsid w:val="00867A9C"/>
    <w:rsid w:val="00867BC6"/>
    <w:rsid w:val="00870485"/>
    <w:rsid w:val="00870B7C"/>
    <w:rsid w:val="00870C6B"/>
    <w:rsid w:val="00870C9E"/>
    <w:rsid w:val="00871650"/>
    <w:rsid w:val="00871D1A"/>
    <w:rsid w:val="00872DCF"/>
    <w:rsid w:val="008733D5"/>
    <w:rsid w:val="00874013"/>
    <w:rsid w:val="00874807"/>
    <w:rsid w:val="00874B08"/>
    <w:rsid w:val="00875032"/>
    <w:rsid w:val="00875076"/>
    <w:rsid w:val="00875FBE"/>
    <w:rsid w:val="008769A4"/>
    <w:rsid w:val="00876BA8"/>
    <w:rsid w:val="00877A82"/>
    <w:rsid w:val="00877BDA"/>
    <w:rsid w:val="00877CA9"/>
    <w:rsid w:val="00880802"/>
    <w:rsid w:val="00880B3F"/>
    <w:rsid w:val="0088118B"/>
    <w:rsid w:val="00881C46"/>
    <w:rsid w:val="0088219E"/>
    <w:rsid w:val="0088362E"/>
    <w:rsid w:val="008836AB"/>
    <w:rsid w:val="00883CF5"/>
    <w:rsid w:val="00884511"/>
    <w:rsid w:val="00885E82"/>
    <w:rsid w:val="008874DA"/>
    <w:rsid w:val="00887CD2"/>
    <w:rsid w:val="008904F2"/>
    <w:rsid w:val="00890EA1"/>
    <w:rsid w:val="008911D9"/>
    <w:rsid w:val="00891CE6"/>
    <w:rsid w:val="00892343"/>
    <w:rsid w:val="00893EA3"/>
    <w:rsid w:val="008944FF"/>
    <w:rsid w:val="0089467D"/>
    <w:rsid w:val="00895A3A"/>
    <w:rsid w:val="00896744"/>
    <w:rsid w:val="00897EC3"/>
    <w:rsid w:val="008A00DB"/>
    <w:rsid w:val="008A0478"/>
    <w:rsid w:val="008A084C"/>
    <w:rsid w:val="008A15CA"/>
    <w:rsid w:val="008A1D5B"/>
    <w:rsid w:val="008A1E73"/>
    <w:rsid w:val="008A29A5"/>
    <w:rsid w:val="008A3293"/>
    <w:rsid w:val="008A3F34"/>
    <w:rsid w:val="008A4987"/>
    <w:rsid w:val="008A50FB"/>
    <w:rsid w:val="008A532F"/>
    <w:rsid w:val="008A604D"/>
    <w:rsid w:val="008A7249"/>
    <w:rsid w:val="008A765D"/>
    <w:rsid w:val="008B0032"/>
    <w:rsid w:val="008B0B1A"/>
    <w:rsid w:val="008B1B53"/>
    <w:rsid w:val="008B2579"/>
    <w:rsid w:val="008B2B0F"/>
    <w:rsid w:val="008B40B1"/>
    <w:rsid w:val="008B4A67"/>
    <w:rsid w:val="008B583E"/>
    <w:rsid w:val="008B5A44"/>
    <w:rsid w:val="008B62C7"/>
    <w:rsid w:val="008B74B9"/>
    <w:rsid w:val="008B74C3"/>
    <w:rsid w:val="008C050A"/>
    <w:rsid w:val="008C126C"/>
    <w:rsid w:val="008C1673"/>
    <w:rsid w:val="008C3169"/>
    <w:rsid w:val="008C3314"/>
    <w:rsid w:val="008C44C2"/>
    <w:rsid w:val="008C4FBE"/>
    <w:rsid w:val="008C5B55"/>
    <w:rsid w:val="008C6A2B"/>
    <w:rsid w:val="008C74FE"/>
    <w:rsid w:val="008D03AF"/>
    <w:rsid w:val="008D0BF0"/>
    <w:rsid w:val="008D0FEE"/>
    <w:rsid w:val="008D1EE7"/>
    <w:rsid w:val="008D2400"/>
    <w:rsid w:val="008D29FB"/>
    <w:rsid w:val="008D3CE4"/>
    <w:rsid w:val="008D3DFA"/>
    <w:rsid w:val="008D4A99"/>
    <w:rsid w:val="008D4B55"/>
    <w:rsid w:val="008D4F76"/>
    <w:rsid w:val="008D59A6"/>
    <w:rsid w:val="008D6AE2"/>
    <w:rsid w:val="008D6CC8"/>
    <w:rsid w:val="008E02E0"/>
    <w:rsid w:val="008E07F6"/>
    <w:rsid w:val="008E1425"/>
    <w:rsid w:val="008E14B0"/>
    <w:rsid w:val="008E1D67"/>
    <w:rsid w:val="008E36FD"/>
    <w:rsid w:val="008E3DFB"/>
    <w:rsid w:val="008E4744"/>
    <w:rsid w:val="008E5071"/>
    <w:rsid w:val="008E5292"/>
    <w:rsid w:val="008E5A2A"/>
    <w:rsid w:val="008E5B76"/>
    <w:rsid w:val="008E60C1"/>
    <w:rsid w:val="008E60C7"/>
    <w:rsid w:val="008E61C4"/>
    <w:rsid w:val="008E73AF"/>
    <w:rsid w:val="008F02AC"/>
    <w:rsid w:val="008F06A3"/>
    <w:rsid w:val="008F0F72"/>
    <w:rsid w:val="008F1FDC"/>
    <w:rsid w:val="008F2268"/>
    <w:rsid w:val="008F23BA"/>
    <w:rsid w:val="008F2422"/>
    <w:rsid w:val="008F273B"/>
    <w:rsid w:val="008F2AEE"/>
    <w:rsid w:val="008F2D39"/>
    <w:rsid w:val="008F355A"/>
    <w:rsid w:val="008F4082"/>
    <w:rsid w:val="008F4622"/>
    <w:rsid w:val="008F46AA"/>
    <w:rsid w:val="008F4CDB"/>
    <w:rsid w:val="008F5EA2"/>
    <w:rsid w:val="008F6B26"/>
    <w:rsid w:val="008F6C3C"/>
    <w:rsid w:val="008F6C75"/>
    <w:rsid w:val="008F7001"/>
    <w:rsid w:val="008F7177"/>
    <w:rsid w:val="00900FA7"/>
    <w:rsid w:val="0090110E"/>
    <w:rsid w:val="00901172"/>
    <w:rsid w:val="00902E26"/>
    <w:rsid w:val="0090309A"/>
    <w:rsid w:val="00905316"/>
    <w:rsid w:val="009056D2"/>
    <w:rsid w:val="00905751"/>
    <w:rsid w:val="009066C4"/>
    <w:rsid w:val="00906788"/>
    <w:rsid w:val="00906F51"/>
    <w:rsid w:val="00907289"/>
    <w:rsid w:val="00907EE4"/>
    <w:rsid w:val="00910603"/>
    <w:rsid w:val="009113DA"/>
    <w:rsid w:val="009121A0"/>
    <w:rsid w:val="009122A6"/>
    <w:rsid w:val="0091230C"/>
    <w:rsid w:val="0091238B"/>
    <w:rsid w:val="00912F0C"/>
    <w:rsid w:val="00913F3B"/>
    <w:rsid w:val="009140E8"/>
    <w:rsid w:val="00914A23"/>
    <w:rsid w:val="00914D2A"/>
    <w:rsid w:val="009153AC"/>
    <w:rsid w:val="009154FC"/>
    <w:rsid w:val="00915E58"/>
    <w:rsid w:val="009166A0"/>
    <w:rsid w:val="00916995"/>
    <w:rsid w:val="00916EC7"/>
    <w:rsid w:val="00920EA4"/>
    <w:rsid w:val="0092159F"/>
    <w:rsid w:val="0092163A"/>
    <w:rsid w:val="00922567"/>
    <w:rsid w:val="009231F7"/>
    <w:rsid w:val="009247AF"/>
    <w:rsid w:val="00924D58"/>
    <w:rsid w:val="00925501"/>
    <w:rsid w:val="00925679"/>
    <w:rsid w:val="00925C56"/>
    <w:rsid w:val="00925D46"/>
    <w:rsid w:val="0092762F"/>
    <w:rsid w:val="00927A1F"/>
    <w:rsid w:val="0093078F"/>
    <w:rsid w:val="00930B63"/>
    <w:rsid w:val="00930CE6"/>
    <w:rsid w:val="009310B3"/>
    <w:rsid w:val="009337F4"/>
    <w:rsid w:val="009346C2"/>
    <w:rsid w:val="0093484F"/>
    <w:rsid w:val="00934FF4"/>
    <w:rsid w:val="00936259"/>
    <w:rsid w:val="0093674E"/>
    <w:rsid w:val="009367ED"/>
    <w:rsid w:val="00937E58"/>
    <w:rsid w:val="00940376"/>
    <w:rsid w:val="0094037B"/>
    <w:rsid w:val="00941364"/>
    <w:rsid w:val="00941483"/>
    <w:rsid w:val="009424D5"/>
    <w:rsid w:val="00942917"/>
    <w:rsid w:val="00942DFF"/>
    <w:rsid w:val="00944190"/>
    <w:rsid w:val="00944B59"/>
    <w:rsid w:val="00944BF3"/>
    <w:rsid w:val="00945326"/>
    <w:rsid w:val="00946210"/>
    <w:rsid w:val="00946A82"/>
    <w:rsid w:val="00946D4F"/>
    <w:rsid w:val="0095194B"/>
    <w:rsid w:val="0095289F"/>
    <w:rsid w:val="009534B2"/>
    <w:rsid w:val="009545CE"/>
    <w:rsid w:val="00955135"/>
    <w:rsid w:val="00955316"/>
    <w:rsid w:val="009558D0"/>
    <w:rsid w:val="00955DB2"/>
    <w:rsid w:val="00956682"/>
    <w:rsid w:val="00956A7A"/>
    <w:rsid w:val="00957B8E"/>
    <w:rsid w:val="00960251"/>
    <w:rsid w:val="009603FA"/>
    <w:rsid w:val="00960B39"/>
    <w:rsid w:val="00960D6B"/>
    <w:rsid w:val="00960E67"/>
    <w:rsid w:val="0096115B"/>
    <w:rsid w:val="00961339"/>
    <w:rsid w:val="00962C49"/>
    <w:rsid w:val="009630C0"/>
    <w:rsid w:val="00963992"/>
    <w:rsid w:val="00963B26"/>
    <w:rsid w:val="009641D9"/>
    <w:rsid w:val="0096429F"/>
    <w:rsid w:val="009644D5"/>
    <w:rsid w:val="00964694"/>
    <w:rsid w:val="009655AA"/>
    <w:rsid w:val="00965808"/>
    <w:rsid w:val="0096671B"/>
    <w:rsid w:val="00966BB3"/>
    <w:rsid w:val="00966E56"/>
    <w:rsid w:val="00966E64"/>
    <w:rsid w:val="009671DB"/>
    <w:rsid w:val="00967C49"/>
    <w:rsid w:val="00970074"/>
    <w:rsid w:val="00970113"/>
    <w:rsid w:val="00970B0C"/>
    <w:rsid w:val="0097210C"/>
    <w:rsid w:val="0097290E"/>
    <w:rsid w:val="00973B7F"/>
    <w:rsid w:val="00974379"/>
    <w:rsid w:val="00974D78"/>
    <w:rsid w:val="00974F1A"/>
    <w:rsid w:val="009768C6"/>
    <w:rsid w:val="00977BF2"/>
    <w:rsid w:val="00977C03"/>
    <w:rsid w:val="00981F96"/>
    <w:rsid w:val="009823BB"/>
    <w:rsid w:val="0098297C"/>
    <w:rsid w:val="00982A61"/>
    <w:rsid w:val="00983BDD"/>
    <w:rsid w:val="00983F0D"/>
    <w:rsid w:val="00985902"/>
    <w:rsid w:val="009859CB"/>
    <w:rsid w:val="009860CD"/>
    <w:rsid w:val="009866B5"/>
    <w:rsid w:val="00986B60"/>
    <w:rsid w:val="00986FCE"/>
    <w:rsid w:val="009873E4"/>
    <w:rsid w:val="009875BE"/>
    <w:rsid w:val="00987B52"/>
    <w:rsid w:val="009909E2"/>
    <w:rsid w:val="00991403"/>
    <w:rsid w:val="00991C3F"/>
    <w:rsid w:val="00991E32"/>
    <w:rsid w:val="00991ED1"/>
    <w:rsid w:val="00992AE5"/>
    <w:rsid w:val="00992F9D"/>
    <w:rsid w:val="00993DC7"/>
    <w:rsid w:val="0099426C"/>
    <w:rsid w:val="00994801"/>
    <w:rsid w:val="00995251"/>
    <w:rsid w:val="00995605"/>
    <w:rsid w:val="00995960"/>
    <w:rsid w:val="00997ABE"/>
    <w:rsid w:val="009A0CFC"/>
    <w:rsid w:val="009A0D85"/>
    <w:rsid w:val="009A13A9"/>
    <w:rsid w:val="009A17C6"/>
    <w:rsid w:val="009A1B52"/>
    <w:rsid w:val="009A288C"/>
    <w:rsid w:val="009A2A9E"/>
    <w:rsid w:val="009A2DA7"/>
    <w:rsid w:val="009A380E"/>
    <w:rsid w:val="009A394A"/>
    <w:rsid w:val="009A44F2"/>
    <w:rsid w:val="009A4704"/>
    <w:rsid w:val="009A52E5"/>
    <w:rsid w:val="009A536B"/>
    <w:rsid w:val="009A6516"/>
    <w:rsid w:val="009A72E8"/>
    <w:rsid w:val="009B09EC"/>
    <w:rsid w:val="009B156D"/>
    <w:rsid w:val="009B1B28"/>
    <w:rsid w:val="009B1E92"/>
    <w:rsid w:val="009B20F9"/>
    <w:rsid w:val="009B4375"/>
    <w:rsid w:val="009B43C7"/>
    <w:rsid w:val="009B4D38"/>
    <w:rsid w:val="009B4D3B"/>
    <w:rsid w:val="009B510D"/>
    <w:rsid w:val="009B65F2"/>
    <w:rsid w:val="009B6632"/>
    <w:rsid w:val="009B675B"/>
    <w:rsid w:val="009C034D"/>
    <w:rsid w:val="009C04D2"/>
    <w:rsid w:val="009C1153"/>
    <w:rsid w:val="009C135A"/>
    <w:rsid w:val="009C141F"/>
    <w:rsid w:val="009C240E"/>
    <w:rsid w:val="009C3A5D"/>
    <w:rsid w:val="009C3DF9"/>
    <w:rsid w:val="009C3F19"/>
    <w:rsid w:val="009C4997"/>
    <w:rsid w:val="009C51A7"/>
    <w:rsid w:val="009C52B1"/>
    <w:rsid w:val="009C67CC"/>
    <w:rsid w:val="009C7CF5"/>
    <w:rsid w:val="009D0913"/>
    <w:rsid w:val="009D0ACE"/>
    <w:rsid w:val="009D105A"/>
    <w:rsid w:val="009D1EB1"/>
    <w:rsid w:val="009D24B1"/>
    <w:rsid w:val="009D3D93"/>
    <w:rsid w:val="009D4683"/>
    <w:rsid w:val="009D4A7E"/>
    <w:rsid w:val="009D5A44"/>
    <w:rsid w:val="009D609A"/>
    <w:rsid w:val="009D6A73"/>
    <w:rsid w:val="009D7205"/>
    <w:rsid w:val="009D7407"/>
    <w:rsid w:val="009D75E7"/>
    <w:rsid w:val="009D7ACD"/>
    <w:rsid w:val="009E0379"/>
    <w:rsid w:val="009E0866"/>
    <w:rsid w:val="009E0FA7"/>
    <w:rsid w:val="009E19B9"/>
    <w:rsid w:val="009E234A"/>
    <w:rsid w:val="009E35A3"/>
    <w:rsid w:val="009E396A"/>
    <w:rsid w:val="009E3F3B"/>
    <w:rsid w:val="009E4133"/>
    <w:rsid w:val="009E462D"/>
    <w:rsid w:val="009E5BBF"/>
    <w:rsid w:val="009E6A15"/>
    <w:rsid w:val="009E6F51"/>
    <w:rsid w:val="009F09FD"/>
    <w:rsid w:val="009F0EB9"/>
    <w:rsid w:val="009F1EB1"/>
    <w:rsid w:val="009F2F48"/>
    <w:rsid w:val="009F32ED"/>
    <w:rsid w:val="009F556A"/>
    <w:rsid w:val="009F68DC"/>
    <w:rsid w:val="009F6F1E"/>
    <w:rsid w:val="009F7A0A"/>
    <w:rsid w:val="009F7BEF"/>
    <w:rsid w:val="00A01B72"/>
    <w:rsid w:val="00A02CB1"/>
    <w:rsid w:val="00A02D3B"/>
    <w:rsid w:val="00A02EC2"/>
    <w:rsid w:val="00A035F8"/>
    <w:rsid w:val="00A03F15"/>
    <w:rsid w:val="00A04093"/>
    <w:rsid w:val="00A04825"/>
    <w:rsid w:val="00A057B8"/>
    <w:rsid w:val="00A05CAB"/>
    <w:rsid w:val="00A05D56"/>
    <w:rsid w:val="00A060C7"/>
    <w:rsid w:val="00A10654"/>
    <w:rsid w:val="00A1322C"/>
    <w:rsid w:val="00A13A70"/>
    <w:rsid w:val="00A145A3"/>
    <w:rsid w:val="00A145AC"/>
    <w:rsid w:val="00A14DE4"/>
    <w:rsid w:val="00A172EB"/>
    <w:rsid w:val="00A17718"/>
    <w:rsid w:val="00A17D13"/>
    <w:rsid w:val="00A20E8E"/>
    <w:rsid w:val="00A22891"/>
    <w:rsid w:val="00A228D3"/>
    <w:rsid w:val="00A2299F"/>
    <w:rsid w:val="00A22C29"/>
    <w:rsid w:val="00A22DF9"/>
    <w:rsid w:val="00A23483"/>
    <w:rsid w:val="00A237FD"/>
    <w:rsid w:val="00A23F10"/>
    <w:rsid w:val="00A2447C"/>
    <w:rsid w:val="00A247D1"/>
    <w:rsid w:val="00A24A62"/>
    <w:rsid w:val="00A24C47"/>
    <w:rsid w:val="00A24E21"/>
    <w:rsid w:val="00A24F55"/>
    <w:rsid w:val="00A255CE"/>
    <w:rsid w:val="00A257AF"/>
    <w:rsid w:val="00A25C7D"/>
    <w:rsid w:val="00A25EEE"/>
    <w:rsid w:val="00A262CF"/>
    <w:rsid w:val="00A26628"/>
    <w:rsid w:val="00A26C64"/>
    <w:rsid w:val="00A27515"/>
    <w:rsid w:val="00A27834"/>
    <w:rsid w:val="00A303EC"/>
    <w:rsid w:val="00A30629"/>
    <w:rsid w:val="00A3128D"/>
    <w:rsid w:val="00A31A39"/>
    <w:rsid w:val="00A31C9F"/>
    <w:rsid w:val="00A3250D"/>
    <w:rsid w:val="00A32FA4"/>
    <w:rsid w:val="00A33074"/>
    <w:rsid w:val="00A33461"/>
    <w:rsid w:val="00A33F46"/>
    <w:rsid w:val="00A33FF6"/>
    <w:rsid w:val="00A34471"/>
    <w:rsid w:val="00A34A01"/>
    <w:rsid w:val="00A36A44"/>
    <w:rsid w:val="00A374A4"/>
    <w:rsid w:val="00A40197"/>
    <w:rsid w:val="00A40368"/>
    <w:rsid w:val="00A40672"/>
    <w:rsid w:val="00A409A9"/>
    <w:rsid w:val="00A40B2A"/>
    <w:rsid w:val="00A40FD4"/>
    <w:rsid w:val="00A4123E"/>
    <w:rsid w:val="00A41B22"/>
    <w:rsid w:val="00A421FE"/>
    <w:rsid w:val="00A42A76"/>
    <w:rsid w:val="00A42C26"/>
    <w:rsid w:val="00A43931"/>
    <w:rsid w:val="00A43BA4"/>
    <w:rsid w:val="00A4422D"/>
    <w:rsid w:val="00A44575"/>
    <w:rsid w:val="00A44C01"/>
    <w:rsid w:val="00A44E14"/>
    <w:rsid w:val="00A45399"/>
    <w:rsid w:val="00A46451"/>
    <w:rsid w:val="00A46C35"/>
    <w:rsid w:val="00A46D08"/>
    <w:rsid w:val="00A46E8E"/>
    <w:rsid w:val="00A4741D"/>
    <w:rsid w:val="00A50CAE"/>
    <w:rsid w:val="00A50FDA"/>
    <w:rsid w:val="00A5144C"/>
    <w:rsid w:val="00A514D7"/>
    <w:rsid w:val="00A51606"/>
    <w:rsid w:val="00A51C9B"/>
    <w:rsid w:val="00A51DAD"/>
    <w:rsid w:val="00A52265"/>
    <w:rsid w:val="00A533E9"/>
    <w:rsid w:val="00A5490D"/>
    <w:rsid w:val="00A54998"/>
    <w:rsid w:val="00A54FD7"/>
    <w:rsid w:val="00A56781"/>
    <w:rsid w:val="00A56CD6"/>
    <w:rsid w:val="00A56EAA"/>
    <w:rsid w:val="00A57EDE"/>
    <w:rsid w:val="00A60A7E"/>
    <w:rsid w:val="00A60B0F"/>
    <w:rsid w:val="00A60EBD"/>
    <w:rsid w:val="00A616A6"/>
    <w:rsid w:val="00A61D9A"/>
    <w:rsid w:val="00A620F9"/>
    <w:rsid w:val="00A62597"/>
    <w:rsid w:val="00A626DF"/>
    <w:rsid w:val="00A63537"/>
    <w:rsid w:val="00A63872"/>
    <w:rsid w:val="00A648BB"/>
    <w:rsid w:val="00A6563D"/>
    <w:rsid w:val="00A65AF3"/>
    <w:rsid w:val="00A664EE"/>
    <w:rsid w:val="00A66695"/>
    <w:rsid w:val="00A66D8B"/>
    <w:rsid w:val="00A67796"/>
    <w:rsid w:val="00A7004C"/>
    <w:rsid w:val="00A70BC2"/>
    <w:rsid w:val="00A71205"/>
    <w:rsid w:val="00A72ED1"/>
    <w:rsid w:val="00A73927"/>
    <w:rsid w:val="00A73B81"/>
    <w:rsid w:val="00A75BD7"/>
    <w:rsid w:val="00A7751B"/>
    <w:rsid w:val="00A801E1"/>
    <w:rsid w:val="00A8177E"/>
    <w:rsid w:val="00A81A8B"/>
    <w:rsid w:val="00A8200F"/>
    <w:rsid w:val="00A821A0"/>
    <w:rsid w:val="00A82450"/>
    <w:rsid w:val="00A82499"/>
    <w:rsid w:val="00A830EB"/>
    <w:rsid w:val="00A83243"/>
    <w:rsid w:val="00A833D0"/>
    <w:rsid w:val="00A836D1"/>
    <w:rsid w:val="00A83C6D"/>
    <w:rsid w:val="00A84865"/>
    <w:rsid w:val="00A84B35"/>
    <w:rsid w:val="00A85FDB"/>
    <w:rsid w:val="00A8645D"/>
    <w:rsid w:val="00A86873"/>
    <w:rsid w:val="00A87605"/>
    <w:rsid w:val="00A87A83"/>
    <w:rsid w:val="00A87CCC"/>
    <w:rsid w:val="00A901EB"/>
    <w:rsid w:val="00A9023B"/>
    <w:rsid w:val="00A90ECE"/>
    <w:rsid w:val="00A92280"/>
    <w:rsid w:val="00A9240E"/>
    <w:rsid w:val="00A92FBF"/>
    <w:rsid w:val="00A93815"/>
    <w:rsid w:val="00A93BF3"/>
    <w:rsid w:val="00A9611F"/>
    <w:rsid w:val="00A968CA"/>
    <w:rsid w:val="00A969C2"/>
    <w:rsid w:val="00A96BDB"/>
    <w:rsid w:val="00A97CBD"/>
    <w:rsid w:val="00AA0071"/>
    <w:rsid w:val="00AA0072"/>
    <w:rsid w:val="00AA0C9D"/>
    <w:rsid w:val="00AA0D91"/>
    <w:rsid w:val="00AA1DAE"/>
    <w:rsid w:val="00AA21B9"/>
    <w:rsid w:val="00AA322D"/>
    <w:rsid w:val="00AA369E"/>
    <w:rsid w:val="00AA5067"/>
    <w:rsid w:val="00AA525A"/>
    <w:rsid w:val="00AA55FC"/>
    <w:rsid w:val="00AA6904"/>
    <w:rsid w:val="00AA7B22"/>
    <w:rsid w:val="00AB0FB8"/>
    <w:rsid w:val="00AB19CF"/>
    <w:rsid w:val="00AB2B59"/>
    <w:rsid w:val="00AB3665"/>
    <w:rsid w:val="00AB3B9C"/>
    <w:rsid w:val="00AB4138"/>
    <w:rsid w:val="00AB42B8"/>
    <w:rsid w:val="00AB44AC"/>
    <w:rsid w:val="00AB4994"/>
    <w:rsid w:val="00AB5E3A"/>
    <w:rsid w:val="00AB65AA"/>
    <w:rsid w:val="00AB6630"/>
    <w:rsid w:val="00AB69BC"/>
    <w:rsid w:val="00AB6AD0"/>
    <w:rsid w:val="00AB6B25"/>
    <w:rsid w:val="00AB7F5E"/>
    <w:rsid w:val="00AB7FA7"/>
    <w:rsid w:val="00AC03A0"/>
    <w:rsid w:val="00AC164A"/>
    <w:rsid w:val="00AC204C"/>
    <w:rsid w:val="00AC271F"/>
    <w:rsid w:val="00AC2E36"/>
    <w:rsid w:val="00AC2EDB"/>
    <w:rsid w:val="00AC2F9B"/>
    <w:rsid w:val="00AC39D9"/>
    <w:rsid w:val="00AC4CDA"/>
    <w:rsid w:val="00AC4DC5"/>
    <w:rsid w:val="00AC5D2F"/>
    <w:rsid w:val="00AC65D5"/>
    <w:rsid w:val="00AC6CEE"/>
    <w:rsid w:val="00AC7445"/>
    <w:rsid w:val="00AC7920"/>
    <w:rsid w:val="00AD01FF"/>
    <w:rsid w:val="00AD0348"/>
    <w:rsid w:val="00AD164C"/>
    <w:rsid w:val="00AD1C7D"/>
    <w:rsid w:val="00AD1CFC"/>
    <w:rsid w:val="00AD256F"/>
    <w:rsid w:val="00AD2BCE"/>
    <w:rsid w:val="00AD5599"/>
    <w:rsid w:val="00AD6941"/>
    <w:rsid w:val="00AD75E0"/>
    <w:rsid w:val="00AD76BE"/>
    <w:rsid w:val="00AE0083"/>
    <w:rsid w:val="00AE01A5"/>
    <w:rsid w:val="00AE0C4B"/>
    <w:rsid w:val="00AE24F5"/>
    <w:rsid w:val="00AE366A"/>
    <w:rsid w:val="00AE46C6"/>
    <w:rsid w:val="00AE48F0"/>
    <w:rsid w:val="00AF0F0C"/>
    <w:rsid w:val="00AF0F23"/>
    <w:rsid w:val="00AF1824"/>
    <w:rsid w:val="00AF1989"/>
    <w:rsid w:val="00AF19D2"/>
    <w:rsid w:val="00AF1A92"/>
    <w:rsid w:val="00AF2050"/>
    <w:rsid w:val="00AF23B7"/>
    <w:rsid w:val="00AF372B"/>
    <w:rsid w:val="00AF4550"/>
    <w:rsid w:val="00AF6C57"/>
    <w:rsid w:val="00AF748B"/>
    <w:rsid w:val="00AF777B"/>
    <w:rsid w:val="00AF7FDF"/>
    <w:rsid w:val="00B006ED"/>
    <w:rsid w:val="00B0171B"/>
    <w:rsid w:val="00B01E8C"/>
    <w:rsid w:val="00B0256B"/>
    <w:rsid w:val="00B042D4"/>
    <w:rsid w:val="00B057B0"/>
    <w:rsid w:val="00B059F3"/>
    <w:rsid w:val="00B07A6D"/>
    <w:rsid w:val="00B07D30"/>
    <w:rsid w:val="00B1056F"/>
    <w:rsid w:val="00B1065E"/>
    <w:rsid w:val="00B10C9F"/>
    <w:rsid w:val="00B11D86"/>
    <w:rsid w:val="00B11E20"/>
    <w:rsid w:val="00B12520"/>
    <w:rsid w:val="00B1388E"/>
    <w:rsid w:val="00B13D0D"/>
    <w:rsid w:val="00B142D2"/>
    <w:rsid w:val="00B14597"/>
    <w:rsid w:val="00B2029D"/>
    <w:rsid w:val="00B23682"/>
    <w:rsid w:val="00B237C8"/>
    <w:rsid w:val="00B250B2"/>
    <w:rsid w:val="00B25433"/>
    <w:rsid w:val="00B25C78"/>
    <w:rsid w:val="00B26655"/>
    <w:rsid w:val="00B26DB5"/>
    <w:rsid w:val="00B302C4"/>
    <w:rsid w:val="00B313A6"/>
    <w:rsid w:val="00B31F60"/>
    <w:rsid w:val="00B322B4"/>
    <w:rsid w:val="00B33A62"/>
    <w:rsid w:val="00B33E48"/>
    <w:rsid w:val="00B3500D"/>
    <w:rsid w:val="00B363E7"/>
    <w:rsid w:val="00B36654"/>
    <w:rsid w:val="00B37E77"/>
    <w:rsid w:val="00B37E97"/>
    <w:rsid w:val="00B41154"/>
    <w:rsid w:val="00B41812"/>
    <w:rsid w:val="00B43FEC"/>
    <w:rsid w:val="00B440F3"/>
    <w:rsid w:val="00B4643D"/>
    <w:rsid w:val="00B467C2"/>
    <w:rsid w:val="00B4780E"/>
    <w:rsid w:val="00B47B72"/>
    <w:rsid w:val="00B50D0D"/>
    <w:rsid w:val="00B515B9"/>
    <w:rsid w:val="00B52231"/>
    <w:rsid w:val="00B5256E"/>
    <w:rsid w:val="00B53635"/>
    <w:rsid w:val="00B5501D"/>
    <w:rsid w:val="00B60352"/>
    <w:rsid w:val="00B60762"/>
    <w:rsid w:val="00B60E5D"/>
    <w:rsid w:val="00B61EBB"/>
    <w:rsid w:val="00B63682"/>
    <w:rsid w:val="00B6381D"/>
    <w:rsid w:val="00B63B32"/>
    <w:rsid w:val="00B63FD0"/>
    <w:rsid w:val="00B64A36"/>
    <w:rsid w:val="00B65944"/>
    <w:rsid w:val="00B65E20"/>
    <w:rsid w:val="00B66297"/>
    <w:rsid w:val="00B66713"/>
    <w:rsid w:val="00B66A11"/>
    <w:rsid w:val="00B66A8C"/>
    <w:rsid w:val="00B66D3D"/>
    <w:rsid w:val="00B71EDA"/>
    <w:rsid w:val="00B723E7"/>
    <w:rsid w:val="00B72902"/>
    <w:rsid w:val="00B72927"/>
    <w:rsid w:val="00B73783"/>
    <w:rsid w:val="00B7476F"/>
    <w:rsid w:val="00B74939"/>
    <w:rsid w:val="00B749D8"/>
    <w:rsid w:val="00B74CB7"/>
    <w:rsid w:val="00B74F9B"/>
    <w:rsid w:val="00B762C4"/>
    <w:rsid w:val="00B76BF8"/>
    <w:rsid w:val="00B7781C"/>
    <w:rsid w:val="00B77AA0"/>
    <w:rsid w:val="00B77D9F"/>
    <w:rsid w:val="00B803EA"/>
    <w:rsid w:val="00B8050B"/>
    <w:rsid w:val="00B8078B"/>
    <w:rsid w:val="00B81BEF"/>
    <w:rsid w:val="00B81C86"/>
    <w:rsid w:val="00B81D2D"/>
    <w:rsid w:val="00B82286"/>
    <w:rsid w:val="00B835EC"/>
    <w:rsid w:val="00B83B65"/>
    <w:rsid w:val="00B84423"/>
    <w:rsid w:val="00B8442C"/>
    <w:rsid w:val="00B85598"/>
    <w:rsid w:val="00B85D71"/>
    <w:rsid w:val="00B8708C"/>
    <w:rsid w:val="00B871C5"/>
    <w:rsid w:val="00B877D3"/>
    <w:rsid w:val="00B90922"/>
    <w:rsid w:val="00B910E5"/>
    <w:rsid w:val="00B9142F"/>
    <w:rsid w:val="00B9177D"/>
    <w:rsid w:val="00B9194F"/>
    <w:rsid w:val="00B91B7A"/>
    <w:rsid w:val="00B921C0"/>
    <w:rsid w:val="00B92A35"/>
    <w:rsid w:val="00B92A72"/>
    <w:rsid w:val="00B92D6D"/>
    <w:rsid w:val="00B934BE"/>
    <w:rsid w:val="00B93CB9"/>
    <w:rsid w:val="00B941B0"/>
    <w:rsid w:val="00B946CF"/>
    <w:rsid w:val="00B94CFD"/>
    <w:rsid w:val="00B95684"/>
    <w:rsid w:val="00B956AC"/>
    <w:rsid w:val="00B958EB"/>
    <w:rsid w:val="00B96304"/>
    <w:rsid w:val="00B968C1"/>
    <w:rsid w:val="00B96F5A"/>
    <w:rsid w:val="00B97280"/>
    <w:rsid w:val="00B97B0B"/>
    <w:rsid w:val="00BA048C"/>
    <w:rsid w:val="00BA08CB"/>
    <w:rsid w:val="00BA0B02"/>
    <w:rsid w:val="00BA1049"/>
    <w:rsid w:val="00BA158C"/>
    <w:rsid w:val="00BA16A7"/>
    <w:rsid w:val="00BA2AC9"/>
    <w:rsid w:val="00BA2CAC"/>
    <w:rsid w:val="00BA3E9C"/>
    <w:rsid w:val="00BA42D9"/>
    <w:rsid w:val="00BA4DBA"/>
    <w:rsid w:val="00BA50FC"/>
    <w:rsid w:val="00BA56DC"/>
    <w:rsid w:val="00BA5F53"/>
    <w:rsid w:val="00BA66B4"/>
    <w:rsid w:val="00BA73F2"/>
    <w:rsid w:val="00BA7526"/>
    <w:rsid w:val="00BA7E57"/>
    <w:rsid w:val="00BB0151"/>
    <w:rsid w:val="00BB0519"/>
    <w:rsid w:val="00BB114D"/>
    <w:rsid w:val="00BB18AF"/>
    <w:rsid w:val="00BB26C5"/>
    <w:rsid w:val="00BB2861"/>
    <w:rsid w:val="00BB2D29"/>
    <w:rsid w:val="00BB3391"/>
    <w:rsid w:val="00BB3980"/>
    <w:rsid w:val="00BB3F61"/>
    <w:rsid w:val="00BB55BE"/>
    <w:rsid w:val="00BB5D7E"/>
    <w:rsid w:val="00BB6269"/>
    <w:rsid w:val="00BB6DC6"/>
    <w:rsid w:val="00BC0B63"/>
    <w:rsid w:val="00BC181D"/>
    <w:rsid w:val="00BC2092"/>
    <w:rsid w:val="00BC2AE1"/>
    <w:rsid w:val="00BC3B00"/>
    <w:rsid w:val="00BC3CAD"/>
    <w:rsid w:val="00BC4247"/>
    <w:rsid w:val="00BC4A9C"/>
    <w:rsid w:val="00BC4BC0"/>
    <w:rsid w:val="00BC5C42"/>
    <w:rsid w:val="00BC70CC"/>
    <w:rsid w:val="00BD01B6"/>
    <w:rsid w:val="00BD085E"/>
    <w:rsid w:val="00BD15CB"/>
    <w:rsid w:val="00BD24AF"/>
    <w:rsid w:val="00BD2518"/>
    <w:rsid w:val="00BD319A"/>
    <w:rsid w:val="00BD325A"/>
    <w:rsid w:val="00BD3559"/>
    <w:rsid w:val="00BD3F43"/>
    <w:rsid w:val="00BD425E"/>
    <w:rsid w:val="00BD4452"/>
    <w:rsid w:val="00BD46CF"/>
    <w:rsid w:val="00BD4788"/>
    <w:rsid w:val="00BD590D"/>
    <w:rsid w:val="00BD5B0A"/>
    <w:rsid w:val="00BD675C"/>
    <w:rsid w:val="00BD79D8"/>
    <w:rsid w:val="00BD7A72"/>
    <w:rsid w:val="00BD7B7A"/>
    <w:rsid w:val="00BD7EE0"/>
    <w:rsid w:val="00BE05C9"/>
    <w:rsid w:val="00BE088C"/>
    <w:rsid w:val="00BE172B"/>
    <w:rsid w:val="00BE1BF7"/>
    <w:rsid w:val="00BE2DBD"/>
    <w:rsid w:val="00BE3412"/>
    <w:rsid w:val="00BE3CF9"/>
    <w:rsid w:val="00BE6115"/>
    <w:rsid w:val="00BE72E3"/>
    <w:rsid w:val="00BF0562"/>
    <w:rsid w:val="00BF0B01"/>
    <w:rsid w:val="00BF185C"/>
    <w:rsid w:val="00BF4AB7"/>
    <w:rsid w:val="00BF4CBF"/>
    <w:rsid w:val="00BF4DE6"/>
    <w:rsid w:val="00BF4EC0"/>
    <w:rsid w:val="00BF6442"/>
    <w:rsid w:val="00C00CA8"/>
    <w:rsid w:val="00C00D3A"/>
    <w:rsid w:val="00C0110F"/>
    <w:rsid w:val="00C01D65"/>
    <w:rsid w:val="00C02AF0"/>
    <w:rsid w:val="00C037CA"/>
    <w:rsid w:val="00C03EEC"/>
    <w:rsid w:val="00C04806"/>
    <w:rsid w:val="00C04AE4"/>
    <w:rsid w:val="00C04B9C"/>
    <w:rsid w:val="00C056FC"/>
    <w:rsid w:val="00C05834"/>
    <w:rsid w:val="00C06BE3"/>
    <w:rsid w:val="00C06C38"/>
    <w:rsid w:val="00C06E32"/>
    <w:rsid w:val="00C07435"/>
    <w:rsid w:val="00C075AB"/>
    <w:rsid w:val="00C077B8"/>
    <w:rsid w:val="00C11F79"/>
    <w:rsid w:val="00C1279F"/>
    <w:rsid w:val="00C127FB"/>
    <w:rsid w:val="00C135B2"/>
    <w:rsid w:val="00C13735"/>
    <w:rsid w:val="00C13A26"/>
    <w:rsid w:val="00C13B8E"/>
    <w:rsid w:val="00C14D81"/>
    <w:rsid w:val="00C15269"/>
    <w:rsid w:val="00C159A7"/>
    <w:rsid w:val="00C15CB5"/>
    <w:rsid w:val="00C15D15"/>
    <w:rsid w:val="00C17988"/>
    <w:rsid w:val="00C17B64"/>
    <w:rsid w:val="00C17D70"/>
    <w:rsid w:val="00C17ECB"/>
    <w:rsid w:val="00C20290"/>
    <w:rsid w:val="00C20A76"/>
    <w:rsid w:val="00C21B87"/>
    <w:rsid w:val="00C22A9A"/>
    <w:rsid w:val="00C24958"/>
    <w:rsid w:val="00C24F57"/>
    <w:rsid w:val="00C253B4"/>
    <w:rsid w:val="00C257B8"/>
    <w:rsid w:val="00C26823"/>
    <w:rsid w:val="00C27965"/>
    <w:rsid w:val="00C27DA3"/>
    <w:rsid w:val="00C301A4"/>
    <w:rsid w:val="00C307FD"/>
    <w:rsid w:val="00C308C7"/>
    <w:rsid w:val="00C30C1C"/>
    <w:rsid w:val="00C31185"/>
    <w:rsid w:val="00C31192"/>
    <w:rsid w:val="00C31710"/>
    <w:rsid w:val="00C325B5"/>
    <w:rsid w:val="00C3260B"/>
    <w:rsid w:val="00C32839"/>
    <w:rsid w:val="00C3283A"/>
    <w:rsid w:val="00C336F3"/>
    <w:rsid w:val="00C345E8"/>
    <w:rsid w:val="00C34A53"/>
    <w:rsid w:val="00C34EBD"/>
    <w:rsid w:val="00C35379"/>
    <w:rsid w:val="00C35713"/>
    <w:rsid w:val="00C36729"/>
    <w:rsid w:val="00C378B7"/>
    <w:rsid w:val="00C37D1D"/>
    <w:rsid w:val="00C407DE"/>
    <w:rsid w:val="00C40ACD"/>
    <w:rsid w:val="00C412F5"/>
    <w:rsid w:val="00C41C41"/>
    <w:rsid w:val="00C42CDE"/>
    <w:rsid w:val="00C433E8"/>
    <w:rsid w:val="00C43A3B"/>
    <w:rsid w:val="00C442EE"/>
    <w:rsid w:val="00C444F6"/>
    <w:rsid w:val="00C45279"/>
    <w:rsid w:val="00C4533D"/>
    <w:rsid w:val="00C4548B"/>
    <w:rsid w:val="00C45C2A"/>
    <w:rsid w:val="00C47209"/>
    <w:rsid w:val="00C50BAB"/>
    <w:rsid w:val="00C510A7"/>
    <w:rsid w:val="00C511FD"/>
    <w:rsid w:val="00C513E2"/>
    <w:rsid w:val="00C51439"/>
    <w:rsid w:val="00C515CF"/>
    <w:rsid w:val="00C51FE7"/>
    <w:rsid w:val="00C525E9"/>
    <w:rsid w:val="00C5272C"/>
    <w:rsid w:val="00C545FE"/>
    <w:rsid w:val="00C55114"/>
    <w:rsid w:val="00C55A57"/>
    <w:rsid w:val="00C55B9D"/>
    <w:rsid w:val="00C56776"/>
    <w:rsid w:val="00C5686E"/>
    <w:rsid w:val="00C56E62"/>
    <w:rsid w:val="00C57329"/>
    <w:rsid w:val="00C5788F"/>
    <w:rsid w:val="00C60904"/>
    <w:rsid w:val="00C612CF"/>
    <w:rsid w:val="00C6132E"/>
    <w:rsid w:val="00C61386"/>
    <w:rsid w:val="00C61F06"/>
    <w:rsid w:val="00C62A0B"/>
    <w:rsid w:val="00C630B2"/>
    <w:rsid w:val="00C635B9"/>
    <w:rsid w:val="00C64B67"/>
    <w:rsid w:val="00C656E8"/>
    <w:rsid w:val="00C65EBD"/>
    <w:rsid w:val="00C66FF6"/>
    <w:rsid w:val="00C674C1"/>
    <w:rsid w:val="00C67AEF"/>
    <w:rsid w:val="00C67BBB"/>
    <w:rsid w:val="00C700C1"/>
    <w:rsid w:val="00C7010E"/>
    <w:rsid w:val="00C70984"/>
    <w:rsid w:val="00C71B8F"/>
    <w:rsid w:val="00C7203C"/>
    <w:rsid w:val="00C72D03"/>
    <w:rsid w:val="00C72E5B"/>
    <w:rsid w:val="00C73920"/>
    <w:rsid w:val="00C7405B"/>
    <w:rsid w:val="00C756F6"/>
    <w:rsid w:val="00C761E7"/>
    <w:rsid w:val="00C76629"/>
    <w:rsid w:val="00C76B62"/>
    <w:rsid w:val="00C7723F"/>
    <w:rsid w:val="00C77A08"/>
    <w:rsid w:val="00C77A76"/>
    <w:rsid w:val="00C77D43"/>
    <w:rsid w:val="00C80205"/>
    <w:rsid w:val="00C809A2"/>
    <w:rsid w:val="00C81676"/>
    <w:rsid w:val="00C81B5A"/>
    <w:rsid w:val="00C81C0D"/>
    <w:rsid w:val="00C82B8B"/>
    <w:rsid w:val="00C82DBC"/>
    <w:rsid w:val="00C82F18"/>
    <w:rsid w:val="00C836EF"/>
    <w:rsid w:val="00C83F79"/>
    <w:rsid w:val="00C840FB"/>
    <w:rsid w:val="00C84920"/>
    <w:rsid w:val="00C86228"/>
    <w:rsid w:val="00C8632B"/>
    <w:rsid w:val="00C869A5"/>
    <w:rsid w:val="00C9040F"/>
    <w:rsid w:val="00C93346"/>
    <w:rsid w:val="00C94623"/>
    <w:rsid w:val="00C94D3A"/>
    <w:rsid w:val="00C9512C"/>
    <w:rsid w:val="00C951F2"/>
    <w:rsid w:val="00C95C22"/>
    <w:rsid w:val="00C9679C"/>
    <w:rsid w:val="00C9744B"/>
    <w:rsid w:val="00C97890"/>
    <w:rsid w:val="00C97964"/>
    <w:rsid w:val="00CA0043"/>
    <w:rsid w:val="00CA02FD"/>
    <w:rsid w:val="00CA053E"/>
    <w:rsid w:val="00CA18F8"/>
    <w:rsid w:val="00CA24A1"/>
    <w:rsid w:val="00CA2B89"/>
    <w:rsid w:val="00CA37B1"/>
    <w:rsid w:val="00CA46D8"/>
    <w:rsid w:val="00CA4990"/>
    <w:rsid w:val="00CA58ED"/>
    <w:rsid w:val="00CA591B"/>
    <w:rsid w:val="00CA6064"/>
    <w:rsid w:val="00CA6970"/>
    <w:rsid w:val="00CA7CA7"/>
    <w:rsid w:val="00CB020C"/>
    <w:rsid w:val="00CB05A1"/>
    <w:rsid w:val="00CB0CA0"/>
    <w:rsid w:val="00CB1959"/>
    <w:rsid w:val="00CB2210"/>
    <w:rsid w:val="00CB2F7C"/>
    <w:rsid w:val="00CB2FCB"/>
    <w:rsid w:val="00CB3B68"/>
    <w:rsid w:val="00CB3CA3"/>
    <w:rsid w:val="00CB439E"/>
    <w:rsid w:val="00CB4758"/>
    <w:rsid w:val="00CB53CB"/>
    <w:rsid w:val="00CB54E6"/>
    <w:rsid w:val="00CB6295"/>
    <w:rsid w:val="00CB63C6"/>
    <w:rsid w:val="00CB67B2"/>
    <w:rsid w:val="00CB6E95"/>
    <w:rsid w:val="00CB7154"/>
    <w:rsid w:val="00CB7B86"/>
    <w:rsid w:val="00CC002C"/>
    <w:rsid w:val="00CC17E6"/>
    <w:rsid w:val="00CC19E1"/>
    <w:rsid w:val="00CC20EE"/>
    <w:rsid w:val="00CC2E18"/>
    <w:rsid w:val="00CC2EB1"/>
    <w:rsid w:val="00CC3057"/>
    <w:rsid w:val="00CC31C4"/>
    <w:rsid w:val="00CC36AE"/>
    <w:rsid w:val="00CC43FD"/>
    <w:rsid w:val="00CC47E5"/>
    <w:rsid w:val="00CC487A"/>
    <w:rsid w:val="00CC51A2"/>
    <w:rsid w:val="00CC5779"/>
    <w:rsid w:val="00CC5E02"/>
    <w:rsid w:val="00CC5E4A"/>
    <w:rsid w:val="00CC5F5A"/>
    <w:rsid w:val="00CC6475"/>
    <w:rsid w:val="00CC6755"/>
    <w:rsid w:val="00CC7D2E"/>
    <w:rsid w:val="00CD03D4"/>
    <w:rsid w:val="00CD0864"/>
    <w:rsid w:val="00CD174F"/>
    <w:rsid w:val="00CD1ABC"/>
    <w:rsid w:val="00CD1CD1"/>
    <w:rsid w:val="00CD1FFA"/>
    <w:rsid w:val="00CD262C"/>
    <w:rsid w:val="00CD279C"/>
    <w:rsid w:val="00CD2968"/>
    <w:rsid w:val="00CD2990"/>
    <w:rsid w:val="00CD2CAB"/>
    <w:rsid w:val="00CD3D9B"/>
    <w:rsid w:val="00CD3FF0"/>
    <w:rsid w:val="00CD46B3"/>
    <w:rsid w:val="00CD47D3"/>
    <w:rsid w:val="00CD55C3"/>
    <w:rsid w:val="00CD587F"/>
    <w:rsid w:val="00CE05F7"/>
    <w:rsid w:val="00CE146B"/>
    <w:rsid w:val="00CE1B8E"/>
    <w:rsid w:val="00CE2B74"/>
    <w:rsid w:val="00CE3856"/>
    <w:rsid w:val="00CE39B7"/>
    <w:rsid w:val="00CE39F0"/>
    <w:rsid w:val="00CE4400"/>
    <w:rsid w:val="00CE4957"/>
    <w:rsid w:val="00CE50FA"/>
    <w:rsid w:val="00CE5ABD"/>
    <w:rsid w:val="00CE5C61"/>
    <w:rsid w:val="00CE68B8"/>
    <w:rsid w:val="00CE74BD"/>
    <w:rsid w:val="00CE788B"/>
    <w:rsid w:val="00CF01ED"/>
    <w:rsid w:val="00CF03EB"/>
    <w:rsid w:val="00CF0588"/>
    <w:rsid w:val="00CF2119"/>
    <w:rsid w:val="00CF287E"/>
    <w:rsid w:val="00CF4195"/>
    <w:rsid w:val="00CF4206"/>
    <w:rsid w:val="00CF4B6B"/>
    <w:rsid w:val="00CF4C97"/>
    <w:rsid w:val="00CF521B"/>
    <w:rsid w:val="00CF5CD7"/>
    <w:rsid w:val="00CF5DCF"/>
    <w:rsid w:val="00CF5E2A"/>
    <w:rsid w:val="00CF61FB"/>
    <w:rsid w:val="00CF660B"/>
    <w:rsid w:val="00CF67D9"/>
    <w:rsid w:val="00CF6C8D"/>
    <w:rsid w:val="00CF7C4D"/>
    <w:rsid w:val="00D0035B"/>
    <w:rsid w:val="00D01578"/>
    <w:rsid w:val="00D01AEC"/>
    <w:rsid w:val="00D024CB"/>
    <w:rsid w:val="00D0296C"/>
    <w:rsid w:val="00D02D64"/>
    <w:rsid w:val="00D02DED"/>
    <w:rsid w:val="00D0394B"/>
    <w:rsid w:val="00D044E8"/>
    <w:rsid w:val="00D05368"/>
    <w:rsid w:val="00D05829"/>
    <w:rsid w:val="00D05AFB"/>
    <w:rsid w:val="00D05F20"/>
    <w:rsid w:val="00D060C7"/>
    <w:rsid w:val="00D0726B"/>
    <w:rsid w:val="00D07335"/>
    <w:rsid w:val="00D07E9F"/>
    <w:rsid w:val="00D10000"/>
    <w:rsid w:val="00D103BA"/>
    <w:rsid w:val="00D112BE"/>
    <w:rsid w:val="00D12CF8"/>
    <w:rsid w:val="00D12D80"/>
    <w:rsid w:val="00D12FB5"/>
    <w:rsid w:val="00D13471"/>
    <w:rsid w:val="00D135C8"/>
    <w:rsid w:val="00D13627"/>
    <w:rsid w:val="00D14518"/>
    <w:rsid w:val="00D15BFF"/>
    <w:rsid w:val="00D174AA"/>
    <w:rsid w:val="00D2044B"/>
    <w:rsid w:val="00D21674"/>
    <w:rsid w:val="00D21DBE"/>
    <w:rsid w:val="00D22869"/>
    <w:rsid w:val="00D22953"/>
    <w:rsid w:val="00D22A0C"/>
    <w:rsid w:val="00D252FC"/>
    <w:rsid w:val="00D256F4"/>
    <w:rsid w:val="00D25A1A"/>
    <w:rsid w:val="00D25FCA"/>
    <w:rsid w:val="00D26238"/>
    <w:rsid w:val="00D262CD"/>
    <w:rsid w:val="00D26AE0"/>
    <w:rsid w:val="00D26DA4"/>
    <w:rsid w:val="00D27AA3"/>
    <w:rsid w:val="00D3062F"/>
    <w:rsid w:val="00D32AF1"/>
    <w:rsid w:val="00D33311"/>
    <w:rsid w:val="00D33D13"/>
    <w:rsid w:val="00D3404E"/>
    <w:rsid w:val="00D3499D"/>
    <w:rsid w:val="00D34EFC"/>
    <w:rsid w:val="00D3566A"/>
    <w:rsid w:val="00D37E92"/>
    <w:rsid w:val="00D402AB"/>
    <w:rsid w:val="00D40E88"/>
    <w:rsid w:val="00D41528"/>
    <w:rsid w:val="00D42821"/>
    <w:rsid w:val="00D42C53"/>
    <w:rsid w:val="00D43119"/>
    <w:rsid w:val="00D45F48"/>
    <w:rsid w:val="00D465DC"/>
    <w:rsid w:val="00D46D82"/>
    <w:rsid w:val="00D4741E"/>
    <w:rsid w:val="00D502B0"/>
    <w:rsid w:val="00D503FD"/>
    <w:rsid w:val="00D51F42"/>
    <w:rsid w:val="00D52396"/>
    <w:rsid w:val="00D52647"/>
    <w:rsid w:val="00D53485"/>
    <w:rsid w:val="00D53590"/>
    <w:rsid w:val="00D53C69"/>
    <w:rsid w:val="00D555C8"/>
    <w:rsid w:val="00D55B2F"/>
    <w:rsid w:val="00D55D48"/>
    <w:rsid w:val="00D56053"/>
    <w:rsid w:val="00D5646B"/>
    <w:rsid w:val="00D578B5"/>
    <w:rsid w:val="00D578F6"/>
    <w:rsid w:val="00D60248"/>
    <w:rsid w:val="00D60381"/>
    <w:rsid w:val="00D6098A"/>
    <w:rsid w:val="00D60C03"/>
    <w:rsid w:val="00D61118"/>
    <w:rsid w:val="00D62322"/>
    <w:rsid w:val="00D6331D"/>
    <w:rsid w:val="00D6339E"/>
    <w:rsid w:val="00D63796"/>
    <w:rsid w:val="00D63A4C"/>
    <w:rsid w:val="00D6511E"/>
    <w:rsid w:val="00D65709"/>
    <w:rsid w:val="00D65DDC"/>
    <w:rsid w:val="00D67297"/>
    <w:rsid w:val="00D67709"/>
    <w:rsid w:val="00D67A94"/>
    <w:rsid w:val="00D70BF4"/>
    <w:rsid w:val="00D70DBD"/>
    <w:rsid w:val="00D70EAD"/>
    <w:rsid w:val="00D719AD"/>
    <w:rsid w:val="00D71CD6"/>
    <w:rsid w:val="00D71D70"/>
    <w:rsid w:val="00D72C0D"/>
    <w:rsid w:val="00D73C01"/>
    <w:rsid w:val="00D740CB"/>
    <w:rsid w:val="00D74B89"/>
    <w:rsid w:val="00D74F34"/>
    <w:rsid w:val="00D75567"/>
    <w:rsid w:val="00D75BFE"/>
    <w:rsid w:val="00D76E66"/>
    <w:rsid w:val="00D800E3"/>
    <w:rsid w:val="00D802D5"/>
    <w:rsid w:val="00D805CA"/>
    <w:rsid w:val="00D813ED"/>
    <w:rsid w:val="00D82B5A"/>
    <w:rsid w:val="00D82C7E"/>
    <w:rsid w:val="00D82DFD"/>
    <w:rsid w:val="00D8506A"/>
    <w:rsid w:val="00D85172"/>
    <w:rsid w:val="00D864DF"/>
    <w:rsid w:val="00D86763"/>
    <w:rsid w:val="00D86CB6"/>
    <w:rsid w:val="00D8741B"/>
    <w:rsid w:val="00D875AC"/>
    <w:rsid w:val="00D87766"/>
    <w:rsid w:val="00D87DFB"/>
    <w:rsid w:val="00D90801"/>
    <w:rsid w:val="00D90EF5"/>
    <w:rsid w:val="00D91C81"/>
    <w:rsid w:val="00D926D8"/>
    <w:rsid w:val="00D927DC"/>
    <w:rsid w:val="00D92B99"/>
    <w:rsid w:val="00D938E7"/>
    <w:rsid w:val="00D940D9"/>
    <w:rsid w:val="00D9423B"/>
    <w:rsid w:val="00D946A6"/>
    <w:rsid w:val="00D94EA9"/>
    <w:rsid w:val="00D950CB"/>
    <w:rsid w:val="00D95F0D"/>
    <w:rsid w:val="00D96BFD"/>
    <w:rsid w:val="00DA0DF3"/>
    <w:rsid w:val="00DA2141"/>
    <w:rsid w:val="00DA214B"/>
    <w:rsid w:val="00DA247C"/>
    <w:rsid w:val="00DA2B11"/>
    <w:rsid w:val="00DA3024"/>
    <w:rsid w:val="00DA3524"/>
    <w:rsid w:val="00DA35F5"/>
    <w:rsid w:val="00DA498E"/>
    <w:rsid w:val="00DA4AF7"/>
    <w:rsid w:val="00DA5804"/>
    <w:rsid w:val="00DA6505"/>
    <w:rsid w:val="00DA6AC8"/>
    <w:rsid w:val="00DA6C03"/>
    <w:rsid w:val="00DA746D"/>
    <w:rsid w:val="00DB09CE"/>
    <w:rsid w:val="00DB1AE7"/>
    <w:rsid w:val="00DB280B"/>
    <w:rsid w:val="00DB2889"/>
    <w:rsid w:val="00DB3BCE"/>
    <w:rsid w:val="00DB3CF4"/>
    <w:rsid w:val="00DB45B1"/>
    <w:rsid w:val="00DB49C1"/>
    <w:rsid w:val="00DB52D2"/>
    <w:rsid w:val="00DB62E6"/>
    <w:rsid w:val="00DB64CC"/>
    <w:rsid w:val="00DB6D69"/>
    <w:rsid w:val="00DC04EA"/>
    <w:rsid w:val="00DC09FB"/>
    <w:rsid w:val="00DC0A7B"/>
    <w:rsid w:val="00DC0CBA"/>
    <w:rsid w:val="00DC1483"/>
    <w:rsid w:val="00DC1601"/>
    <w:rsid w:val="00DC17DD"/>
    <w:rsid w:val="00DC259F"/>
    <w:rsid w:val="00DC25C6"/>
    <w:rsid w:val="00DC33C2"/>
    <w:rsid w:val="00DC36B2"/>
    <w:rsid w:val="00DC430B"/>
    <w:rsid w:val="00DC49F0"/>
    <w:rsid w:val="00DC4CFC"/>
    <w:rsid w:val="00DC623E"/>
    <w:rsid w:val="00DC64C1"/>
    <w:rsid w:val="00DC7004"/>
    <w:rsid w:val="00DC7899"/>
    <w:rsid w:val="00DC7A39"/>
    <w:rsid w:val="00DC7DE3"/>
    <w:rsid w:val="00DC7E6B"/>
    <w:rsid w:val="00DD0240"/>
    <w:rsid w:val="00DD17EB"/>
    <w:rsid w:val="00DD1A6C"/>
    <w:rsid w:val="00DD3145"/>
    <w:rsid w:val="00DD3317"/>
    <w:rsid w:val="00DD4E2D"/>
    <w:rsid w:val="00DD573E"/>
    <w:rsid w:val="00DD5853"/>
    <w:rsid w:val="00DD5F54"/>
    <w:rsid w:val="00DD6416"/>
    <w:rsid w:val="00DD708D"/>
    <w:rsid w:val="00DD79FF"/>
    <w:rsid w:val="00DE0B4E"/>
    <w:rsid w:val="00DE0DE2"/>
    <w:rsid w:val="00DE131D"/>
    <w:rsid w:val="00DE18C4"/>
    <w:rsid w:val="00DE19D5"/>
    <w:rsid w:val="00DE1AF4"/>
    <w:rsid w:val="00DE42F3"/>
    <w:rsid w:val="00DE5269"/>
    <w:rsid w:val="00DE6B67"/>
    <w:rsid w:val="00DE6BBD"/>
    <w:rsid w:val="00DE6DDE"/>
    <w:rsid w:val="00DE785A"/>
    <w:rsid w:val="00DE7BCD"/>
    <w:rsid w:val="00DF0D8B"/>
    <w:rsid w:val="00DF1D86"/>
    <w:rsid w:val="00DF1DA2"/>
    <w:rsid w:val="00DF1E0E"/>
    <w:rsid w:val="00DF2296"/>
    <w:rsid w:val="00DF232B"/>
    <w:rsid w:val="00DF25F7"/>
    <w:rsid w:val="00DF3124"/>
    <w:rsid w:val="00DF332A"/>
    <w:rsid w:val="00DF4404"/>
    <w:rsid w:val="00DF4643"/>
    <w:rsid w:val="00DF4700"/>
    <w:rsid w:val="00DF5184"/>
    <w:rsid w:val="00DF5429"/>
    <w:rsid w:val="00DF5609"/>
    <w:rsid w:val="00DF5DEC"/>
    <w:rsid w:val="00DF6B84"/>
    <w:rsid w:val="00DF701E"/>
    <w:rsid w:val="00DF7EC6"/>
    <w:rsid w:val="00DF7F0F"/>
    <w:rsid w:val="00E006DD"/>
    <w:rsid w:val="00E00948"/>
    <w:rsid w:val="00E00DF6"/>
    <w:rsid w:val="00E01580"/>
    <w:rsid w:val="00E0167B"/>
    <w:rsid w:val="00E0200C"/>
    <w:rsid w:val="00E02315"/>
    <w:rsid w:val="00E0252C"/>
    <w:rsid w:val="00E02D5F"/>
    <w:rsid w:val="00E02F17"/>
    <w:rsid w:val="00E03934"/>
    <w:rsid w:val="00E03F7F"/>
    <w:rsid w:val="00E0462E"/>
    <w:rsid w:val="00E051C0"/>
    <w:rsid w:val="00E05523"/>
    <w:rsid w:val="00E06496"/>
    <w:rsid w:val="00E06596"/>
    <w:rsid w:val="00E06D25"/>
    <w:rsid w:val="00E06FB3"/>
    <w:rsid w:val="00E072AA"/>
    <w:rsid w:val="00E07974"/>
    <w:rsid w:val="00E07C1C"/>
    <w:rsid w:val="00E07DE3"/>
    <w:rsid w:val="00E109E1"/>
    <w:rsid w:val="00E12D97"/>
    <w:rsid w:val="00E15D78"/>
    <w:rsid w:val="00E16260"/>
    <w:rsid w:val="00E162D9"/>
    <w:rsid w:val="00E16375"/>
    <w:rsid w:val="00E16A3F"/>
    <w:rsid w:val="00E179DB"/>
    <w:rsid w:val="00E17B9C"/>
    <w:rsid w:val="00E200B4"/>
    <w:rsid w:val="00E20367"/>
    <w:rsid w:val="00E2108D"/>
    <w:rsid w:val="00E2130D"/>
    <w:rsid w:val="00E24F08"/>
    <w:rsid w:val="00E25C1A"/>
    <w:rsid w:val="00E261BE"/>
    <w:rsid w:val="00E268BD"/>
    <w:rsid w:val="00E27EFA"/>
    <w:rsid w:val="00E27FFE"/>
    <w:rsid w:val="00E30966"/>
    <w:rsid w:val="00E3159A"/>
    <w:rsid w:val="00E31A78"/>
    <w:rsid w:val="00E3284F"/>
    <w:rsid w:val="00E3328B"/>
    <w:rsid w:val="00E33A85"/>
    <w:rsid w:val="00E35494"/>
    <w:rsid w:val="00E357B7"/>
    <w:rsid w:val="00E357E5"/>
    <w:rsid w:val="00E3761E"/>
    <w:rsid w:val="00E4031A"/>
    <w:rsid w:val="00E40371"/>
    <w:rsid w:val="00E40849"/>
    <w:rsid w:val="00E408F4"/>
    <w:rsid w:val="00E40BE2"/>
    <w:rsid w:val="00E40F70"/>
    <w:rsid w:val="00E431FD"/>
    <w:rsid w:val="00E432FE"/>
    <w:rsid w:val="00E442DE"/>
    <w:rsid w:val="00E4482F"/>
    <w:rsid w:val="00E44D53"/>
    <w:rsid w:val="00E46348"/>
    <w:rsid w:val="00E47D47"/>
    <w:rsid w:val="00E50463"/>
    <w:rsid w:val="00E51002"/>
    <w:rsid w:val="00E511A1"/>
    <w:rsid w:val="00E51CED"/>
    <w:rsid w:val="00E51F3F"/>
    <w:rsid w:val="00E52D00"/>
    <w:rsid w:val="00E52D2A"/>
    <w:rsid w:val="00E530BF"/>
    <w:rsid w:val="00E53800"/>
    <w:rsid w:val="00E540DD"/>
    <w:rsid w:val="00E54630"/>
    <w:rsid w:val="00E546D1"/>
    <w:rsid w:val="00E54B17"/>
    <w:rsid w:val="00E55E69"/>
    <w:rsid w:val="00E565BD"/>
    <w:rsid w:val="00E56E23"/>
    <w:rsid w:val="00E5727C"/>
    <w:rsid w:val="00E57375"/>
    <w:rsid w:val="00E57837"/>
    <w:rsid w:val="00E5799F"/>
    <w:rsid w:val="00E57ABD"/>
    <w:rsid w:val="00E6081F"/>
    <w:rsid w:val="00E6165D"/>
    <w:rsid w:val="00E6173C"/>
    <w:rsid w:val="00E61A56"/>
    <w:rsid w:val="00E63CFD"/>
    <w:rsid w:val="00E646B1"/>
    <w:rsid w:val="00E649EA"/>
    <w:rsid w:val="00E64E96"/>
    <w:rsid w:val="00E6536A"/>
    <w:rsid w:val="00E6571E"/>
    <w:rsid w:val="00E65B33"/>
    <w:rsid w:val="00E6620D"/>
    <w:rsid w:val="00E6621A"/>
    <w:rsid w:val="00E66695"/>
    <w:rsid w:val="00E66D52"/>
    <w:rsid w:val="00E67E8D"/>
    <w:rsid w:val="00E7121F"/>
    <w:rsid w:val="00E727EB"/>
    <w:rsid w:val="00E732BA"/>
    <w:rsid w:val="00E738B6"/>
    <w:rsid w:val="00E74033"/>
    <w:rsid w:val="00E74163"/>
    <w:rsid w:val="00E74720"/>
    <w:rsid w:val="00E74954"/>
    <w:rsid w:val="00E7614A"/>
    <w:rsid w:val="00E7625F"/>
    <w:rsid w:val="00E767DD"/>
    <w:rsid w:val="00E76930"/>
    <w:rsid w:val="00E807D7"/>
    <w:rsid w:val="00E809FA"/>
    <w:rsid w:val="00E8146A"/>
    <w:rsid w:val="00E81581"/>
    <w:rsid w:val="00E81AB9"/>
    <w:rsid w:val="00E81CA8"/>
    <w:rsid w:val="00E81E93"/>
    <w:rsid w:val="00E8267E"/>
    <w:rsid w:val="00E83A55"/>
    <w:rsid w:val="00E84314"/>
    <w:rsid w:val="00E84FD7"/>
    <w:rsid w:val="00E86A12"/>
    <w:rsid w:val="00E874CE"/>
    <w:rsid w:val="00E87E9A"/>
    <w:rsid w:val="00E90F54"/>
    <w:rsid w:val="00E90F9B"/>
    <w:rsid w:val="00E91A0D"/>
    <w:rsid w:val="00E92B09"/>
    <w:rsid w:val="00E93457"/>
    <w:rsid w:val="00E936BA"/>
    <w:rsid w:val="00E93861"/>
    <w:rsid w:val="00E93FF4"/>
    <w:rsid w:val="00E948BF"/>
    <w:rsid w:val="00E950E8"/>
    <w:rsid w:val="00E9625B"/>
    <w:rsid w:val="00E964A7"/>
    <w:rsid w:val="00E967B1"/>
    <w:rsid w:val="00E975C9"/>
    <w:rsid w:val="00E97657"/>
    <w:rsid w:val="00E97AE4"/>
    <w:rsid w:val="00E97BF2"/>
    <w:rsid w:val="00EA04B2"/>
    <w:rsid w:val="00EA04BF"/>
    <w:rsid w:val="00EA103B"/>
    <w:rsid w:val="00EA129B"/>
    <w:rsid w:val="00EA1789"/>
    <w:rsid w:val="00EA1975"/>
    <w:rsid w:val="00EA1C85"/>
    <w:rsid w:val="00EA20F3"/>
    <w:rsid w:val="00EA3629"/>
    <w:rsid w:val="00EA3E28"/>
    <w:rsid w:val="00EA4730"/>
    <w:rsid w:val="00EA55C2"/>
    <w:rsid w:val="00EA6358"/>
    <w:rsid w:val="00EA649F"/>
    <w:rsid w:val="00EA7268"/>
    <w:rsid w:val="00EA77FF"/>
    <w:rsid w:val="00EB204B"/>
    <w:rsid w:val="00EB2647"/>
    <w:rsid w:val="00EB2B55"/>
    <w:rsid w:val="00EB4767"/>
    <w:rsid w:val="00EB4C36"/>
    <w:rsid w:val="00EB5986"/>
    <w:rsid w:val="00EB5E90"/>
    <w:rsid w:val="00EB68D0"/>
    <w:rsid w:val="00EB6C9D"/>
    <w:rsid w:val="00EB6FE3"/>
    <w:rsid w:val="00EB74A3"/>
    <w:rsid w:val="00EB75B8"/>
    <w:rsid w:val="00EB7F49"/>
    <w:rsid w:val="00EC26CB"/>
    <w:rsid w:val="00EC2839"/>
    <w:rsid w:val="00EC2C2C"/>
    <w:rsid w:val="00EC3C2A"/>
    <w:rsid w:val="00EC3C61"/>
    <w:rsid w:val="00EC45E7"/>
    <w:rsid w:val="00EC5460"/>
    <w:rsid w:val="00EC5C2A"/>
    <w:rsid w:val="00EC60A6"/>
    <w:rsid w:val="00EC63BA"/>
    <w:rsid w:val="00EC7B79"/>
    <w:rsid w:val="00ED094D"/>
    <w:rsid w:val="00ED09F7"/>
    <w:rsid w:val="00ED0F7C"/>
    <w:rsid w:val="00ED1ED5"/>
    <w:rsid w:val="00ED2946"/>
    <w:rsid w:val="00ED43D1"/>
    <w:rsid w:val="00ED487A"/>
    <w:rsid w:val="00ED580F"/>
    <w:rsid w:val="00ED74D9"/>
    <w:rsid w:val="00ED78D1"/>
    <w:rsid w:val="00EE1371"/>
    <w:rsid w:val="00EE15B5"/>
    <w:rsid w:val="00EE1939"/>
    <w:rsid w:val="00EE1A7D"/>
    <w:rsid w:val="00EE1A8B"/>
    <w:rsid w:val="00EE22C2"/>
    <w:rsid w:val="00EE2339"/>
    <w:rsid w:val="00EE2C1C"/>
    <w:rsid w:val="00EE2D7A"/>
    <w:rsid w:val="00EE322C"/>
    <w:rsid w:val="00EE367F"/>
    <w:rsid w:val="00EE370A"/>
    <w:rsid w:val="00EE4E24"/>
    <w:rsid w:val="00EE4EE1"/>
    <w:rsid w:val="00EE56C2"/>
    <w:rsid w:val="00EE5B7D"/>
    <w:rsid w:val="00EE74ED"/>
    <w:rsid w:val="00EF0A46"/>
    <w:rsid w:val="00EF11A8"/>
    <w:rsid w:val="00EF1568"/>
    <w:rsid w:val="00EF180A"/>
    <w:rsid w:val="00EF1994"/>
    <w:rsid w:val="00EF1DB7"/>
    <w:rsid w:val="00EF2724"/>
    <w:rsid w:val="00EF2CBD"/>
    <w:rsid w:val="00EF3662"/>
    <w:rsid w:val="00EF3D79"/>
    <w:rsid w:val="00EF4573"/>
    <w:rsid w:val="00EF4574"/>
    <w:rsid w:val="00EF55F6"/>
    <w:rsid w:val="00EF5790"/>
    <w:rsid w:val="00EF6979"/>
    <w:rsid w:val="00EF6ABF"/>
    <w:rsid w:val="00EF6DAD"/>
    <w:rsid w:val="00F00C89"/>
    <w:rsid w:val="00F01C34"/>
    <w:rsid w:val="00F01F58"/>
    <w:rsid w:val="00F0205A"/>
    <w:rsid w:val="00F02EA6"/>
    <w:rsid w:val="00F04126"/>
    <w:rsid w:val="00F05299"/>
    <w:rsid w:val="00F0550D"/>
    <w:rsid w:val="00F0609C"/>
    <w:rsid w:val="00F10849"/>
    <w:rsid w:val="00F110B3"/>
    <w:rsid w:val="00F12585"/>
    <w:rsid w:val="00F1265F"/>
    <w:rsid w:val="00F135EE"/>
    <w:rsid w:val="00F13D83"/>
    <w:rsid w:val="00F1408D"/>
    <w:rsid w:val="00F15541"/>
    <w:rsid w:val="00F15C0E"/>
    <w:rsid w:val="00F15EDA"/>
    <w:rsid w:val="00F17097"/>
    <w:rsid w:val="00F17737"/>
    <w:rsid w:val="00F2062E"/>
    <w:rsid w:val="00F20AAF"/>
    <w:rsid w:val="00F21D73"/>
    <w:rsid w:val="00F220DB"/>
    <w:rsid w:val="00F23488"/>
    <w:rsid w:val="00F2375B"/>
    <w:rsid w:val="00F238A4"/>
    <w:rsid w:val="00F248D2"/>
    <w:rsid w:val="00F24D96"/>
    <w:rsid w:val="00F254E4"/>
    <w:rsid w:val="00F25F17"/>
    <w:rsid w:val="00F262B3"/>
    <w:rsid w:val="00F266EF"/>
    <w:rsid w:val="00F2684E"/>
    <w:rsid w:val="00F26B7B"/>
    <w:rsid w:val="00F2756B"/>
    <w:rsid w:val="00F27726"/>
    <w:rsid w:val="00F279C9"/>
    <w:rsid w:val="00F31115"/>
    <w:rsid w:val="00F31914"/>
    <w:rsid w:val="00F3198A"/>
    <w:rsid w:val="00F31B8B"/>
    <w:rsid w:val="00F3451E"/>
    <w:rsid w:val="00F34CE6"/>
    <w:rsid w:val="00F35684"/>
    <w:rsid w:val="00F35F5B"/>
    <w:rsid w:val="00F369BD"/>
    <w:rsid w:val="00F36D8A"/>
    <w:rsid w:val="00F37889"/>
    <w:rsid w:val="00F40261"/>
    <w:rsid w:val="00F405BE"/>
    <w:rsid w:val="00F40715"/>
    <w:rsid w:val="00F40762"/>
    <w:rsid w:val="00F408DE"/>
    <w:rsid w:val="00F40F8D"/>
    <w:rsid w:val="00F41426"/>
    <w:rsid w:val="00F415D5"/>
    <w:rsid w:val="00F42433"/>
    <w:rsid w:val="00F42905"/>
    <w:rsid w:val="00F4355D"/>
    <w:rsid w:val="00F43AEE"/>
    <w:rsid w:val="00F43EBC"/>
    <w:rsid w:val="00F44B19"/>
    <w:rsid w:val="00F44E00"/>
    <w:rsid w:val="00F45061"/>
    <w:rsid w:val="00F4538D"/>
    <w:rsid w:val="00F46A81"/>
    <w:rsid w:val="00F47E35"/>
    <w:rsid w:val="00F510FE"/>
    <w:rsid w:val="00F512AD"/>
    <w:rsid w:val="00F5133E"/>
    <w:rsid w:val="00F5138D"/>
    <w:rsid w:val="00F515D4"/>
    <w:rsid w:val="00F5172F"/>
    <w:rsid w:val="00F51A6C"/>
    <w:rsid w:val="00F522A6"/>
    <w:rsid w:val="00F52322"/>
    <w:rsid w:val="00F523D9"/>
    <w:rsid w:val="00F52FE8"/>
    <w:rsid w:val="00F533D1"/>
    <w:rsid w:val="00F545F4"/>
    <w:rsid w:val="00F54F54"/>
    <w:rsid w:val="00F55BEB"/>
    <w:rsid w:val="00F56922"/>
    <w:rsid w:val="00F56C11"/>
    <w:rsid w:val="00F6013B"/>
    <w:rsid w:val="00F60660"/>
    <w:rsid w:val="00F60A35"/>
    <w:rsid w:val="00F614B9"/>
    <w:rsid w:val="00F61B14"/>
    <w:rsid w:val="00F6259F"/>
    <w:rsid w:val="00F63723"/>
    <w:rsid w:val="00F64065"/>
    <w:rsid w:val="00F65284"/>
    <w:rsid w:val="00F65694"/>
    <w:rsid w:val="00F65717"/>
    <w:rsid w:val="00F6581B"/>
    <w:rsid w:val="00F659E7"/>
    <w:rsid w:val="00F65EC3"/>
    <w:rsid w:val="00F65FA9"/>
    <w:rsid w:val="00F67805"/>
    <w:rsid w:val="00F67E19"/>
    <w:rsid w:val="00F703C3"/>
    <w:rsid w:val="00F70DB8"/>
    <w:rsid w:val="00F70E90"/>
    <w:rsid w:val="00F71174"/>
    <w:rsid w:val="00F714EA"/>
    <w:rsid w:val="00F7151B"/>
    <w:rsid w:val="00F72071"/>
    <w:rsid w:val="00F721DD"/>
    <w:rsid w:val="00F729EF"/>
    <w:rsid w:val="00F73ED3"/>
    <w:rsid w:val="00F74644"/>
    <w:rsid w:val="00F751F5"/>
    <w:rsid w:val="00F7574A"/>
    <w:rsid w:val="00F77BAE"/>
    <w:rsid w:val="00F77CAE"/>
    <w:rsid w:val="00F80BD4"/>
    <w:rsid w:val="00F81BD1"/>
    <w:rsid w:val="00F81F4D"/>
    <w:rsid w:val="00F821BE"/>
    <w:rsid w:val="00F82321"/>
    <w:rsid w:val="00F82E24"/>
    <w:rsid w:val="00F831E1"/>
    <w:rsid w:val="00F841C3"/>
    <w:rsid w:val="00F84473"/>
    <w:rsid w:val="00F85995"/>
    <w:rsid w:val="00F8653A"/>
    <w:rsid w:val="00F868BB"/>
    <w:rsid w:val="00F86B71"/>
    <w:rsid w:val="00F87359"/>
    <w:rsid w:val="00F8756E"/>
    <w:rsid w:val="00F87654"/>
    <w:rsid w:val="00F87B2D"/>
    <w:rsid w:val="00F90CEB"/>
    <w:rsid w:val="00F90CF2"/>
    <w:rsid w:val="00F914DB"/>
    <w:rsid w:val="00F92E69"/>
    <w:rsid w:val="00F9313C"/>
    <w:rsid w:val="00F94C73"/>
    <w:rsid w:val="00F94D88"/>
    <w:rsid w:val="00F94DD0"/>
    <w:rsid w:val="00F950CA"/>
    <w:rsid w:val="00F96BB9"/>
    <w:rsid w:val="00F97305"/>
    <w:rsid w:val="00F97DBB"/>
    <w:rsid w:val="00FA0107"/>
    <w:rsid w:val="00FA11E3"/>
    <w:rsid w:val="00FA1DBC"/>
    <w:rsid w:val="00FA22B6"/>
    <w:rsid w:val="00FA2BBF"/>
    <w:rsid w:val="00FA2F51"/>
    <w:rsid w:val="00FA3B30"/>
    <w:rsid w:val="00FA3B75"/>
    <w:rsid w:val="00FA43B8"/>
    <w:rsid w:val="00FA4F93"/>
    <w:rsid w:val="00FA681D"/>
    <w:rsid w:val="00FA7346"/>
    <w:rsid w:val="00FA7991"/>
    <w:rsid w:val="00FB051D"/>
    <w:rsid w:val="00FB1FFC"/>
    <w:rsid w:val="00FB2815"/>
    <w:rsid w:val="00FB2944"/>
    <w:rsid w:val="00FB2CF9"/>
    <w:rsid w:val="00FB44AA"/>
    <w:rsid w:val="00FB5ACE"/>
    <w:rsid w:val="00FB6F5F"/>
    <w:rsid w:val="00FB714E"/>
    <w:rsid w:val="00FC0D84"/>
    <w:rsid w:val="00FC1C2D"/>
    <w:rsid w:val="00FC22C8"/>
    <w:rsid w:val="00FC2901"/>
    <w:rsid w:val="00FC2C1E"/>
    <w:rsid w:val="00FC4C66"/>
    <w:rsid w:val="00FC530A"/>
    <w:rsid w:val="00FC5899"/>
    <w:rsid w:val="00FC76EC"/>
    <w:rsid w:val="00FC7A66"/>
    <w:rsid w:val="00FC7BE3"/>
    <w:rsid w:val="00FD01C2"/>
    <w:rsid w:val="00FD01E0"/>
    <w:rsid w:val="00FD068D"/>
    <w:rsid w:val="00FD0A47"/>
    <w:rsid w:val="00FD20AE"/>
    <w:rsid w:val="00FD2599"/>
    <w:rsid w:val="00FD2E5F"/>
    <w:rsid w:val="00FD349A"/>
    <w:rsid w:val="00FD3709"/>
    <w:rsid w:val="00FD3A9C"/>
    <w:rsid w:val="00FD3BBA"/>
    <w:rsid w:val="00FD433F"/>
    <w:rsid w:val="00FD5998"/>
    <w:rsid w:val="00FD60A6"/>
    <w:rsid w:val="00FD6723"/>
    <w:rsid w:val="00FD6B39"/>
    <w:rsid w:val="00FD6D25"/>
    <w:rsid w:val="00FD7CFD"/>
    <w:rsid w:val="00FE0B87"/>
    <w:rsid w:val="00FE0BFB"/>
    <w:rsid w:val="00FE110D"/>
    <w:rsid w:val="00FE118B"/>
    <w:rsid w:val="00FE11E8"/>
    <w:rsid w:val="00FE1942"/>
    <w:rsid w:val="00FE30D0"/>
    <w:rsid w:val="00FE3858"/>
    <w:rsid w:val="00FE3945"/>
    <w:rsid w:val="00FE52F4"/>
    <w:rsid w:val="00FE68B3"/>
    <w:rsid w:val="00FE6D51"/>
    <w:rsid w:val="00FE716A"/>
    <w:rsid w:val="00FE722C"/>
    <w:rsid w:val="00FE7749"/>
    <w:rsid w:val="00FE7C54"/>
    <w:rsid w:val="00FF06AC"/>
    <w:rsid w:val="00FF217D"/>
    <w:rsid w:val="00FF2262"/>
    <w:rsid w:val="00FF275D"/>
    <w:rsid w:val="00FF30BA"/>
    <w:rsid w:val="00FF3380"/>
    <w:rsid w:val="00FF49A4"/>
    <w:rsid w:val="00FF61C7"/>
    <w:rsid w:val="00FF6283"/>
    <w:rsid w:val="00FF66A5"/>
    <w:rsid w:val="00FF6D94"/>
    <w:rsid w:val="00FF776A"/>
    <w:rsid w:val="04DD4FCB"/>
    <w:rsid w:val="05AFFCDB"/>
    <w:rsid w:val="05CB7417"/>
    <w:rsid w:val="061EF529"/>
    <w:rsid w:val="06890BD6"/>
    <w:rsid w:val="06F18959"/>
    <w:rsid w:val="076FDFA5"/>
    <w:rsid w:val="0931D8FF"/>
    <w:rsid w:val="09E3EBAD"/>
    <w:rsid w:val="0C13B8F1"/>
    <w:rsid w:val="0C7ABFCE"/>
    <w:rsid w:val="0C8B0CAD"/>
    <w:rsid w:val="0EDE9EB0"/>
    <w:rsid w:val="112D406B"/>
    <w:rsid w:val="114FD7A3"/>
    <w:rsid w:val="123A62D7"/>
    <w:rsid w:val="132E6EF0"/>
    <w:rsid w:val="1618C696"/>
    <w:rsid w:val="16DB476B"/>
    <w:rsid w:val="17721331"/>
    <w:rsid w:val="1905AEED"/>
    <w:rsid w:val="190DE392"/>
    <w:rsid w:val="1AFD1503"/>
    <w:rsid w:val="1B9408A0"/>
    <w:rsid w:val="1C3D4FAF"/>
    <w:rsid w:val="1D16BE56"/>
    <w:rsid w:val="2723F18C"/>
    <w:rsid w:val="2798AF85"/>
    <w:rsid w:val="2AC129D5"/>
    <w:rsid w:val="2E292615"/>
    <w:rsid w:val="2EAE9AC3"/>
    <w:rsid w:val="2FFFEE32"/>
    <w:rsid w:val="30B1AB75"/>
    <w:rsid w:val="32080AF7"/>
    <w:rsid w:val="321E243F"/>
    <w:rsid w:val="343A4B0C"/>
    <w:rsid w:val="3529BB59"/>
    <w:rsid w:val="37662E69"/>
    <w:rsid w:val="3A40ECB8"/>
    <w:rsid w:val="3B5DDEAB"/>
    <w:rsid w:val="3BB883A3"/>
    <w:rsid w:val="3FAE2E72"/>
    <w:rsid w:val="4218AC43"/>
    <w:rsid w:val="422DCB82"/>
    <w:rsid w:val="43C39588"/>
    <w:rsid w:val="44DFF872"/>
    <w:rsid w:val="44ED2CEF"/>
    <w:rsid w:val="4600C5D3"/>
    <w:rsid w:val="49D091D1"/>
    <w:rsid w:val="4B1AD511"/>
    <w:rsid w:val="4CBF405B"/>
    <w:rsid w:val="4ECFB447"/>
    <w:rsid w:val="4F9149E7"/>
    <w:rsid w:val="5039B97E"/>
    <w:rsid w:val="51C1BBF1"/>
    <w:rsid w:val="52A8F2BC"/>
    <w:rsid w:val="5517224D"/>
    <w:rsid w:val="5582CDF2"/>
    <w:rsid w:val="587384A8"/>
    <w:rsid w:val="58A6E58A"/>
    <w:rsid w:val="5A2C5880"/>
    <w:rsid w:val="5B23956C"/>
    <w:rsid w:val="5C52EBB9"/>
    <w:rsid w:val="5D828925"/>
    <w:rsid w:val="5E82FE62"/>
    <w:rsid w:val="5FC2EA83"/>
    <w:rsid w:val="601211C8"/>
    <w:rsid w:val="61912E10"/>
    <w:rsid w:val="62E94A88"/>
    <w:rsid w:val="67A0BA6F"/>
    <w:rsid w:val="6958DC9D"/>
    <w:rsid w:val="69E61748"/>
    <w:rsid w:val="6C3D882D"/>
    <w:rsid w:val="708B9588"/>
    <w:rsid w:val="71008F69"/>
    <w:rsid w:val="71EB4BAF"/>
    <w:rsid w:val="72D75D75"/>
    <w:rsid w:val="7618B911"/>
    <w:rsid w:val="76FF6870"/>
    <w:rsid w:val="77EBA6BF"/>
    <w:rsid w:val="785AC004"/>
    <w:rsid w:val="7B62E7D4"/>
    <w:rsid w:val="7B805A48"/>
    <w:rsid w:val="7BC71F42"/>
    <w:rsid w:val="7F84E5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A6"/>
    <w:pPr>
      <w:spacing w:after="160" w:line="278" w:lineRule="auto"/>
    </w:pPr>
    <w:rPr>
      <w:kern w:val="2"/>
      <w:szCs w:val="24"/>
      <w14:ligatures w14:val="standardContextual"/>
    </w:rPr>
  </w:style>
  <w:style w:type="paragraph" w:styleId="Heading1">
    <w:name w:val="heading 1"/>
    <w:basedOn w:val="Normal"/>
    <w:next w:val="Normal"/>
    <w:link w:val="Heading1Char"/>
    <w:qFormat/>
    <w:rsid w:val="00D12FB5"/>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D12FB5"/>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12FB5"/>
    <w:pPr>
      <w:spacing w:line="340" w:lineRule="atLeast"/>
      <w:outlineLvl w:val="2"/>
    </w:pPr>
    <w:rPr>
      <w:bCs/>
      <w:sz w:val="30"/>
    </w:rPr>
  </w:style>
  <w:style w:type="paragraph" w:styleId="Heading4">
    <w:name w:val="heading 4"/>
    <w:basedOn w:val="Heading3"/>
    <w:next w:val="Normal"/>
    <w:link w:val="Heading4Char"/>
    <w:uiPriority w:val="9"/>
    <w:unhideWhenUsed/>
    <w:qFormat/>
    <w:rsid w:val="00D12FB5"/>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D12FB5"/>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D12FB5"/>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D12FB5"/>
    <w:pPr>
      <w:outlineLvl w:val="6"/>
    </w:pPr>
    <w:rPr>
      <w:i w:val="0"/>
      <w:iCs w:val="0"/>
    </w:rPr>
  </w:style>
  <w:style w:type="paragraph" w:styleId="Heading8">
    <w:name w:val="heading 8"/>
    <w:basedOn w:val="Heading7"/>
    <w:next w:val="Normal"/>
    <w:link w:val="Heading8Char"/>
    <w:uiPriority w:val="9"/>
    <w:semiHidden/>
    <w:unhideWhenUsed/>
    <w:qFormat/>
    <w:rsid w:val="00D12FB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D12FB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FB5"/>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D12FB5"/>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12FB5"/>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12FB5"/>
    <w:pPr>
      <w:ind w:left="284"/>
    </w:pPr>
  </w:style>
  <w:style w:type="paragraph" w:styleId="Title">
    <w:name w:val="Title"/>
    <w:basedOn w:val="Heading1"/>
    <w:next w:val="Normal"/>
    <w:link w:val="TitleChar"/>
    <w:uiPriority w:val="10"/>
    <w:qFormat/>
    <w:rsid w:val="00D12FB5"/>
    <w:pPr>
      <w:keepNext w:val="0"/>
      <w:spacing w:before="3600" w:line="480" w:lineRule="atLeast"/>
      <w:ind w:left="3969"/>
      <w:outlineLvl w:val="9"/>
    </w:pPr>
    <w:rPr>
      <w:color w:val="FFFFFF" w:themeColor="background1"/>
      <w:kern w:val="28"/>
      <w:sz w:val="48"/>
      <w:szCs w:val="48"/>
    </w:rPr>
  </w:style>
  <w:style w:type="character" w:customStyle="1" w:styleId="TitleChar">
    <w:name w:val="Title Char"/>
    <w:basedOn w:val="DefaultParagraphFont"/>
    <w:link w:val="Title"/>
    <w:uiPriority w:val="10"/>
    <w:rsid w:val="00D12FB5"/>
    <w:rPr>
      <w:rFonts w:asciiTheme="majorHAnsi" w:eastAsiaTheme="majorEastAsia" w:hAnsiTheme="majorHAnsi" w:cstheme="majorBidi"/>
      <w:bCs/>
      <w:color w:val="FFFFFF" w:themeColor="background1"/>
      <w:kern w:val="28"/>
      <w:sz w:val="48"/>
      <w:szCs w:val="48"/>
    </w:rPr>
  </w:style>
  <w:style w:type="paragraph" w:styleId="Subtitle">
    <w:name w:val="Subtitle"/>
    <w:basedOn w:val="Title"/>
    <w:next w:val="Normal"/>
    <w:link w:val="SubtitleChar"/>
    <w:uiPriority w:val="11"/>
    <w:qFormat/>
    <w:rsid w:val="00D12FB5"/>
    <w:pPr>
      <w:numPr>
        <w:ilvl w:val="1"/>
      </w:numPr>
      <w:spacing w:before="360" w:line="260" w:lineRule="atLeast"/>
      <w:ind w:left="3969"/>
    </w:pPr>
    <w:rPr>
      <w:b/>
      <w:iCs/>
      <w:sz w:val="20"/>
      <w:szCs w:val="24"/>
    </w:rPr>
  </w:style>
  <w:style w:type="character" w:customStyle="1" w:styleId="SubtitleChar">
    <w:name w:val="Subtitle Char"/>
    <w:basedOn w:val="DefaultParagraphFont"/>
    <w:link w:val="Subtitle"/>
    <w:uiPriority w:val="11"/>
    <w:rsid w:val="00D12FB5"/>
    <w:rPr>
      <w:rFonts w:asciiTheme="majorHAnsi" w:eastAsiaTheme="majorEastAsia" w:hAnsiTheme="majorHAnsi" w:cstheme="majorBidi"/>
      <w:b/>
      <w:bCs/>
      <w:iCs/>
      <w:color w:val="FFFFFF" w:themeColor="background1"/>
      <w:kern w:val="28"/>
      <w:sz w:val="20"/>
      <w:szCs w:val="24"/>
    </w:rPr>
  </w:style>
  <w:style w:type="paragraph" w:customStyle="1" w:styleId="Bullet1">
    <w:name w:val="Bullet 1"/>
    <w:basedOn w:val="Normal"/>
    <w:qFormat/>
    <w:rsid w:val="00D12FB5"/>
    <w:pPr>
      <w:numPr>
        <w:numId w:val="11"/>
      </w:numPr>
      <w:spacing w:before="120"/>
    </w:pPr>
  </w:style>
  <w:style w:type="paragraph" w:customStyle="1" w:styleId="Bullet2">
    <w:name w:val="Bullet 2"/>
    <w:basedOn w:val="Bullet1"/>
    <w:qFormat/>
    <w:rsid w:val="00D12FB5"/>
    <w:pPr>
      <w:numPr>
        <w:ilvl w:val="1"/>
      </w:numPr>
    </w:pPr>
  </w:style>
  <w:style w:type="paragraph" w:customStyle="1" w:styleId="Bullet3">
    <w:name w:val="Bullet 3"/>
    <w:basedOn w:val="Bullet2"/>
    <w:qFormat/>
    <w:rsid w:val="00D12FB5"/>
    <w:pPr>
      <w:numPr>
        <w:ilvl w:val="2"/>
      </w:numPr>
    </w:pPr>
  </w:style>
  <w:style w:type="paragraph" w:customStyle="1" w:styleId="NumberedList1">
    <w:name w:val="Numbered List 1"/>
    <w:basedOn w:val="Normal"/>
    <w:qFormat/>
    <w:rsid w:val="00D12FB5"/>
    <w:pPr>
      <w:numPr>
        <w:numId w:val="13"/>
      </w:numPr>
      <w:ind w:left="397" w:hanging="397"/>
    </w:pPr>
  </w:style>
  <w:style w:type="paragraph" w:customStyle="1" w:styleId="NumberedList2">
    <w:name w:val="Numbered List 2"/>
    <w:basedOn w:val="NumberedList1"/>
    <w:qFormat/>
    <w:rsid w:val="00D12FB5"/>
    <w:pPr>
      <w:numPr>
        <w:ilvl w:val="1"/>
      </w:numPr>
      <w:spacing w:before="120"/>
      <w:ind w:left="681" w:hanging="397"/>
    </w:pPr>
  </w:style>
  <w:style w:type="paragraph" w:customStyle="1" w:styleId="NumberedList3">
    <w:name w:val="Numbered List 3"/>
    <w:basedOn w:val="NumberedList2"/>
    <w:qFormat/>
    <w:rsid w:val="00D12FB5"/>
    <w:pPr>
      <w:numPr>
        <w:ilvl w:val="2"/>
      </w:numPr>
      <w:ind w:left="964" w:hanging="397"/>
    </w:pPr>
  </w:style>
  <w:style w:type="paragraph" w:customStyle="1" w:styleId="Heading1Numbered">
    <w:name w:val="Heading 1 Numbered"/>
    <w:basedOn w:val="Heading1"/>
    <w:next w:val="Normal"/>
    <w:qFormat/>
    <w:rsid w:val="00D12FB5"/>
    <w:pPr>
      <w:numPr>
        <w:numId w:val="12"/>
      </w:numPr>
    </w:pPr>
  </w:style>
  <w:style w:type="paragraph" w:customStyle="1" w:styleId="Heading2Numbered">
    <w:name w:val="Heading 2 Numbered"/>
    <w:basedOn w:val="Heading2"/>
    <w:next w:val="Normal"/>
    <w:qFormat/>
    <w:rsid w:val="00D12FB5"/>
    <w:pPr>
      <w:numPr>
        <w:ilvl w:val="1"/>
        <w:numId w:val="12"/>
      </w:numPr>
      <w:ind w:left="851" w:hanging="851"/>
    </w:pPr>
    <w:rPr>
      <w:bCs/>
    </w:rPr>
  </w:style>
  <w:style w:type="paragraph" w:customStyle="1" w:styleId="Heading3Numbered">
    <w:name w:val="Heading 3 Numbered"/>
    <w:basedOn w:val="Heading3"/>
    <w:next w:val="Normal"/>
    <w:qFormat/>
    <w:rsid w:val="00D12FB5"/>
    <w:pPr>
      <w:numPr>
        <w:ilvl w:val="2"/>
        <w:numId w:val="12"/>
      </w:numPr>
    </w:pPr>
    <w:rPr>
      <w:szCs w:val="22"/>
    </w:rPr>
  </w:style>
  <w:style w:type="numbering" w:customStyle="1" w:styleId="BulletsList">
    <w:name w:val="Bullets List"/>
    <w:uiPriority w:val="99"/>
    <w:rsid w:val="00D12FB5"/>
    <w:pPr>
      <w:numPr>
        <w:numId w:val="19"/>
      </w:numPr>
    </w:pPr>
  </w:style>
  <w:style w:type="numbering" w:customStyle="1" w:styleId="Numberedlist">
    <w:name w:val="Numbered list"/>
    <w:uiPriority w:val="99"/>
    <w:rsid w:val="00D12FB5"/>
    <w:pPr>
      <w:numPr>
        <w:numId w:val="17"/>
      </w:numPr>
    </w:pPr>
  </w:style>
  <w:style w:type="numbering" w:customStyle="1" w:styleId="HeadingsList">
    <w:name w:val="Headings List"/>
    <w:uiPriority w:val="99"/>
    <w:rsid w:val="00D12FB5"/>
    <w:pPr>
      <w:numPr>
        <w:numId w:val="18"/>
      </w:numPr>
    </w:pPr>
  </w:style>
  <w:style w:type="table" w:styleId="PlainTable2">
    <w:name w:val="Plain Table 2"/>
    <w:basedOn w:val="TableNormal"/>
    <w:uiPriority w:val="42"/>
    <w:rsid w:val="00D12F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D12FB5"/>
    <w:pPr>
      <w:contextualSpacing w:val="0"/>
      <w:outlineLvl w:val="9"/>
    </w:pPr>
    <w:rPr>
      <w:bCs w:val="0"/>
      <w:szCs w:val="32"/>
      <w:lang w:val="en-US"/>
    </w:rPr>
  </w:style>
  <w:style w:type="character" w:customStyle="1" w:styleId="Heading4Char">
    <w:name w:val="Heading 4 Char"/>
    <w:basedOn w:val="DefaultParagraphFont"/>
    <w:link w:val="Heading4"/>
    <w:uiPriority w:val="9"/>
    <w:rsid w:val="00D12FB5"/>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D12FB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D12FB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D12FB5"/>
    <w:pPr>
      <w:tabs>
        <w:tab w:val="left" w:pos="1134"/>
        <w:tab w:val="right" w:pos="9072"/>
      </w:tabs>
      <w:spacing w:before="60"/>
      <w:ind w:left="1134" w:hanging="680"/>
    </w:pPr>
  </w:style>
  <w:style w:type="paragraph" w:styleId="Header">
    <w:name w:val="header"/>
    <w:basedOn w:val="Normal"/>
    <w:link w:val="HeaderChar"/>
    <w:uiPriority w:val="99"/>
    <w:unhideWhenUsed/>
    <w:rsid w:val="00D12FB5"/>
    <w:pPr>
      <w:tabs>
        <w:tab w:val="center" w:pos="4513"/>
        <w:tab w:val="right" w:pos="9026"/>
      </w:tabs>
      <w:spacing w:after="0" w:line="180" w:lineRule="atLeast"/>
      <w:jc w:val="right"/>
    </w:pPr>
    <w:rPr>
      <w:sz w:val="14"/>
    </w:rPr>
  </w:style>
  <w:style w:type="paragraph" w:styleId="TOC4">
    <w:name w:val="toc 4"/>
    <w:basedOn w:val="Normal"/>
    <w:next w:val="Normal"/>
    <w:autoRedefine/>
    <w:uiPriority w:val="39"/>
    <w:unhideWhenUsed/>
    <w:rsid w:val="00D12FB5"/>
    <w:pPr>
      <w:spacing w:after="100"/>
      <w:ind w:left="660"/>
    </w:pPr>
    <w:rPr>
      <w:rFonts w:eastAsiaTheme="minorEastAsia"/>
      <w:lang w:eastAsia="en-AU"/>
    </w:rPr>
  </w:style>
  <w:style w:type="paragraph" w:styleId="TOC5">
    <w:name w:val="toc 5"/>
    <w:basedOn w:val="Normal"/>
    <w:next w:val="Normal"/>
    <w:autoRedefine/>
    <w:uiPriority w:val="39"/>
    <w:unhideWhenUsed/>
    <w:rsid w:val="00D12FB5"/>
    <w:pPr>
      <w:spacing w:after="100"/>
      <w:ind w:left="880"/>
    </w:pPr>
    <w:rPr>
      <w:rFonts w:eastAsiaTheme="minorEastAsia"/>
      <w:lang w:eastAsia="en-AU"/>
    </w:rPr>
  </w:style>
  <w:style w:type="paragraph" w:styleId="TOC6">
    <w:name w:val="toc 6"/>
    <w:basedOn w:val="Normal"/>
    <w:next w:val="Normal"/>
    <w:autoRedefine/>
    <w:uiPriority w:val="39"/>
    <w:unhideWhenUsed/>
    <w:rsid w:val="00D12FB5"/>
    <w:pPr>
      <w:spacing w:after="100"/>
      <w:ind w:left="1100"/>
    </w:pPr>
    <w:rPr>
      <w:rFonts w:eastAsiaTheme="minorEastAsia"/>
      <w:lang w:eastAsia="en-AU"/>
    </w:rPr>
  </w:style>
  <w:style w:type="paragraph" w:styleId="TOC7">
    <w:name w:val="toc 7"/>
    <w:basedOn w:val="Normal"/>
    <w:next w:val="Normal"/>
    <w:autoRedefine/>
    <w:uiPriority w:val="39"/>
    <w:unhideWhenUsed/>
    <w:rsid w:val="00D12FB5"/>
    <w:pPr>
      <w:spacing w:after="100"/>
      <w:ind w:left="1320"/>
    </w:pPr>
    <w:rPr>
      <w:rFonts w:eastAsiaTheme="minorEastAsia"/>
      <w:lang w:eastAsia="en-AU"/>
    </w:rPr>
  </w:style>
  <w:style w:type="numbering" w:customStyle="1" w:styleId="TableHeadingNumbers">
    <w:name w:val="Table Heading Numbers"/>
    <w:uiPriority w:val="99"/>
    <w:rsid w:val="00D12FB5"/>
    <w:pPr>
      <w:numPr>
        <w:numId w:val="1"/>
      </w:numPr>
    </w:pPr>
  </w:style>
  <w:style w:type="paragraph" w:styleId="TOC8">
    <w:name w:val="toc 8"/>
    <w:basedOn w:val="Normal"/>
    <w:next w:val="Normal"/>
    <w:autoRedefine/>
    <w:uiPriority w:val="39"/>
    <w:unhideWhenUsed/>
    <w:rsid w:val="00D12FB5"/>
    <w:pPr>
      <w:spacing w:after="100"/>
      <w:ind w:left="1540"/>
    </w:pPr>
    <w:rPr>
      <w:rFonts w:eastAsiaTheme="minorEastAsia"/>
      <w:lang w:eastAsia="en-AU"/>
    </w:rPr>
  </w:style>
  <w:style w:type="paragraph" w:styleId="TOC9">
    <w:name w:val="toc 9"/>
    <w:basedOn w:val="Normal"/>
    <w:next w:val="Normal"/>
    <w:autoRedefine/>
    <w:uiPriority w:val="39"/>
    <w:unhideWhenUsed/>
    <w:rsid w:val="00D12FB5"/>
    <w:pPr>
      <w:spacing w:after="100"/>
      <w:ind w:left="1760"/>
    </w:pPr>
    <w:rPr>
      <w:rFonts w:eastAsiaTheme="minorEastAsia"/>
      <w:lang w:eastAsia="en-AU"/>
    </w:rPr>
  </w:style>
  <w:style w:type="paragraph" w:styleId="TableofFigures">
    <w:name w:val="table of figures"/>
    <w:basedOn w:val="Normal"/>
    <w:next w:val="Normal"/>
    <w:uiPriority w:val="99"/>
    <w:unhideWhenUsed/>
    <w:rsid w:val="00D12FB5"/>
    <w:pPr>
      <w:spacing w:after="0"/>
      <w:ind w:left="907" w:hanging="907"/>
    </w:pPr>
  </w:style>
  <w:style w:type="paragraph" w:customStyle="1" w:styleId="IntroPara">
    <w:name w:val="Intro Para"/>
    <w:basedOn w:val="Normal"/>
    <w:qFormat/>
    <w:rsid w:val="00D12FB5"/>
    <w:pPr>
      <w:pBdr>
        <w:bottom w:val="single" w:sz="4" w:space="6" w:color="FCD9CC"/>
      </w:pBdr>
    </w:pPr>
    <w:rPr>
      <w:sz w:val="24"/>
    </w:rPr>
  </w:style>
  <w:style w:type="table" w:styleId="TableGrid">
    <w:name w:val="Table Grid"/>
    <w:basedOn w:val="TableNormal"/>
    <w:uiPriority w:val="59"/>
    <w:rsid w:val="00D1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12FB5"/>
    <w:rPr>
      <w:sz w:val="14"/>
    </w:rPr>
  </w:style>
  <w:style w:type="numbering" w:customStyle="1" w:styleId="FigureTitles">
    <w:name w:val="Figure Titles"/>
    <w:uiPriority w:val="99"/>
    <w:rsid w:val="00D12FB5"/>
    <w:pPr>
      <w:numPr>
        <w:numId w:val="2"/>
      </w:numPr>
    </w:pPr>
  </w:style>
  <w:style w:type="character" w:styleId="Hyperlink">
    <w:name w:val="Hyperlink"/>
    <w:basedOn w:val="DefaultParagraphFont"/>
    <w:uiPriority w:val="99"/>
    <w:rsid w:val="00D12FB5"/>
    <w:rPr>
      <w:rFonts w:asciiTheme="minorHAnsi" w:hAnsiTheme="minorHAnsi" w:cs="MuseoSans-500"/>
      <w:color w:val="auto"/>
      <w:u w:val="single" w:color="0070C0"/>
    </w:rPr>
  </w:style>
  <w:style w:type="character" w:styleId="IntenseEmphasis">
    <w:name w:val="Intense Emphasis"/>
    <w:basedOn w:val="DefaultParagraphFont"/>
    <w:uiPriority w:val="21"/>
    <w:qFormat/>
    <w:rsid w:val="00D12FB5"/>
    <w:rPr>
      <w:b/>
      <w:i/>
      <w:iCs/>
      <w:color w:val="auto"/>
    </w:rPr>
  </w:style>
  <w:style w:type="character" w:styleId="Strong">
    <w:name w:val="Strong"/>
    <w:basedOn w:val="DefaultParagraphFont"/>
    <w:uiPriority w:val="22"/>
    <w:qFormat/>
    <w:rsid w:val="00D12FB5"/>
    <w:rPr>
      <w:b/>
      <w:bCs/>
    </w:rPr>
  </w:style>
  <w:style w:type="character" w:styleId="Emphasis">
    <w:name w:val="Emphasis"/>
    <w:basedOn w:val="DefaultParagraphFont"/>
    <w:uiPriority w:val="20"/>
    <w:qFormat/>
    <w:rsid w:val="00D12FB5"/>
    <w:rPr>
      <w:i/>
      <w:iCs/>
    </w:rPr>
  </w:style>
  <w:style w:type="character" w:customStyle="1" w:styleId="Heading5Char">
    <w:name w:val="Heading 5 Char"/>
    <w:basedOn w:val="DefaultParagraphFont"/>
    <w:link w:val="Heading5"/>
    <w:uiPriority w:val="9"/>
    <w:semiHidden/>
    <w:rsid w:val="00D12FB5"/>
    <w:rPr>
      <w:rFonts w:asciiTheme="majorHAnsi" w:eastAsiaTheme="majorEastAsia" w:hAnsiTheme="majorHAnsi" w:cstheme="majorBidi"/>
      <w:bCs/>
      <w:i/>
      <w:iCs/>
      <w:color w:val="50A9B6" w:themeColor="accent1" w:themeShade="BF"/>
      <w:szCs w:val="26"/>
    </w:rPr>
  </w:style>
  <w:style w:type="paragraph" w:styleId="Caption">
    <w:name w:val="caption"/>
    <w:basedOn w:val="Normal"/>
    <w:next w:val="Normal"/>
    <w:uiPriority w:val="35"/>
    <w:unhideWhenUsed/>
    <w:qFormat/>
    <w:rsid w:val="00D12FB5"/>
    <w:pPr>
      <w:spacing w:before="200" w:after="120"/>
    </w:pPr>
    <w:rPr>
      <w:b/>
      <w:iCs/>
      <w:color w:val="000000" w:themeColor="text1"/>
      <w:szCs w:val="18"/>
    </w:rPr>
  </w:style>
  <w:style w:type="paragraph" w:styleId="Footer">
    <w:name w:val="footer"/>
    <w:basedOn w:val="Normal"/>
    <w:link w:val="FooterChar"/>
    <w:uiPriority w:val="99"/>
    <w:unhideWhenUsed/>
    <w:rsid w:val="00D12FB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D12FB5"/>
    <w:rPr>
      <w:sz w:val="14"/>
    </w:rPr>
  </w:style>
  <w:style w:type="character" w:customStyle="1" w:styleId="Heading6Char">
    <w:name w:val="Heading 6 Char"/>
    <w:basedOn w:val="DefaultParagraphFont"/>
    <w:link w:val="Heading6"/>
    <w:uiPriority w:val="9"/>
    <w:semiHidden/>
    <w:rsid w:val="00D12FB5"/>
    <w:rPr>
      <w:rFonts w:asciiTheme="majorHAnsi" w:eastAsiaTheme="majorEastAsia" w:hAnsiTheme="majorHAnsi" w:cstheme="majorBidi"/>
      <w:bCs/>
      <w:i/>
      <w:iCs/>
      <w:color w:val="33727B" w:themeColor="accent1" w:themeShade="7F"/>
      <w:szCs w:val="26"/>
    </w:rPr>
  </w:style>
  <w:style w:type="character" w:customStyle="1" w:styleId="Heading7Char">
    <w:name w:val="Heading 7 Char"/>
    <w:basedOn w:val="DefaultParagraphFont"/>
    <w:link w:val="Heading7"/>
    <w:uiPriority w:val="9"/>
    <w:semiHidden/>
    <w:rsid w:val="00D12FB5"/>
    <w:rPr>
      <w:rFonts w:asciiTheme="majorHAnsi" w:eastAsiaTheme="majorEastAsia" w:hAnsiTheme="majorHAnsi" w:cstheme="majorBidi"/>
      <w:bCs/>
      <w:color w:val="33727B" w:themeColor="accent1" w:themeShade="7F"/>
      <w:szCs w:val="26"/>
    </w:rPr>
  </w:style>
  <w:style w:type="character" w:customStyle="1" w:styleId="Heading8Char">
    <w:name w:val="Heading 8 Char"/>
    <w:basedOn w:val="DefaultParagraphFont"/>
    <w:link w:val="Heading8"/>
    <w:uiPriority w:val="9"/>
    <w:semiHidden/>
    <w:rsid w:val="00D12FB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D12FB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link w:val="Boxed1TextChar"/>
    <w:qFormat/>
    <w:rsid w:val="00D12FB5"/>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D12FB5"/>
    <w:rPr>
      <w:b/>
      <w:sz w:val="24"/>
    </w:rPr>
  </w:style>
  <w:style w:type="paragraph" w:customStyle="1" w:styleId="Boxed2Text">
    <w:name w:val="Boxed 2 Text"/>
    <w:basedOn w:val="Boxed1Text"/>
    <w:qFormat/>
    <w:rsid w:val="00D12FB5"/>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D12FB5"/>
    <w:rPr>
      <w:b/>
      <w:sz w:val="24"/>
    </w:rPr>
  </w:style>
  <w:style w:type="character" w:styleId="PageNumber">
    <w:name w:val="page number"/>
    <w:basedOn w:val="DefaultParagraphFont"/>
    <w:uiPriority w:val="99"/>
    <w:unhideWhenUsed/>
    <w:rsid w:val="00D12FB5"/>
  </w:style>
  <w:style w:type="table" w:styleId="TableGridLight">
    <w:name w:val="Grid Table Light"/>
    <w:basedOn w:val="TableNormal"/>
    <w:uiPriority w:val="40"/>
    <w:rsid w:val="00D12F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DC64C1"/>
    <w:pPr>
      <w:suppressAutoHyphens/>
      <w:spacing w:before="180" w:after="60" w:line="280" w:lineRule="atLeast"/>
    </w:pPr>
  </w:style>
  <w:style w:type="paragraph" w:customStyle="1" w:styleId="TableSourceNotes">
    <w:name w:val="Table Source Notes"/>
    <w:basedOn w:val="TableText"/>
    <w:qFormat/>
    <w:rsid w:val="00D12FB5"/>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D12FB5"/>
    <w:pPr>
      <w:spacing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D12FB5"/>
    <w:rPr>
      <w:sz w:val="16"/>
      <w:szCs w:val="20"/>
    </w:rPr>
  </w:style>
  <w:style w:type="character" w:styleId="FootnoteReference">
    <w:name w:val="footnote reference"/>
    <w:basedOn w:val="DefaultParagraphFont"/>
    <w:uiPriority w:val="99"/>
    <w:semiHidden/>
    <w:unhideWhenUsed/>
    <w:rsid w:val="00D12FB5"/>
    <w:rPr>
      <w:vertAlign w:val="superscript"/>
    </w:rPr>
  </w:style>
  <w:style w:type="paragraph" w:customStyle="1" w:styleId="FootnoteSeparator">
    <w:name w:val="Footnote Separator"/>
    <w:basedOn w:val="Normal"/>
    <w:qFormat/>
    <w:rsid w:val="00D12FB5"/>
    <w:pPr>
      <w:pBdr>
        <w:top w:val="single" w:sz="2" w:space="1" w:color="50A9B6" w:themeColor="accent1" w:themeShade="BF"/>
      </w:pBdr>
      <w:spacing w:after="0" w:line="240" w:lineRule="auto"/>
    </w:pPr>
  </w:style>
  <w:style w:type="character" w:styleId="PlaceholderText">
    <w:name w:val="Placeholder Text"/>
    <w:basedOn w:val="DefaultParagraphFont"/>
    <w:uiPriority w:val="99"/>
    <w:semiHidden/>
    <w:rsid w:val="00D12FB5"/>
    <w:rPr>
      <w:color w:val="808080"/>
    </w:rPr>
  </w:style>
  <w:style w:type="character" w:customStyle="1" w:styleId="Classification">
    <w:name w:val="Classification"/>
    <w:basedOn w:val="DefaultParagraphFont"/>
    <w:uiPriority w:val="1"/>
    <w:qFormat/>
    <w:rsid w:val="00D12FB5"/>
    <w:rPr>
      <w:b/>
      <w:caps/>
      <w:smallCaps w:val="0"/>
      <w:sz w:val="24"/>
    </w:rPr>
  </w:style>
  <w:style w:type="paragraph" w:styleId="ListParagraph">
    <w:name w:val="List Paragraph"/>
    <w:basedOn w:val="Normal"/>
    <w:link w:val="ListParagraphChar"/>
    <w:uiPriority w:val="34"/>
    <w:qFormat/>
    <w:rsid w:val="00D12FB5"/>
    <w:pPr>
      <w:ind w:left="720"/>
      <w:contextualSpacing/>
    </w:pPr>
  </w:style>
  <w:style w:type="table" w:customStyle="1" w:styleId="CET1">
    <w:name w:val="CET 1"/>
    <w:basedOn w:val="TableNormal"/>
    <w:uiPriority w:val="99"/>
    <w:rsid w:val="00D12FB5"/>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headertext">
    <w:name w:val="Table header text"/>
    <w:basedOn w:val="Normal"/>
    <w:link w:val="TableheadertextChar"/>
    <w:qFormat/>
    <w:rsid w:val="005D6A96"/>
    <w:pPr>
      <w:suppressAutoHyphens/>
      <w:spacing w:before="180" w:after="60" w:line="280" w:lineRule="atLeast"/>
    </w:pPr>
    <w:rPr>
      <w:kern w:val="0"/>
      <w:szCs w:val="22"/>
      <w14:ligatures w14:val="none"/>
    </w:rPr>
  </w:style>
  <w:style w:type="character" w:customStyle="1" w:styleId="TableheadertextChar">
    <w:name w:val="Table header text Char"/>
    <w:basedOn w:val="DefaultParagraphFont"/>
    <w:link w:val="Tableheadertext"/>
    <w:rsid w:val="005D6A96"/>
  </w:style>
  <w:style w:type="paragraph" w:customStyle="1" w:styleId="Tablebodytext">
    <w:name w:val="Table body text"/>
    <w:basedOn w:val="Normal"/>
    <w:link w:val="TablebodytextChar"/>
    <w:qFormat/>
    <w:rsid w:val="00D12FB5"/>
    <w:pPr>
      <w:keepNext/>
      <w:keepLines/>
      <w:spacing w:before="60" w:line="240" w:lineRule="auto"/>
    </w:pPr>
    <w:rPr>
      <w:rFonts w:ascii="Arial" w:hAnsi="Arial" w:cs="Arial"/>
      <w:color w:val="373737"/>
      <w:sz w:val="18"/>
      <w:szCs w:val="18"/>
    </w:rPr>
  </w:style>
  <w:style w:type="character" w:customStyle="1" w:styleId="TablebodytextChar">
    <w:name w:val="Table body text Char"/>
    <w:basedOn w:val="DefaultParagraphFont"/>
    <w:link w:val="Tablebodytext"/>
    <w:rsid w:val="00D12FB5"/>
    <w:rPr>
      <w:rFonts w:ascii="Arial" w:hAnsi="Arial" w:cs="Arial"/>
      <w:color w:val="373737"/>
      <w:sz w:val="18"/>
      <w:szCs w:val="18"/>
    </w:rPr>
  </w:style>
  <w:style w:type="character" w:styleId="CommentReference">
    <w:name w:val="annotation reference"/>
    <w:basedOn w:val="DefaultParagraphFont"/>
    <w:uiPriority w:val="99"/>
    <w:semiHidden/>
    <w:unhideWhenUsed/>
    <w:rsid w:val="00D12FB5"/>
    <w:rPr>
      <w:sz w:val="16"/>
      <w:szCs w:val="16"/>
    </w:rPr>
  </w:style>
  <w:style w:type="paragraph" w:styleId="CommentText">
    <w:name w:val="annotation text"/>
    <w:basedOn w:val="Normal"/>
    <w:link w:val="CommentTextChar"/>
    <w:uiPriority w:val="99"/>
    <w:unhideWhenUsed/>
    <w:rsid w:val="00D12FB5"/>
    <w:pPr>
      <w:spacing w:line="240" w:lineRule="auto"/>
    </w:pPr>
    <w:rPr>
      <w:sz w:val="20"/>
      <w:szCs w:val="20"/>
    </w:rPr>
  </w:style>
  <w:style w:type="character" w:customStyle="1" w:styleId="CommentTextChar">
    <w:name w:val="Comment Text Char"/>
    <w:basedOn w:val="DefaultParagraphFont"/>
    <w:link w:val="CommentText"/>
    <w:uiPriority w:val="99"/>
    <w:rsid w:val="00D12FB5"/>
    <w:rPr>
      <w:sz w:val="20"/>
      <w:szCs w:val="20"/>
    </w:rPr>
  </w:style>
  <w:style w:type="paragraph" w:styleId="CommentSubject">
    <w:name w:val="annotation subject"/>
    <w:basedOn w:val="CommentText"/>
    <w:next w:val="CommentText"/>
    <w:link w:val="CommentSubjectChar"/>
    <w:uiPriority w:val="99"/>
    <w:semiHidden/>
    <w:unhideWhenUsed/>
    <w:rsid w:val="00D12FB5"/>
    <w:rPr>
      <w:b/>
      <w:bCs/>
    </w:rPr>
  </w:style>
  <w:style w:type="character" w:customStyle="1" w:styleId="CommentSubjectChar">
    <w:name w:val="Comment Subject Char"/>
    <w:basedOn w:val="CommentTextChar"/>
    <w:link w:val="CommentSubject"/>
    <w:uiPriority w:val="99"/>
    <w:semiHidden/>
    <w:rsid w:val="00D12FB5"/>
    <w:rPr>
      <w:b/>
      <w:bCs/>
      <w:sz w:val="20"/>
      <w:szCs w:val="20"/>
    </w:rPr>
  </w:style>
  <w:style w:type="paragraph" w:styleId="BalloonText">
    <w:name w:val="Balloon Text"/>
    <w:basedOn w:val="Normal"/>
    <w:link w:val="BalloonTextChar"/>
    <w:uiPriority w:val="99"/>
    <w:semiHidden/>
    <w:unhideWhenUsed/>
    <w:rsid w:val="00D1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FB5"/>
    <w:rPr>
      <w:rFonts w:ascii="Segoe UI" w:hAnsi="Segoe UI" w:cs="Segoe UI"/>
      <w:sz w:val="18"/>
      <w:szCs w:val="18"/>
    </w:rPr>
  </w:style>
  <w:style w:type="paragraph" w:styleId="Revision">
    <w:name w:val="Revision"/>
    <w:hidden/>
    <w:uiPriority w:val="99"/>
    <w:semiHidden/>
    <w:rsid w:val="00D12FB5"/>
    <w:pPr>
      <w:spacing w:after="0" w:line="240" w:lineRule="auto"/>
    </w:pPr>
  </w:style>
  <w:style w:type="character" w:styleId="UnresolvedMention">
    <w:name w:val="Unresolved Mention"/>
    <w:basedOn w:val="DefaultParagraphFont"/>
    <w:uiPriority w:val="99"/>
    <w:semiHidden/>
    <w:unhideWhenUsed/>
    <w:rsid w:val="00D12FB5"/>
    <w:rPr>
      <w:color w:val="605E5C"/>
      <w:shd w:val="clear" w:color="auto" w:fill="E1DFDD"/>
    </w:rPr>
  </w:style>
  <w:style w:type="table" w:styleId="LightList-Accent6">
    <w:name w:val="Light List Accent 6"/>
    <w:basedOn w:val="TableNormal"/>
    <w:uiPriority w:val="61"/>
    <w:rsid w:val="00D12FB5"/>
    <w:pPr>
      <w:spacing w:after="0" w:line="240" w:lineRule="auto"/>
    </w:pPr>
    <w:rPr>
      <w:lang w:val="en-GB"/>
    </w:rPr>
    <w:tblPr>
      <w:tblStyleRowBandSize w:val="1"/>
      <w:tblStyleColBandSize w:val="1"/>
      <w:tblBorders>
        <w:top w:val="single" w:sz="8" w:space="0" w:color="F15A22" w:themeColor="accent6"/>
        <w:left w:val="single" w:sz="8" w:space="0" w:color="F15A22" w:themeColor="accent6"/>
        <w:bottom w:val="single" w:sz="8" w:space="0" w:color="F15A22" w:themeColor="accent6"/>
        <w:right w:val="single" w:sz="8" w:space="0" w:color="F15A22" w:themeColor="accent6"/>
      </w:tblBorders>
    </w:tblPr>
    <w:tblStylePr w:type="firstRow">
      <w:pPr>
        <w:spacing w:before="0" w:after="0" w:line="240" w:lineRule="auto"/>
      </w:pPr>
      <w:rPr>
        <w:b/>
        <w:bCs/>
        <w:color w:val="FFFFFF" w:themeColor="background1"/>
      </w:rPr>
      <w:tblPr/>
      <w:tcPr>
        <w:shd w:val="clear" w:color="auto" w:fill="F15A22" w:themeFill="accent6"/>
      </w:tcPr>
    </w:tblStylePr>
    <w:tblStylePr w:type="lastRow">
      <w:pPr>
        <w:spacing w:before="0" w:after="0" w:line="240" w:lineRule="auto"/>
      </w:pPr>
      <w:rPr>
        <w:b/>
        <w:bCs/>
      </w:rPr>
      <w:tblPr/>
      <w:tcPr>
        <w:tcBorders>
          <w:top w:val="double" w:sz="6" w:space="0" w:color="F15A22" w:themeColor="accent6"/>
          <w:left w:val="single" w:sz="8" w:space="0" w:color="F15A22" w:themeColor="accent6"/>
          <w:bottom w:val="single" w:sz="8" w:space="0" w:color="F15A22" w:themeColor="accent6"/>
          <w:right w:val="single" w:sz="8" w:space="0" w:color="F15A22" w:themeColor="accent6"/>
        </w:tcBorders>
      </w:tcPr>
    </w:tblStylePr>
    <w:tblStylePr w:type="firstCol">
      <w:rPr>
        <w:b/>
        <w:bCs/>
      </w:rPr>
    </w:tblStylePr>
    <w:tblStylePr w:type="lastCol">
      <w:rPr>
        <w:b/>
        <w:bCs/>
      </w:rPr>
    </w:tblStylePr>
    <w:tblStylePr w:type="band1Vert">
      <w:tblPr/>
      <w:tcPr>
        <w:tcBorders>
          <w:top w:val="single" w:sz="8" w:space="0" w:color="F15A22" w:themeColor="accent6"/>
          <w:left w:val="single" w:sz="8" w:space="0" w:color="F15A22" w:themeColor="accent6"/>
          <w:bottom w:val="single" w:sz="8" w:space="0" w:color="F15A22" w:themeColor="accent6"/>
          <w:right w:val="single" w:sz="8" w:space="0" w:color="F15A22" w:themeColor="accent6"/>
        </w:tcBorders>
      </w:tcPr>
    </w:tblStylePr>
    <w:tblStylePr w:type="band1Horz">
      <w:tblPr/>
      <w:tcPr>
        <w:tcBorders>
          <w:top w:val="single" w:sz="8" w:space="0" w:color="F15A22" w:themeColor="accent6"/>
          <w:left w:val="single" w:sz="8" w:space="0" w:color="F15A22" w:themeColor="accent6"/>
          <w:bottom w:val="single" w:sz="8" w:space="0" w:color="F15A22" w:themeColor="accent6"/>
          <w:right w:val="single" w:sz="8" w:space="0" w:color="F15A22" w:themeColor="accent6"/>
        </w:tcBorders>
      </w:tcPr>
    </w:tblStylePr>
  </w:style>
  <w:style w:type="character" w:customStyle="1" w:styleId="ListParagraphChar">
    <w:name w:val="List Paragraph Char"/>
    <w:basedOn w:val="DefaultParagraphFont"/>
    <w:link w:val="ListParagraph"/>
    <w:uiPriority w:val="34"/>
    <w:rsid w:val="00D12FB5"/>
  </w:style>
  <w:style w:type="paragraph" w:customStyle="1" w:styleId="Bullet">
    <w:name w:val="Bullet"/>
    <w:basedOn w:val="Normal"/>
    <w:link w:val="BulletChar"/>
    <w:rsid w:val="00D12FB5"/>
    <w:pPr>
      <w:numPr>
        <w:numId w:val="3"/>
      </w:numPr>
    </w:pPr>
    <w:rPr>
      <w:color w:val="000000" w:themeColor="text1"/>
    </w:rPr>
  </w:style>
  <w:style w:type="character" w:customStyle="1" w:styleId="Boxed1TextChar">
    <w:name w:val="Boxed 1 Text Char"/>
    <w:basedOn w:val="DefaultParagraphFont"/>
    <w:link w:val="Boxed1Text"/>
    <w:rsid w:val="00D12FB5"/>
    <w:rPr>
      <w:shd w:val="clear" w:color="auto" w:fill="FCD9CC"/>
    </w:rPr>
  </w:style>
  <w:style w:type="character" w:customStyle="1" w:styleId="BulletChar">
    <w:name w:val="Bullet Char"/>
    <w:basedOn w:val="Boxed1TextChar"/>
    <w:link w:val="Bullet"/>
    <w:rsid w:val="00D12FB5"/>
    <w:rPr>
      <w:color w:val="000000" w:themeColor="text1"/>
      <w:shd w:val="clear" w:color="auto" w:fill="FCD9CC"/>
    </w:rPr>
  </w:style>
  <w:style w:type="paragraph" w:customStyle="1" w:styleId="Dash">
    <w:name w:val="Dash"/>
    <w:basedOn w:val="Normal"/>
    <w:link w:val="DashChar"/>
    <w:rsid w:val="00D12FB5"/>
    <w:pPr>
      <w:numPr>
        <w:ilvl w:val="1"/>
        <w:numId w:val="3"/>
      </w:numPr>
      <w:jc w:val="both"/>
    </w:pPr>
    <w:rPr>
      <w:color w:val="FF0000"/>
    </w:rPr>
  </w:style>
  <w:style w:type="character" w:customStyle="1" w:styleId="DashChar">
    <w:name w:val="Dash Char"/>
    <w:basedOn w:val="Boxed1TextChar"/>
    <w:link w:val="Dash"/>
    <w:rsid w:val="00D12FB5"/>
    <w:rPr>
      <w:color w:val="FF0000"/>
      <w:shd w:val="clear" w:color="auto" w:fill="FCD9CC"/>
    </w:rPr>
  </w:style>
  <w:style w:type="paragraph" w:customStyle="1" w:styleId="DoubleDot">
    <w:name w:val="Double Dot"/>
    <w:basedOn w:val="Normal"/>
    <w:link w:val="DoubleDotChar"/>
    <w:rsid w:val="00D12FB5"/>
    <w:pPr>
      <w:numPr>
        <w:ilvl w:val="2"/>
        <w:numId w:val="3"/>
      </w:numPr>
      <w:jc w:val="both"/>
    </w:pPr>
    <w:rPr>
      <w:color w:val="FF0000"/>
    </w:rPr>
  </w:style>
  <w:style w:type="character" w:customStyle="1" w:styleId="DoubleDotChar">
    <w:name w:val="Double Dot Char"/>
    <w:basedOn w:val="Boxed1TextChar"/>
    <w:link w:val="DoubleDot"/>
    <w:rsid w:val="00D12FB5"/>
    <w:rPr>
      <w:color w:val="FF0000"/>
      <w:shd w:val="clear" w:color="auto" w:fill="FCD9CC"/>
    </w:rPr>
  </w:style>
  <w:style w:type="paragraph" w:customStyle="1" w:styleId="Boxindent">
    <w:name w:val="Box indent"/>
    <w:basedOn w:val="Normal"/>
    <w:qFormat/>
    <w:rsid w:val="00D12FB5"/>
    <w:pPr>
      <w:ind w:left="284"/>
    </w:pPr>
  </w:style>
  <w:style w:type="paragraph" w:customStyle="1" w:styleId="Continued">
    <w:name w:val="Continued"/>
    <w:basedOn w:val="Normal"/>
    <w:qFormat/>
    <w:rsid w:val="00D12FB5"/>
    <w:pPr>
      <w:jc w:val="right"/>
    </w:pPr>
    <w:rPr>
      <w:i/>
      <w:iCs/>
      <w:sz w:val="18"/>
      <w:szCs w:val="18"/>
    </w:rPr>
  </w:style>
  <w:style w:type="paragraph" w:customStyle="1" w:styleId="Equation">
    <w:name w:val="Equation"/>
    <w:basedOn w:val="Boxindent"/>
    <w:qFormat/>
    <w:rsid w:val="00D12FB5"/>
    <w:pPr>
      <w:jc w:val="center"/>
    </w:pPr>
    <w:rPr>
      <w:rFonts w:ascii="Cambria Math" w:hAnsi="Cambria Math"/>
      <w:i/>
      <w:iCs/>
    </w:rPr>
  </w:style>
  <w:style w:type="character" w:styleId="Mention">
    <w:name w:val="Mention"/>
    <w:basedOn w:val="DefaultParagraphFont"/>
    <w:uiPriority w:val="99"/>
    <w:unhideWhenUsed/>
    <w:rsid w:val="00995960"/>
    <w:rPr>
      <w:color w:val="2B579A"/>
      <w:shd w:val="clear" w:color="auto" w:fill="E1DFDD"/>
    </w:rPr>
  </w:style>
  <w:style w:type="paragraph" w:styleId="NormalWeb">
    <w:name w:val="Normal (Web)"/>
    <w:basedOn w:val="Normal"/>
    <w:uiPriority w:val="99"/>
    <w:semiHidden/>
    <w:unhideWhenUsed/>
    <w:rsid w:val="000C7EC9"/>
    <w:pPr>
      <w:spacing w:before="100" w:beforeAutospacing="1" w:after="100" w:afterAutospacing="1" w:line="240" w:lineRule="auto"/>
    </w:pPr>
    <w:rPr>
      <w:rFonts w:ascii="Times New Roman" w:eastAsia="Times New Roman" w:hAnsi="Times New Roman" w:cs="Times New Roman"/>
      <w:sz w:val="24"/>
      <w:lang w:eastAsia="en-AU"/>
    </w:rPr>
  </w:style>
  <w:style w:type="paragraph" w:styleId="NoSpacing">
    <w:name w:val="No Spacing"/>
    <w:uiPriority w:val="1"/>
    <w:qFormat/>
    <w:rsid w:val="002A4981"/>
    <w:pPr>
      <w:spacing w:after="0" w:line="240" w:lineRule="auto"/>
    </w:pPr>
    <w:rPr>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199">
      <w:bodyDiv w:val="1"/>
      <w:marLeft w:val="0"/>
      <w:marRight w:val="0"/>
      <w:marTop w:val="0"/>
      <w:marBottom w:val="0"/>
      <w:divBdr>
        <w:top w:val="none" w:sz="0" w:space="0" w:color="auto"/>
        <w:left w:val="none" w:sz="0" w:space="0" w:color="auto"/>
        <w:bottom w:val="none" w:sz="0" w:space="0" w:color="auto"/>
        <w:right w:val="none" w:sz="0" w:space="0" w:color="auto"/>
      </w:divBdr>
    </w:div>
    <w:div w:id="159540890">
      <w:bodyDiv w:val="1"/>
      <w:marLeft w:val="0"/>
      <w:marRight w:val="0"/>
      <w:marTop w:val="0"/>
      <w:marBottom w:val="0"/>
      <w:divBdr>
        <w:top w:val="none" w:sz="0" w:space="0" w:color="auto"/>
        <w:left w:val="none" w:sz="0" w:space="0" w:color="auto"/>
        <w:bottom w:val="none" w:sz="0" w:space="0" w:color="auto"/>
        <w:right w:val="none" w:sz="0" w:space="0" w:color="auto"/>
      </w:divBdr>
      <w:divsChild>
        <w:div w:id="1448960951">
          <w:marLeft w:val="0"/>
          <w:marRight w:val="0"/>
          <w:marTop w:val="0"/>
          <w:marBottom w:val="0"/>
          <w:divBdr>
            <w:top w:val="none" w:sz="0" w:space="0" w:color="auto"/>
            <w:left w:val="none" w:sz="0" w:space="0" w:color="auto"/>
            <w:bottom w:val="none" w:sz="0" w:space="0" w:color="auto"/>
            <w:right w:val="none" w:sz="0" w:space="0" w:color="auto"/>
          </w:divBdr>
          <w:divsChild>
            <w:div w:id="1784500112">
              <w:marLeft w:val="0"/>
              <w:marRight w:val="0"/>
              <w:marTop w:val="0"/>
              <w:marBottom w:val="0"/>
              <w:divBdr>
                <w:top w:val="none" w:sz="0" w:space="0" w:color="auto"/>
                <w:left w:val="none" w:sz="0" w:space="0" w:color="auto"/>
                <w:bottom w:val="none" w:sz="0" w:space="0" w:color="auto"/>
                <w:right w:val="none" w:sz="0" w:space="0" w:color="auto"/>
              </w:divBdr>
              <w:divsChild>
                <w:div w:id="1089040171">
                  <w:marLeft w:val="0"/>
                  <w:marRight w:val="0"/>
                  <w:marTop w:val="0"/>
                  <w:marBottom w:val="0"/>
                  <w:divBdr>
                    <w:top w:val="none" w:sz="0" w:space="0" w:color="auto"/>
                    <w:left w:val="none" w:sz="0" w:space="0" w:color="auto"/>
                    <w:bottom w:val="none" w:sz="0" w:space="0" w:color="auto"/>
                    <w:right w:val="none" w:sz="0" w:space="0" w:color="auto"/>
                  </w:divBdr>
                  <w:divsChild>
                    <w:div w:id="225606002">
                      <w:marLeft w:val="0"/>
                      <w:marRight w:val="0"/>
                      <w:marTop w:val="0"/>
                      <w:marBottom w:val="0"/>
                      <w:divBdr>
                        <w:top w:val="none" w:sz="0" w:space="0" w:color="auto"/>
                        <w:left w:val="none" w:sz="0" w:space="0" w:color="auto"/>
                        <w:bottom w:val="none" w:sz="0" w:space="0" w:color="auto"/>
                        <w:right w:val="none" w:sz="0" w:space="0" w:color="auto"/>
                      </w:divBdr>
                      <w:divsChild>
                        <w:div w:id="1553493210">
                          <w:marLeft w:val="0"/>
                          <w:marRight w:val="0"/>
                          <w:marTop w:val="0"/>
                          <w:marBottom w:val="0"/>
                          <w:divBdr>
                            <w:top w:val="none" w:sz="0" w:space="0" w:color="auto"/>
                            <w:left w:val="none" w:sz="0" w:space="0" w:color="auto"/>
                            <w:bottom w:val="none" w:sz="0" w:space="0" w:color="auto"/>
                            <w:right w:val="none" w:sz="0" w:space="0" w:color="auto"/>
                          </w:divBdr>
                          <w:divsChild>
                            <w:div w:id="4876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98045">
      <w:bodyDiv w:val="1"/>
      <w:marLeft w:val="0"/>
      <w:marRight w:val="0"/>
      <w:marTop w:val="0"/>
      <w:marBottom w:val="0"/>
      <w:divBdr>
        <w:top w:val="none" w:sz="0" w:space="0" w:color="auto"/>
        <w:left w:val="none" w:sz="0" w:space="0" w:color="auto"/>
        <w:bottom w:val="none" w:sz="0" w:space="0" w:color="auto"/>
        <w:right w:val="none" w:sz="0" w:space="0" w:color="auto"/>
      </w:divBdr>
    </w:div>
    <w:div w:id="293024685">
      <w:bodyDiv w:val="1"/>
      <w:marLeft w:val="0"/>
      <w:marRight w:val="0"/>
      <w:marTop w:val="0"/>
      <w:marBottom w:val="0"/>
      <w:divBdr>
        <w:top w:val="none" w:sz="0" w:space="0" w:color="auto"/>
        <w:left w:val="none" w:sz="0" w:space="0" w:color="auto"/>
        <w:bottom w:val="none" w:sz="0" w:space="0" w:color="auto"/>
        <w:right w:val="none" w:sz="0" w:space="0" w:color="auto"/>
      </w:divBdr>
    </w:div>
    <w:div w:id="431821537">
      <w:bodyDiv w:val="1"/>
      <w:marLeft w:val="0"/>
      <w:marRight w:val="0"/>
      <w:marTop w:val="0"/>
      <w:marBottom w:val="0"/>
      <w:divBdr>
        <w:top w:val="none" w:sz="0" w:space="0" w:color="auto"/>
        <w:left w:val="none" w:sz="0" w:space="0" w:color="auto"/>
        <w:bottom w:val="none" w:sz="0" w:space="0" w:color="auto"/>
        <w:right w:val="none" w:sz="0" w:space="0" w:color="auto"/>
      </w:divBdr>
      <w:divsChild>
        <w:div w:id="983773361">
          <w:marLeft w:val="0"/>
          <w:marRight w:val="0"/>
          <w:marTop w:val="0"/>
          <w:marBottom w:val="0"/>
          <w:divBdr>
            <w:top w:val="none" w:sz="0" w:space="0" w:color="auto"/>
            <w:left w:val="none" w:sz="0" w:space="0" w:color="auto"/>
            <w:bottom w:val="none" w:sz="0" w:space="0" w:color="auto"/>
            <w:right w:val="none" w:sz="0" w:space="0" w:color="auto"/>
          </w:divBdr>
          <w:divsChild>
            <w:div w:id="2063282731">
              <w:marLeft w:val="0"/>
              <w:marRight w:val="0"/>
              <w:marTop w:val="0"/>
              <w:marBottom w:val="0"/>
              <w:divBdr>
                <w:top w:val="none" w:sz="0" w:space="0" w:color="auto"/>
                <w:left w:val="none" w:sz="0" w:space="0" w:color="auto"/>
                <w:bottom w:val="none" w:sz="0" w:space="0" w:color="auto"/>
                <w:right w:val="none" w:sz="0" w:space="0" w:color="auto"/>
              </w:divBdr>
              <w:divsChild>
                <w:div w:id="1526167447">
                  <w:marLeft w:val="0"/>
                  <w:marRight w:val="0"/>
                  <w:marTop w:val="0"/>
                  <w:marBottom w:val="0"/>
                  <w:divBdr>
                    <w:top w:val="none" w:sz="0" w:space="0" w:color="auto"/>
                    <w:left w:val="none" w:sz="0" w:space="0" w:color="auto"/>
                    <w:bottom w:val="none" w:sz="0" w:space="0" w:color="auto"/>
                    <w:right w:val="none" w:sz="0" w:space="0" w:color="auto"/>
                  </w:divBdr>
                  <w:divsChild>
                    <w:div w:id="629015398">
                      <w:marLeft w:val="0"/>
                      <w:marRight w:val="0"/>
                      <w:marTop w:val="0"/>
                      <w:marBottom w:val="0"/>
                      <w:divBdr>
                        <w:top w:val="none" w:sz="0" w:space="0" w:color="auto"/>
                        <w:left w:val="none" w:sz="0" w:space="0" w:color="auto"/>
                        <w:bottom w:val="none" w:sz="0" w:space="0" w:color="auto"/>
                        <w:right w:val="none" w:sz="0" w:space="0" w:color="auto"/>
                      </w:divBdr>
                      <w:divsChild>
                        <w:div w:id="2097244121">
                          <w:marLeft w:val="0"/>
                          <w:marRight w:val="0"/>
                          <w:marTop w:val="0"/>
                          <w:marBottom w:val="0"/>
                          <w:divBdr>
                            <w:top w:val="none" w:sz="0" w:space="0" w:color="auto"/>
                            <w:left w:val="none" w:sz="0" w:space="0" w:color="auto"/>
                            <w:bottom w:val="none" w:sz="0" w:space="0" w:color="auto"/>
                            <w:right w:val="none" w:sz="0" w:space="0" w:color="auto"/>
                          </w:divBdr>
                          <w:divsChild>
                            <w:div w:id="2934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63471192">
      <w:bodyDiv w:val="1"/>
      <w:marLeft w:val="0"/>
      <w:marRight w:val="0"/>
      <w:marTop w:val="0"/>
      <w:marBottom w:val="0"/>
      <w:divBdr>
        <w:top w:val="none" w:sz="0" w:space="0" w:color="auto"/>
        <w:left w:val="none" w:sz="0" w:space="0" w:color="auto"/>
        <w:bottom w:val="none" w:sz="0" w:space="0" w:color="auto"/>
        <w:right w:val="none" w:sz="0" w:space="0" w:color="auto"/>
      </w:divBdr>
    </w:div>
    <w:div w:id="507718917">
      <w:bodyDiv w:val="1"/>
      <w:marLeft w:val="0"/>
      <w:marRight w:val="0"/>
      <w:marTop w:val="0"/>
      <w:marBottom w:val="0"/>
      <w:divBdr>
        <w:top w:val="none" w:sz="0" w:space="0" w:color="auto"/>
        <w:left w:val="none" w:sz="0" w:space="0" w:color="auto"/>
        <w:bottom w:val="none" w:sz="0" w:space="0" w:color="auto"/>
        <w:right w:val="none" w:sz="0" w:space="0" w:color="auto"/>
      </w:divBdr>
    </w:div>
    <w:div w:id="545995381">
      <w:bodyDiv w:val="1"/>
      <w:marLeft w:val="0"/>
      <w:marRight w:val="0"/>
      <w:marTop w:val="0"/>
      <w:marBottom w:val="0"/>
      <w:divBdr>
        <w:top w:val="none" w:sz="0" w:space="0" w:color="auto"/>
        <w:left w:val="none" w:sz="0" w:space="0" w:color="auto"/>
        <w:bottom w:val="none" w:sz="0" w:space="0" w:color="auto"/>
        <w:right w:val="none" w:sz="0" w:space="0" w:color="auto"/>
      </w:divBdr>
    </w:div>
    <w:div w:id="559904776">
      <w:bodyDiv w:val="1"/>
      <w:marLeft w:val="0"/>
      <w:marRight w:val="0"/>
      <w:marTop w:val="0"/>
      <w:marBottom w:val="0"/>
      <w:divBdr>
        <w:top w:val="none" w:sz="0" w:space="0" w:color="auto"/>
        <w:left w:val="none" w:sz="0" w:space="0" w:color="auto"/>
        <w:bottom w:val="none" w:sz="0" w:space="0" w:color="auto"/>
        <w:right w:val="none" w:sz="0" w:space="0" w:color="auto"/>
      </w:divBdr>
    </w:div>
    <w:div w:id="566036647">
      <w:bodyDiv w:val="1"/>
      <w:marLeft w:val="0"/>
      <w:marRight w:val="0"/>
      <w:marTop w:val="0"/>
      <w:marBottom w:val="0"/>
      <w:divBdr>
        <w:top w:val="none" w:sz="0" w:space="0" w:color="auto"/>
        <w:left w:val="none" w:sz="0" w:space="0" w:color="auto"/>
        <w:bottom w:val="none" w:sz="0" w:space="0" w:color="auto"/>
        <w:right w:val="none" w:sz="0" w:space="0" w:color="auto"/>
      </w:divBdr>
    </w:div>
    <w:div w:id="623192700">
      <w:bodyDiv w:val="1"/>
      <w:marLeft w:val="0"/>
      <w:marRight w:val="0"/>
      <w:marTop w:val="0"/>
      <w:marBottom w:val="0"/>
      <w:divBdr>
        <w:top w:val="none" w:sz="0" w:space="0" w:color="auto"/>
        <w:left w:val="none" w:sz="0" w:space="0" w:color="auto"/>
        <w:bottom w:val="none" w:sz="0" w:space="0" w:color="auto"/>
        <w:right w:val="none" w:sz="0" w:space="0" w:color="auto"/>
      </w:divBdr>
    </w:div>
    <w:div w:id="641037169">
      <w:bodyDiv w:val="1"/>
      <w:marLeft w:val="0"/>
      <w:marRight w:val="0"/>
      <w:marTop w:val="0"/>
      <w:marBottom w:val="0"/>
      <w:divBdr>
        <w:top w:val="none" w:sz="0" w:space="0" w:color="auto"/>
        <w:left w:val="none" w:sz="0" w:space="0" w:color="auto"/>
        <w:bottom w:val="none" w:sz="0" w:space="0" w:color="auto"/>
        <w:right w:val="none" w:sz="0" w:space="0" w:color="auto"/>
      </w:divBdr>
      <w:divsChild>
        <w:div w:id="1200631372">
          <w:marLeft w:val="0"/>
          <w:marRight w:val="0"/>
          <w:marTop w:val="0"/>
          <w:marBottom w:val="0"/>
          <w:divBdr>
            <w:top w:val="none" w:sz="0" w:space="0" w:color="auto"/>
            <w:left w:val="none" w:sz="0" w:space="0" w:color="auto"/>
            <w:bottom w:val="none" w:sz="0" w:space="0" w:color="auto"/>
            <w:right w:val="none" w:sz="0" w:space="0" w:color="auto"/>
          </w:divBdr>
          <w:divsChild>
            <w:div w:id="1218469696">
              <w:marLeft w:val="0"/>
              <w:marRight w:val="0"/>
              <w:marTop w:val="0"/>
              <w:marBottom w:val="0"/>
              <w:divBdr>
                <w:top w:val="none" w:sz="0" w:space="0" w:color="auto"/>
                <w:left w:val="none" w:sz="0" w:space="0" w:color="auto"/>
                <w:bottom w:val="none" w:sz="0" w:space="0" w:color="auto"/>
                <w:right w:val="none" w:sz="0" w:space="0" w:color="auto"/>
              </w:divBdr>
              <w:divsChild>
                <w:div w:id="741146756">
                  <w:marLeft w:val="0"/>
                  <w:marRight w:val="0"/>
                  <w:marTop w:val="0"/>
                  <w:marBottom w:val="0"/>
                  <w:divBdr>
                    <w:top w:val="none" w:sz="0" w:space="0" w:color="auto"/>
                    <w:left w:val="none" w:sz="0" w:space="0" w:color="auto"/>
                    <w:bottom w:val="none" w:sz="0" w:space="0" w:color="auto"/>
                    <w:right w:val="none" w:sz="0" w:space="0" w:color="auto"/>
                  </w:divBdr>
                  <w:divsChild>
                    <w:div w:id="1364331665">
                      <w:marLeft w:val="0"/>
                      <w:marRight w:val="0"/>
                      <w:marTop w:val="0"/>
                      <w:marBottom w:val="0"/>
                      <w:divBdr>
                        <w:top w:val="none" w:sz="0" w:space="0" w:color="auto"/>
                        <w:left w:val="none" w:sz="0" w:space="0" w:color="auto"/>
                        <w:bottom w:val="none" w:sz="0" w:space="0" w:color="auto"/>
                        <w:right w:val="none" w:sz="0" w:space="0" w:color="auto"/>
                      </w:divBdr>
                      <w:divsChild>
                        <w:div w:id="1404571394">
                          <w:marLeft w:val="0"/>
                          <w:marRight w:val="0"/>
                          <w:marTop w:val="0"/>
                          <w:marBottom w:val="0"/>
                          <w:divBdr>
                            <w:top w:val="none" w:sz="0" w:space="0" w:color="auto"/>
                            <w:left w:val="none" w:sz="0" w:space="0" w:color="auto"/>
                            <w:bottom w:val="none" w:sz="0" w:space="0" w:color="auto"/>
                            <w:right w:val="none" w:sz="0" w:space="0" w:color="auto"/>
                          </w:divBdr>
                          <w:divsChild>
                            <w:div w:id="19208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052340">
      <w:bodyDiv w:val="1"/>
      <w:marLeft w:val="0"/>
      <w:marRight w:val="0"/>
      <w:marTop w:val="0"/>
      <w:marBottom w:val="0"/>
      <w:divBdr>
        <w:top w:val="none" w:sz="0" w:space="0" w:color="auto"/>
        <w:left w:val="none" w:sz="0" w:space="0" w:color="auto"/>
        <w:bottom w:val="none" w:sz="0" w:space="0" w:color="auto"/>
        <w:right w:val="none" w:sz="0" w:space="0" w:color="auto"/>
      </w:divBdr>
    </w:div>
    <w:div w:id="872307742">
      <w:bodyDiv w:val="1"/>
      <w:marLeft w:val="0"/>
      <w:marRight w:val="0"/>
      <w:marTop w:val="0"/>
      <w:marBottom w:val="0"/>
      <w:divBdr>
        <w:top w:val="none" w:sz="0" w:space="0" w:color="auto"/>
        <w:left w:val="none" w:sz="0" w:space="0" w:color="auto"/>
        <w:bottom w:val="none" w:sz="0" w:space="0" w:color="auto"/>
        <w:right w:val="none" w:sz="0" w:space="0" w:color="auto"/>
      </w:divBdr>
    </w:div>
    <w:div w:id="932976328">
      <w:bodyDiv w:val="1"/>
      <w:marLeft w:val="0"/>
      <w:marRight w:val="0"/>
      <w:marTop w:val="0"/>
      <w:marBottom w:val="0"/>
      <w:divBdr>
        <w:top w:val="none" w:sz="0" w:space="0" w:color="auto"/>
        <w:left w:val="none" w:sz="0" w:space="0" w:color="auto"/>
        <w:bottom w:val="none" w:sz="0" w:space="0" w:color="auto"/>
        <w:right w:val="none" w:sz="0" w:space="0" w:color="auto"/>
      </w:divBdr>
    </w:div>
    <w:div w:id="1014377431">
      <w:bodyDiv w:val="1"/>
      <w:marLeft w:val="0"/>
      <w:marRight w:val="0"/>
      <w:marTop w:val="0"/>
      <w:marBottom w:val="0"/>
      <w:divBdr>
        <w:top w:val="none" w:sz="0" w:space="0" w:color="auto"/>
        <w:left w:val="none" w:sz="0" w:space="0" w:color="auto"/>
        <w:bottom w:val="none" w:sz="0" w:space="0" w:color="auto"/>
        <w:right w:val="none" w:sz="0" w:space="0" w:color="auto"/>
      </w:divBdr>
    </w:div>
    <w:div w:id="1162507669">
      <w:bodyDiv w:val="1"/>
      <w:marLeft w:val="0"/>
      <w:marRight w:val="0"/>
      <w:marTop w:val="0"/>
      <w:marBottom w:val="0"/>
      <w:divBdr>
        <w:top w:val="none" w:sz="0" w:space="0" w:color="auto"/>
        <w:left w:val="none" w:sz="0" w:space="0" w:color="auto"/>
        <w:bottom w:val="none" w:sz="0" w:space="0" w:color="auto"/>
        <w:right w:val="none" w:sz="0" w:space="0" w:color="auto"/>
      </w:divBdr>
    </w:div>
    <w:div w:id="1183007626">
      <w:bodyDiv w:val="1"/>
      <w:marLeft w:val="0"/>
      <w:marRight w:val="0"/>
      <w:marTop w:val="0"/>
      <w:marBottom w:val="0"/>
      <w:divBdr>
        <w:top w:val="none" w:sz="0" w:space="0" w:color="auto"/>
        <w:left w:val="none" w:sz="0" w:space="0" w:color="auto"/>
        <w:bottom w:val="none" w:sz="0" w:space="0" w:color="auto"/>
        <w:right w:val="none" w:sz="0" w:space="0" w:color="auto"/>
      </w:divBdr>
    </w:div>
    <w:div w:id="1313095398">
      <w:bodyDiv w:val="1"/>
      <w:marLeft w:val="0"/>
      <w:marRight w:val="0"/>
      <w:marTop w:val="0"/>
      <w:marBottom w:val="0"/>
      <w:divBdr>
        <w:top w:val="none" w:sz="0" w:space="0" w:color="auto"/>
        <w:left w:val="none" w:sz="0" w:space="0" w:color="auto"/>
        <w:bottom w:val="none" w:sz="0" w:space="0" w:color="auto"/>
        <w:right w:val="none" w:sz="0" w:space="0" w:color="auto"/>
      </w:divBdr>
    </w:div>
    <w:div w:id="1322388452">
      <w:bodyDiv w:val="1"/>
      <w:marLeft w:val="0"/>
      <w:marRight w:val="0"/>
      <w:marTop w:val="0"/>
      <w:marBottom w:val="0"/>
      <w:divBdr>
        <w:top w:val="none" w:sz="0" w:space="0" w:color="auto"/>
        <w:left w:val="none" w:sz="0" w:space="0" w:color="auto"/>
        <w:bottom w:val="none" w:sz="0" w:space="0" w:color="auto"/>
        <w:right w:val="none" w:sz="0" w:space="0" w:color="auto"/>
      </w:divBdr>
    </w:div>
    <w:div w:id="1357388268">
      <w:bodyDiv w:val="1"/>
      <w:marLeft w:val="0"/>
      <w:marRight w:val="0"/>
      <w:marTop w:val="0"/>
      <w:marBottom w:val="0"/>
      <w:divBdr>
        <w:top w:val="none" w:sz="0" w:space="0" w:color="auto"/>
        <w:left w:val="none" w:sz="0" w:space="0" w:color="auto"/>
        <w:bottom w:val="none" w:sz="0" w:space="0" w:color="auto"/>
        <w:right w:val="none" w:sz="0" w:space="0" w:color="auto"/>
      </w:divBdr>
    </w:div>
    <w:div w:id="1541091250">
      <w:bodyDiv w:val="1"/>
      <w:marLeft w:val="0"/>
      <w:marRight w:val="0"/>
      <w:marTop w:val="0"/>
      <w:marBottom w:val="0"/>
      <w:divBdr>
        <w:top w:val="none" w:sz="0" w:space="0" w:color="auto"/>
        <w:left w:val="none" w:sz="0" w:space="0" w:color="auto"/>
        <w:bottom w:val="none" w:sz="0" w:space="0" w:color="auto"/>
        <w:right w:val="none" w:sz="0" w:space="0" w:color="auto"/>
      </w:divBdr>
    </w:div>
    <w:div w:id="1731153488">
      <w:bodyDiv w:val="1"/>
      <w:marLeft w:val="0"/>
      <w:marRight w:val="0"/>
      <w:marTop w:val="0"/>
      <w:marBottom w:val="0"/>
      <w:divBdr>
        <w:top w:val="none" w:sz="0" w:space="0" w:color="auto"/>
        <w:left w:val="none" w:sz="0" w:space="0" w:color="auto"/>
        <w:bottom w:val="none" w:sz="0" w:space="0" w:color="auto"/>
        <w:right w:val="none" w:sz="0" w:space="0" w:color="auto"/>
      </w:divBdr>
    </w:div>
    <w:div w:id="1748070933">
      <w:bodyDiv w:val="1"/>
      <w:marLeft w:val="0"/>
      <w:marRight w:val="0"/>
      <w:marTop w:val="0"/>
      <w:marBottom w:val="0"/>
      <w:divBdr>
        <w:top w:val="none" w:sz="0" w:space="0" w:color="auto"/>
        <w:left w:val="none" w:sz="0" w:space="0" w:color="auto"/>
        <w:bottom w:val="none" w:sz="0" w:space="0" w:color="auto"/>
        <w:right w:val="none" w:sz="0" w:space="0" w:color="auto"/>
      </w:divBdr>
      <w:divsChild>
        <w:div w:id="1229146617">
          <w:marLeft w:val="0"/>
          <w:marRight w:val="0"/>
          <w:marTop w:val="0"/>
          <w:marBottom w:val="0"/>
          <w:divBdr>
            <w:top w:val="none" w:sz="0" w:space="0" w:color="auto"/>
            <w:left w:val="none" w:sz="0" w:space="0" w:color="auto"/>
            <w:bottom w:val="none" w:sz="0" w:space="0" w:color="auto"/>
            <w:right w:val="none" w:sz="0" w:space="0" w:color="auto"/>
          </w:divBdr>
          <w:divsChild>
            <w:div w:id="2053072098">
              <w:marLeft w:val="0"/>
              <w:marRight w:val="0"/>
              <w:marTop w:val="0"/>
              <w:marBottom w:val="0"/>
              <w:divBdr>
                <w:top w:val="none" w:sz="0" w:space="0" w:color="auto"/>
                <w:left w:val="none" w:sz="0" w:space="0" w:color="auto"/>
                <w:bottom w:val="none" w:sz="0" w:space="0" w:color="auto"/>
                <w:right w:val="none" w:sz="0" w:space="0" w:color="auto"/>
              </w:divBdr>
              <w:divsChild>
                <w:div w:id="962031804">
                  <w:marLeft w:val="0"/>
                  <w:marRight w:val="0"/>
                  <w:marTop w:val="0"/>
                  <w:marBottom w:val="0"/>
                  <w:divBdr>
                    <w:top w:val="none" w:sz="0" w:space="0" w:color="auto"/>
                    <w:left w:val="none" w:sz="0" w:space="0" w:color="auto"/>
                    <w:bottom w:val="none" w:sz="0" w:space="0" w:color="auto"/>
                    <w:right w:val="none" w:sz="0" w:space="0" w:color="auto"/>
                  </w:divBdr>
                  <w:divsChild>
                    <w:div w:id="1513643413">
                      <w:marLeft w:val="0"/>
                      <w:marRight w:val="0"/>
                      <w:marTop w:val="0"/>
                      <w:marBottom w:val="0"/>
                      <w:divBdr>
                        <w:top w:val="none" w:sz="0" w:space="0" w:color="auto"/>
                        <w:left w:val="none" w:sz="0" w:space="0" w:color="auto"/>
                        <w:bottom w:val="none" w:sz="0" w:space="0" w:color="auto"/>
                        <w:right w:val="none" w:sz="0" w:space="0" w:color="auto"/>
                      </w:divBdr>
                      <w:divsChild>
                        <w:div w:id="1495409802">
                          <w:marLeft w:val="0"/>
                          <w:marRight w:val="0"/>
                          <w:marTop w:val="0"/>
                          <w:marBottom w:val="0"/>
                          <w:divBdr>
                            <w:top w:val="none" w:sz="0" w:space="0" w:color="auto"/>
                            <w:left w:val="none" w:sz="0" w:space="0" w:color="auto"/>
                            <w:bottom w:val="none" w:sz="0" w:space="0" w:color="auto"/>
                            <w:right w:val="none" w:sz="0" w:space="0" w:color="auto"/>
                          </w:divBdr>
                          <w:divsChild>
                            <w:div w:id="16154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90724">
      <w:bodyDiv w:val="1"/>
      <w:marLeft w:val="0"/>
      <w:marRight w:val="0"/>
      <w:marTop w:val="0"/>
      <w:marBottom w:val="0"/>
      <w:divBdr>
        <w:top w:val="none" w:sz="0" w:space="0" w:color="auto"/>
        <w:left w:val="none" w:sz="0" w:space="0" w:color="auto"/>
        <w:bottom w:val="none" w:sz="0" w:space="0" w:color="auto"/>
        <w:right w:val="none" w:sz="0" w:space="0" w:color="auto"/>
      </w:divBdr>
    </w:div>
    <w:div w:id="1792672833">
      <w:bodyDiv w:val="1"/>
      <w:marLeft w:val="0"/>
      <w:marRight w:val="0"/>
      <w:marTop w:val="0"/>
      <w:marBottom w:val="0"/>
      <w:divBdr>
        <w:top w:val="none" w:sz="0" w:space="0" w:color="auto"/>
        <w:left w:val="none" w:sz="0" w:space="0" w:color="auto"/>
        <w:bottom w:val="none" w:sz="0" w:space="0" w:color="auto"/>
        <w:right w:val="none" w:sz="0" w:space="0" w:color="auto"/>
      </w:divBdr>
    </w:div>
    <w:div w:id="1901554891">
      <w:bodyDiv w:val="1"/>
      <w:marLeft w:val="0"/>
      <w:marRight w:val="0"/>
      <w:marTop w:val="0"/>
      <w:marBottom w:val="0"/>
      <w:divBdr>
        <w:top w:val="none" w:sz="0" w:space="0" w:color="auto"/>
        <w:left w:val="none" w:sz="0" w:space="0" w:color="auto"/>
        <w:bottom w:val="none" w:sz="0" w:space="0" w:color="auto"/>
        <w:right w:val="none" w:sz="0" w:space="0" w:color="auto"/>
      </w:divBdr>
    </w:div>
    <w:div w:id="1926648191">
      <w:bodyDiv w:val="1"/>
      <w:marLeft w:val="0"/>
      <w:marRight w:val="0"/>
      <w:marTop w:val="0"/>
      <w:marBottom w:val="0"/>
      <w:divBdr>
        <w:top w:val="none" w:sz="0" w:space="0" w:color="auto"/>
        <w:left w:val="none" w:sz="0" w:space="0" w:color="auto"/>
        <w:bottom w:val="none" w:sz="0" w:space="0" w:color="auto"/>
        <w:right w:val="none" w:sz="0" w:space="0" w:color="auto"/>
      </w:divBdr>
    </w:div>
    <w:div w:id="1969582912">
      <w:bodyDiv w:val="1"/>
      <w:marLeft w:val="0"/>
      <w:marRight w:val="0"/>
      <w:marTop w:val="0"/>
      <w:marBottom w:val="0"/>
      <w:divBdr>
        <w:top w:val="none" w:sz="0" w:space="0" w:color="auto"/>
        <w:left w:val="none" w:sz="0" w:space="0" w:color="auto"/>
        <w:bottom w:val="none" w:sz="0" w:space="0" w:color="auto"/>
        <w:right w:val="none" w:sz="0" w:space="0" w:color="auto"/>
      </w:divBdr>
    </w:div>
    <w:div w:id="2098818389">
      <w:bodyDiv w:val="1"/>
      <w:marLeft w:val="0"/>
      <w:marRight w:val="0"/>
      <w:marTop w:val="0"/>
      <w:marBottom w:val="0"/>
      <w:divBdr>
        <w:top w:val="none" w:sz="0" w:space="0" w:color="auto"/>
        <w:left w:val="none" w:sz="0" w:space="0" w:color="auto"/>
        <w:bottom w:val="none" w:sz="0" w:space="0" w:color="auto"/>
        <w:right w:val="none" w:sz="0" w:space="0" w:color="auto"/>
      </w:divBdr>
    </w:div>
    <w:div w:id="21159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4549</Words>
  <Characters>25069</Characters>
  <Application>Microsoft Office Word</Application>
  <DocSecurity>0</DocSecurity>
  <Lines>490</Lines>
  <Paragraphs>231</Paragraphs>
  <ScaleCrop>false</ScaleCrop>
  <HeadingPairs>
    <vt:vector size="2" baseType="variant">
      <vt:variant>
        <vt:lpstr>Title</vt:lpstr>
      </vt:variant>
      <vt:variant>
        <vt:i4>1</vt:i4>
      </vt:variant>
    </vt:vector>
  </HeadingPairs>
  <TitlesOfParts>
    <vt:vector size="1" baseType="lpstr">
      <vt:lpstr>Pre-analysis plan: Improving on-time submission rates for charities</vt:lpstr>
    </vt:vector>
  </TitlesOfParts>
  <Company/>
  <LinksUpToDate>false</LinksUpToDate>
  <CharactersWithSpaces>29475</CharactersWithSpaces>
  <SharedDoc>false</SharedDoc>
  <HLinks>
    <vt:vector size="144" baseType="variant">
      <vt:variant>
        <vt:i4>1376309</vt:i4>
      </vt:variant>
      <vt:variant>
        <vt:i4>140</vt:i4>
      </vt:variant>
      <vt:variant>
        <vt:i4>0</vt:i4>
      </vt:variant>
      <vt:variant>
        <vt:i4>5</vt:i4>
      </vt:variant>
      <vt:variant>
        <vt:lpwstr/>
      </vt:variant>
      <vt:variant>
        <vt:lpwstr>_Toc185331284</vt:lpwstr>
      </vt:variant>
      <vt:variant>
        <vt:i4>1376309</vt:i4>
      </vt:variant>
      <vt:variant>
        <vt:i4>134</vt:i4>
      </vt:variant>
      <vt:variant>
        <vt:i4>0</vt:i4>
      </vt:variant>
      <vt:variant>
        <vt:i4>5</vt:i4>
      </vt:variant>
      <vt:variant>
        <vt:lpwstr/>
      </vt:variant>
      <vt:variant>
        <vt:lpwstr>_Toc185331283</vt:lpwstr>
      </vt:variant>
      <vt:variant>
        <vt:i4>1376309</vt:i4>
      </vt:variant>
      <vt:variant>
        <vt:i4>128</vt:i4>
      </vt:variant>
      <vt:variant>
        <vt:i4>0</vt:i4>
      </vt:variant>
      <vt:variant>
        <vt:i4>5</vt:i4>
      </vt:variant>
      <vt:variant>
        <vt:lpwstr/>
      </vt:variant>
      <vt:variant>
        <vt:lpwstr>_Toc185331282</vt:lpwstr>
      </vt:variant>
      <vt:variant>
        <vt:i4>1376309</vt:i4>
      </vt:variant>
      <vt:variant>
        <vt:i4>122</vt:i4>
      </vt:variant>
      <vt:variant>
        <vt:i4>0</vt:i4>
      </vt:variant>
      <vt:variant>
        <vt:i4>5</vt:i4>
      </vt:variant>
      <vt:variant>
        <vt:lpwstr/>
      </vt:variant>
      <vt:variant>
        <vt:lpwstr>_Toc185331281</vt:lpwstr>
      </vt:variant>
      <vt:variant>
        <vt:i4>1376309</vt:i4>
      </vt:variant>
      <vt:variant>
        <vt:i4>116</vt:i4>
      </vt:variant>
      <vt:variant>
        <vt:i4>0</vt:i4>
      </vt:variant>
      <vt:variant>
        <vt:i4>5</vt:i4>
      </vt:variant>
      <vt:variant>
        <vt:lpwstr/>
      </vt:variant>
      <vt:variant>
        <vt:lpwstr>_Toc185331280</vt:lpwstr>
      </vt:variant>
      <vt:variant>
        <vt:i4>1703989</vt:i4>
      </vt:variant>
      <vt:variant>
        <vt:i4>110</vt:i4>
      </vt:variant>
      <vt:variant>
        <vt:i4>0</vt:i4>
      </vt:variant>
      <vt:variant>
        <vt:i4>5</vt:i4>
      </vt:variant>
      <vt:variant>
        <vt:lpwstr/>
      </vt:variant>
      <vt:variant>
        <vt:lpwstr>_Toc185331279</vt:lpwstr>
      </vt:variant>
      <vt:variant>
        <vt:i4>1703989</vt:i4>
      </vt:variant>
      <vt:variant>
        <vt:i4>104</vt:i4>
      </vt:variant>
      <vt:variant>
        <vt:i4>0</vt:i4>
      </vt:variant>
      <vt:variant>
        <vt:i4>5</vt:i4>
      </vt:variant>
      <vt:variant>
        <vt:lpwstr/>
      </vt:variant>
      <vt:variant>
        <vt:lpwstr>_Toc185331278</vt:lpwstr>
      </vt:variant>
      <vt:variant>
        <vt:i4>1703989</vt:i4>
      </vt:variant>
      <vt:variant>
        <vt:i4>98</vt:i4>
      </vt:variant>
      <vt:variant>
        <vt:i4>0</vt:i4>
      </vt:variant>
      <vt:variant>
        <vt:i4>5</vt:i4>
      </vt:variant>
      <vt:variant>
        <vt:lpwstr/>
      </vt:variant>
      <vt:variant>
        <vt:lpwstr>_Toc185331277</vt:lpwstr>
      </vt:variant>
      <vt:variant>
        <vt:i4>1703989</vt:i4>
      </vt:variant>
      <vt:variant>
        <vt:i4>92</vt:i4>
      </vt:variant>
      <vt:variant>
        <vt:i4>0</vt:i4>
      </vt:variant>
      <vt:variant>
        <vt:i4>5</vt:i4>
      </vt:variant>
      <vt:variant>
        <vt:lpwstr/>
      </vt:variant>
      <vt:variant>
        <vt:lpwstr>_Toc185331276</vt:lpwstr>
      </vt:variant>
      <vt:variant>
        <vt:i4>1703989</vt:i4>
      </vt:variant>
      <vt:variant>
        <vt:i4>86</vt:i4>
      </vt:variant>
      <vt:variant>
        <vt:i4>0</vt:i4>
      </vt:variant>
      <vt:variant>
        <vt:i4>5</vt:i4>
      </vt:variant>
      <vt:variant>
        <vt:lpwstr/>
      </vt:variant>
      <vt:variant>
        <vt:lpwstr>_Toc185331275</vt:lpwstr>
      </vt:variant>
      <vt:variant>
        <vt:i4>1703989</vt:i4>
      </vt:variant>
      <vt:variant>
        <vt:i4>80</vt:i4>
      </vt:variant>
      <vt:variant>
        <vt:i4>0</vt:i4>
      </vt:variant>
      <vt:variant>
        <vt:i4>5</vt:i4>
      </vt:variant>
      <vt:variant>
        <vt:lpwstr/>
      </vt:variant>
      <vt:variant>
        <vt:lpwstr>_Toc185331274</vt:lpwstr>
      </vt:variant>
      <vt:variant>
        <vt:i4>1703989</vt:i4>
      </vt:variant>
      <vt:variant>
        <vt:i4>74</vt:i4>
      </vt:variant>
      <vt:variant>
        <vt:i4>0</vt:i4>
      </vt:variant>
      <vt:variant>
        <vt:i4>5</vt:i4>
      </vt:variant>
      <vt:variant>
        <vt:lpwstr/>
      </vt:variant>
      <vt:variant>
        <vt:lpwstr>_Toc185331273</vt:lpwstr>
      </vt:variant>
      <vt:variant>
        <vt:i4>1703989</vt:i4>
      </vt:variant>
      <vt:variant>
        <vt:i4>68</vt:i4>
      </vt:variant>
      <vt:variant>
        <vt:i4>0</vt:i4>
      </vt:variant>
      <vt:variant>
        <vt:i4>5</vt:i4>
      </vt:variant>
      <vt:variant>
        <vt:lpwstr/>
      </vt:variant>
      <vt:variant>
        <vt:lpwstr>_Toc185331272</vt:lpwstr>
      </vt:variant>
      <vt:variant>
        <vt:i4>1703989</vt:i4>
      </vt:variant>
      <vt:variant>
        <vt:i4>62</vt:i4>
      </vt:variant>
      <vt:variant>
        <vt:i4>0</vt:i4>
      </vt:variant>
      <vt:variant>
        <vt:i4>5</vt:i4>
      </vt:variant>
      <vt:variant>
        <vt:lpwstr/>
      </vt:variant>
      <vt:variant>
        <vt:lpwstr>_Toc185331271</vt:lpwstr>
      </vt:variant>
      <vt:variant>
        <vt:i4>1703989</vt:i4>
      </vt:variant>
      <vt:variant>
        <vt:i4>56</vt:i4>
      </vt:variant>
      <vt:variant>
        <vt:i4>0</vt:i4>
      </vt:variant>
      <vt:variant>
        <vt:i4>5</vt:i4>
      </vt:variant>
      <vt:variant>
        <vt:lpwstr/>
      </vt:variant>
      <vt:variant>
        <vt:lpwstr>_Toc185331270</vt:lpwstr>
      </vt:variant>
      <vt:variant>
        <vt:i4>1769525</vt:i4>
      </vt:variant>
      <vt:variant>
        <vt:i4>50</vt:i4>
      </vt:variant>
      <vt:variant>
        <vt:i4>0</vt:i4>
      </vt:variant>
      <vt:variant>
        <vt:i4>5</vt:i4>
      </vt:variant>
      <vt:variant>
        <vt:lpwstr/>
      </vt:variant>
      <vt:variant>
        <vt:lpwstr>_Toc185331269</vt:lpwstr>
      </vt:variant>
      <vt:variant>
        <vt:i4>1769525</vt:i4>
      </vt:variant>
      <vt:variant>
        <vt:i4>44</vt:i4>
      </vt:variant>
      <vt:variant>
        <vt:i4>0</vt:i4>
      </vt:variant>
      <vt:variant>
        <vt:i4>5</vt:i4>
      </vt:variant>
      <vt:variant>
        <vt:lpwstr/>
      </vt:variant>
      <vt:variant>
        <vt:lpwstr>_Toc185331268</vt:lpwstr>
      </vt:variant>
      <vt:variant>
        <vt:i4>1769525</vt:i4>
      </vt:variant>
      <vt:variant>
        <vt:i4>38</vt:i4>
      </vt:variant>
      <vt:variant>
        <vt:i4>0</vt:i4>
      </vt:variant>
      <vt:variant>
        <vt:i4>5</vt:i4>
      </vt:variant>
      <vt:variant>
        <vt:lpwstr/>
      </vt:variant>
      <vt:variant>
        <vt:lpwstr>_Toc185331267</vt:lpwstr>
      </vt:variant>
      <vt:variant>
        <vt:i4>1769525</vt:i4>
      </vt:variant>
      <vt:variant>
        <vt:i4>32</vt:i4>
      </vt:variant>
      <vt:variant>
        <vt:i4>0</vt:i4>
      </vt:variant>
      <vt:variant>
        <vt:i4>5</vt:i4>
      </vt:variant>
      <vt:variant>
        <vt:lpwstr/>
      </vt:variant>
      <vt:variant>
        <vt:lpwstr>_Toc185331266</vt:lpwstr>
      </vt:variant>
      <vt:variant>
        <vt:i4>1769525</vt:i4>
      </vt:variant>
      <vt:variant>
        <vt:i4>26</vt:i4>
      </vt:variant>
      <vt:variant>
        <vt:i4>0</vt:i4>
      </vt:variant>
      <vt:variant>
        <vt:i4>5</vt:i4>
      </vt:variant>
      <vt:variant>
        <vt:lpwstr/>
      </vt:variant>
      <vt:variant>
        <vt:lpwstr>_Toc185331265</vt:lpwstr>
      </vt:variant>
      <vt:variant>
        <vt:i4>1769525</vt:i4>
      </vt:variant>
      <vt:variant>
        <vt:i4>20</vt:i4>
      </vt:variant>
      <vt:variant>
        <vt:i4>0</vt:i4>
      </vt:variant>
      <vt:variant>
        <vt:i4>5</vt:i4>
      </vt:variant>
      <vt:variant>
        <vt:lpwstr/>
      </vt:variant>
      <vt:variant>
        <vt:lpwstr>_Toc185331264</vt:lpwstr>
      </vt:variant>
      <vt:variant>
        <vt:i4>1769525</vt:i4>
      </vt:variant>
      <vt:variant>
        <vt:i4>14</vt:i4>
      </vt:variant>
      <vt:variant>
        <vt:i4>0</vt:i4>
      </vt:variant>
      <vt:variant>
        <vt:i4>5</vt:i4>
      </vt:variant>
      <vt:variant>
        <vt:lpwstr/>
      </vt:variant>
      <vt:variant>
        <vt:lpwstr>_Toc185331263</vt:lpwstr>
      </vt:variant>
      <vt:variant>
        <vt:i4>1769525</vt:i4>
      </vt:variant>
      <vt:variant>
        <vt:i4>8</vt:i4>
      </vt:variant>
      <vt:variant>
        <vt:i4>0</vt:i4>
      </vt:variant>
      <vt:variant>
        <vt:i4>5</vt:i4>
      </vt:variant>
      <vt:variant>
        <vt:lpwstr/>
      </vt:variant>
      <vt:variant>
        <vt:lpwstr>_Toc185331262</vt:lpwstr>
      </vt:variant>
      <vt:variant>
        <vt:i4>1769525</vt:i4>
      </vt:variant>
      <vt:variant>
        <vt:i4>2</vt:i4>
      </vt:variant>
      <vt:variant>
        <vt:i4>0</vt:i4>
      </vt:variant>
      <vt:variant>
        <vt:i4>5</vt:i4>
      </vt:variant>
      <vt:variant>
        <vt:lpwstr/>
      </vt:variant>
      <vt:variant>
        <vt:lpwstr>_Toc185331261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Pre-analysis plan: Improving on-time submission rates for charities</dc:title>
  <dc:subject/>
  <dc:creator>Treasury; Australian Centre for Evaluation</dc:creator>
  <cp:keywords/>
  <dc:description/>
  <cp:lastModifiedBy/>
  <cp:revision>1</cp:revision>
  <dcterms:created xsi:type="dcterms:W3CDTF">2025-09-11T02:32:00Z</dcterms:created>
  <dcterms:modified xsi:type="dcterms:W3CDTF">2025-09-11T02:34:00Z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2025-09-11T02:34:07Z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b21b4dcf-5159-43ff-8326-d05844bbdeb7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