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chart60.xml" ContentType="application/vnd.openxmlformats-officedocument.drawingml.chart+xml"/>
  <Override PartName="/word/charts/style58.xml" ContentType="application/vnd.ms-office.chartstyle+xml"/>
  <Override PartName="/word/charts/colors58.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4BA76" w14:textId="2DA466CF" w:rsidR="000E4F6B" w:rsidRDefault="000E4F6B" w:rsidP="006469CC">
      <w:pPr>
        <w:pStyle w:val="ListParagraph"/>
        <w:rPr>
          <w:color w:val="9CACC4" w:themeColor="accent1" w:themeTint="66"/>
          <w:sz w:val="32"/>
        </w:rPr>
      </w:pPr>
      <w:bookmarkStart w:id="0" w:name="_Hlk189822159"/>
      <w:bookmarkEnd w:id="0"/>
    </w:p>
    <w:sdt>
      <w:sdtPr>
        <w:rPr>
          <w:color w:val="9CACC4" w:themeColor="accent1" w:themeTint="66"/>
          <w:sz w:val="32"/>
          <w:szCs w:val="32"/>
        </w:rPr>
        <w:id w:val="-1442289537"/>
        <w:docPartObj>
          <w:docPartGallery w:val="Cover Pages"/>
          <w:docPartUnique/>
        </w:docPartObj>
      </w:sdtPr>
      <w:sdtEndPr>
        <w:rPr>
          <w:color w:val="EEEEEE" w:themeColor="background2"/>
        </w:rPr>
      </w:sdtEndPr>
      <w:sdtContent>
        <w:p w14:paraId="67AB578E" w14:textId="77777777" w:rsidR="00A97160" w:rsidRPr="006D0240" w:rsidRDefault="00A97160" w:rsidP="006469CC">
          <w:pPr>
            <w:pStyle w:val="ListParagraph"/>
          </w:pPr>
          <w:r>
            <w:rPr>
              <w:noProof/>
            </w:rPr>
            <w:drawing>
              <wp:anchor distT="0" distB="0" distL="114300" distR="114300" simplePos="0" relativeHeight="251658240" behindDoc="1" locked="0" layoutInCell="1" allowOverlap="1" wp14:anchorId="62814F1A" wp14:editId="522E3260">
                <wp:simplePos x="0" y="0"/>
                <wp:positionH relativeFrom="margin">
                  <wp:posOffset>-900430</wp:posOffset>
                </wp:positionH>
                <wp:positionV relativeFrom="page">
                  <wp:posOffset>-21264</wp:posOffset>
                </wp:positionV>
                <wp:extent cx="7570798" cy="10709016"/>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798" cy="10709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AD813" w14:textId="77777777" w:rsidR="00A97160" w:rsidRPr="006D0240" w:rsidRDefault="00A97160" w:rsidP="006D41CA">
          <w:pPr>
            <w:pStyle w:val="Header"/>
            <w:spacing w:after="2160"/>
          </w:pPr>
        </w:p>
        <w:sdt>
          <w:sdtPr>
            <w:rPr>
              <w:rFonts w:eastAsia="Times New Roman" w:cs="Times New Roman"/>
              <w:b w:val="0"/>
              <w:color w:val="9CACC4" w:themeColor="accent1" w:themeTint="66"/>
              <w:spacing w:val="0"/>
              <w:kern w:val="0"/>
              <w:sz w:val="32"/>
              <w:szCs w:val="32"/>
            </w:rPr>
            <w:id w:val="-2020451560"/>
            <w:docPartObj>
              <w:docPartGallery w:val="Cover Pages"/>
              <w:docPartUnique/>
            </w:docPartObj>
          </w:sdtPr>
          <w:sdtEndPr>
            <w:rPr>
              <w:color w:val="EEEEEE" w:themeColor="background2"/>
            </w:rPr>
          </w:sdtEndPr>
          <w:sdtContent>
            <w:p w14:paraId="14D6D410" w14:textId="0350B2B8" w:rsidR="00010291" w:rsidRPr="00C6006F" w:rsidRDefault="00010291" w:rsidP="00C6006F">
              <w:pPr>
                <w:pStyle w:val="Title"/>
              </w:pPr>
              <w:r w:rsidRPr="00C6006F">
                <w:t>State of Evaluation in the Australian Government</w:t>
              </w:r>
              <w:r w:rsidR="00144F6B" w:rsidRPr="00C6006F">
                <w:t xml:space="preserve"> 2025</w:t>
              </w:r>
            </w:p>
            <w:p w14:paraId="5CD64644" w14:textId="43FDF768" w:rsidR="0044523F" w:rsidRDefault="00144F6B" w:rsidP="00010291">
              <w:pPr>
                <w:pStyle w:val="ReportDate"/>
              </w:pPr>
              <w:r>
                <w:rPr>
                  <w:rStyle w:val="ReportDateChar"/>
                </w:rPr>
                <w:t>February</w:t>
              </w:r>
              <w:r w:rsidR="00010291">
                <w:rPr>
                  <w:rStyle w:val="ReportDateChar"/>
                </w:rPr>
                <w:t xml:space="preserve"> 2025</w:t>
              </w:r>
              <w:r w:rsidR="00010291">
                <w:br w:type="page"/>
              </w:r>
            </w:p>
          </w:sdtContent>
        </w:sdt>
      </w:sdtContent>
    </w:sdt>
    <w:p w14:paraId="232C4683" w14:textId="77777777" w:rsidR="0044523F" w:rsidRDefault="0044523F" w:rsidP="0044523F">
      <w:pPr>
        <w:pStyle w:val="Heading1"/>
        <w:sectPr w:rsidR="0044523F" w:rsidSect="0044523F">
          <w:pgSz w:w="11906" w:h="16838" w:code="9"/>
          <w:pgMar w:top="1843" w:right="1418" w:bottom="1418" w:left="1418" w:header="709" w:footer="709" w:gutter="0"/>
          <w:pgNumType w:fmt="lowerRoman" w:start="0"/>
          <w:cols w:space="708"/>
          <w:titlePg/>
          <w:docGrid w:linePitch="360"/>
        </w:sectPr>
      </w:pPr>
    </w:p>
    <w:p w14:paraId="2C4A0B74" w14:textId="2D456825" w:rsidR="00950D6C" w:rsidRPr="00950D6C" w:rsidRDefault="00950D6C" w:rsidP="009902F5">
      <w:pPr>
        <w:pStyle w:val="Heading1-NOTOC"/>
        <w:spacing w:before="0"/>
      </w:pPr>
      <w:bookmarkStart w:id="1" w:name="_Toc432067103"/>
      <w:bookmarkStart w:id="2" w:name="_Toc452635030"/>
      <w:r w:rsidRPr="00950D6C">
        <w:lastRenderedPageBreak/>
        <w:t>Contents</w:t>
      </w:r>
    </w:p>
    <w:p w14:paraId="6C6A2ED7" w14:textId="27BE7D9F" w:rsidR="00CF7B75" w:rsidRDefault="0044523F">
      <w:pPr>
        <w:pStyle w:val="TOC1"/>
        <w:rPr>
          <w:rFonts w:asciiTheme="minorHAnsi" w:eastAsiaTheme="minorEastAsia" w:hAnsiTheme="minorHAnsi" w:cstheme="minorBidi"/>
          <w:b w:val="0"/>
          <w:color w:val="auto"/>
          <w:kern w:val="2"/>
          <w:sz w:val="24"/>
          <w:szCs w:val="24"/>
          <w14:ligatures w14:val="standardContextual"/>
        </w:rPr>
      </w:pPr>
      <w:r>
        <w:fldChar w:fldCharType="begin"/>
      </w:r>
      <w:r>
        <w:instrText xml:space="preserve"> TOC \o "1-2" \h \z \u </w:instrText>
      </w:r>
      <w:r>
        <w:fldChar w:fldCharType="separate"/>
      </w:r>
      <w:hyperlink w:anchor="_Toc189820809" w:history="1">
        <w:r w:rsidR="00CF7B75" w:rsidRPr="006E1D94">
          <w:rPr>
            <w:rStyle w:val="Hyperlink"/>
          </w:rPr>
          <w:t>Foreword</w:t>
        </w:r>
        <w:r w:rsidR="00CF7B75">
          <w:rPr>
            <w:webHidden/>
          </w:rPr>
          <w:tab/>
        </w:r>
        <w:r w:rsidR="00CF7B75">
          <w:rPr>
            <w:webHidden/>
          </w:rPr>
          <w:fldChar w:fldCharType="begin"/>
        </w:r>
        <w:r w:rsidR="00CF7B75">
          <w:rPr>
            <w:webHidden/>
          </w:rPr>
          <w:instrText xml:space="preserve"> PAGEREF _Toc189820809 \h </w:instrText>
        </w:r>
        <w:r w:rsidR="00CF7B75">
          <w:rPr>
            <w:webHidden/>
          </w:rPr>
        </w:r>
        <w:r w:rsidR="00CF7B75">
          <w:rPr>
            <w:webHidden/>
          </w:rPr>
          <w:fldChar w:fldCharType="separate"/>
        </w:r>
        <w:r w:rsidR="000E5C41">
          <w:rPr>
            <w:webHidden/>
          </w:rPr>
          <w:t>1</w:t>
        </w:r>
        <w:r w:rsidR="00CF7B75">
          <w:rPr>
            <w:webHidden/>
          </w:rPr>
          <w:fldChar w:fldCharType="end"/>
        </w:r>
      </w:hyperlink>
    </w:p>
    <w:p w14:paraId="4093DE59" w14:textId="34B4234B"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10" w:history="1">
        <w:r w:rsidR="00CF7B75" w:rsidRPr="006E1D94">
          <w:rPr>
            <w:rStyle w:val="Hyperlink"/>
          </w:rPr>
          <w:t>Executive summary</w:t>
        </w:r>
        <w:r w:rsidR="00CF7B75">
          <w:rPr>
            <w:webHidden/>
          </w:rPr>
          <w:tab/>
        </w:r>
        <w:r w:rsidR="00CF7B75">
          <w:rPr>
            <w:webHidden/>
          </w:rPr>
          <w:fldChar w:fldCharType="begin"/>
        </w:r>
        <w:r w:rsidR="00CF7B75">
          <w:rPr>
            <w:webHidden/>
          </w:rPr>
          <w:instrText xml:space="preserve"> PAGEREF _Toc189820810 \h </w:instrText>
        </w:r>
        <w:r w:rsidR="00CF7B75">
          <w:rPr>
            <w:webHidden/>
          </w:rPr>
        </w:r>
        <w:r w:rsidR="00CF7B75">
          <w:rPr>
            <w:webHidden/>
          </w:rPr>
          <w:fldChar w:fldCharType="separate"/>
        </w:r>
        <w:r w:rsidR="000E5C41">
          <w:rPr>
            <w:webHidden/>
          </w:rPr>
          <w:t>2</w:t>
        </w:r>
        <w:r w:rsidR="00CF7B75">
          <w:rPr>
            <w:webHidden/>
          </w:rPr>
          <w:fldChar w:fldCharType="end"/>
        </w:r>
      </w:hyperlink>
    </w:p>
    <w:p w14:paraId="03C5DA12" w14:textId="7E95C0CC"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11" w:history="1">
        <w:r w:rsidR="00CF7B75" w:rsidRPr="006E1D94">
          <w:rPr>
            <w:rStyle w:val="Hyperlink"/>
          </w:rPr>
          <w:t>Findings</w:t>
        </w:r>
        <w:r w:rsidR="00CF7B75">
          <w:rPr>
            <w:webHidden/>
          </w:rPr>
          <w:tab/>
        </w:r>
        <w:r w:rsidR="00CF7B75">
          <w:rPr>
            <w:webHidden/>
          </w:rPr>
          <w:fldChar w:fldCharType="begin"/>
        </w:r>
        <w:r w:rsidR="00CF7B75">
          <w:rPr>
            <w:webHidden/>
          </w:rPr>
          <w:instrText xml:space="preserve"> PAGEREF _Toc189820811 \h </w:instrText>
        </w:r>
        <w:r w:rsidR="00CF7B75">
          <w:rPr>
            <w:webHidden/>
          </w:rPr>
        </w:r>
        <w:r w:rsidR="00CF7B75">
          <w:rPr>
            <w:webHidden/>
          </w:rPr>
          <w:fldChar w:fldCharType="separate"/>
        </w:r>
        <w:r w:rsidR="000E5C41">
          <w:rPr>
            <w:webHidden/>
          </w:rPr>
          <w:t>3</w:t>
        </w:r>
        <w:r w:rsidR="00CF7B75">
          <w:rPr>
            <w:webHidden/>
          </w:rPr>
          <w:fldChar w:fldCharType="end"/>
        </w:r>
      </w:hyperlink>
    </w:p>
    <w:p w14:paraId="584BA0EE" w14:textId="20EFFB36"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12" w:history="1">
        <w:r w:rsidR="00CF7B75" w:rsidRPr="006E1D94">
          <w:rPr>
            <w:rStyle w:val="Hyperlink"/>
          </w:rPr>
          <w:t>Introduction</w:t>
        </w:r>
        <w:r w:rsidR="00CF7B75">
          <w:rPr>
            <w:webHidden/>
          </w:rPr>
          <w:tab/>
        </w:r>
        <w:r w:rsidR="00CF7B75">
          <w:rPr>
            <w:webHidden/>
          </w:rPr>
          <w:fldChar w:fldCharType="begin"/>
        </w:r>
        <w:r w:rsidR="00CF7B75">
          <w:rPr>
            <w:webHidden/>
          </w:rPr>
          <w:instrText xml:space="preserve"> PAGEREF _Toc189820812 \h </w:instrText>
        </w:r>
        <w:r w:rsidR="00CF7B75">
          <w:rPr>
            <w:webHidden/>
          </w:rPr>
        </w:r>
        <w:r w:rsidR="00CF7B75">
          <w:rPr>
            <w:webHidden/>
          </w:rPr>
          <w:fldChar w:fldCharType="separate"/>
        </w:r>
        <w:r w:rsidR="000E5C41">
          <w:rPr>
            <w:webHidden/>
          </w:rPr>
          <w:t>5</w:t>
        </w:r>
        <w:r w:rsidR="00CF7B75">
          <w:rPr>
            <w:webHidden/>
          </w:rPr>
          <w:fldChar w:fldCharType="end"/>
        </w:r>
      </w:hyperlink>
    </w:p>
    <w:p w14:paraId="6869B3BC" w14:textId="59C26B1E"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13" w:history="1">
        <w:r w:rsidR="00CF7B75" w:rsidRPr="006E1D94">
          <w:rPr>
            <w:rStyle w:val="Hyperlink"/>
          </w:rPr>
          <w:t>Project overview</w:t>
        </w:r>
        <w:r w:rsidR="00CF7B75">
          <w:rPr>
            <w:webHidden/>
          </w:rPr>
          <w:tab/>
        </w:r>
        <w:r w:rsidR="00CF7B75">
          <w:rPr>
            <w:webHidden/>
          </w:rPr>
          <w:fldChar w:fldCharType="begin"/>
        </w:r>
        <w:r w:rsidR="00CF7B75">
          <w:rPr>
            <w:webHidden/>
          </w:rPr>
          <w:instrText xml:space="preserve"> PAGEREF _Toc189820813 \h </w:instrText>
        </w:r>
        <w:r w:rsidR="00CF7B75">
          <w:rPr>
            <w:webHidden/>
          </w:rPr>
        </w:r>
        <w:r w:rsidR="00CF7B75">
          <w:rPr>
            <w:webHidden/>
          </w:rPr>
          <w:fldChar w:fldCharType="separate"/>
        </w:r>
        <w:r w:rsidR="000E5C41">
          <w:rPr>
            <w:webHidden/>
          </w:rPr>
          <w:t>5</w:t>
        </w:r>
        <w:r w:rsidR="00CF7B75">
          <w:rPr>
            <w:webHidden/>
          </w:rPr>
          <w:fldChar w:fldCharType="end"/>
        </w:r>
      </w:hyperlink>
    </w:p>
    <w:p w14:paraId="3A211501" w14:textId="5B843B52"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14" w:history="1">
        <w:r w:rsidR="00CF7B75" w:rsidRPr="006E1D94">
          <w:rPr>
            <w:rStyle w:val="Hyperlink"/>
          </w:rPr>
          <w:t>Responding entities</w:t>
        </w:r>
        <w:r w:rsidR="00CF7B75">
          <w:rPr>
            <w:webHidden/>
          </w:rPr>
          <w:tab/>
        </w:r>
        <w:r w:rsidR="00CF7B75">
          <w:rPr>
            <w:webHidden/>
          </w:rPr>
          <w:fldChar w:fldCharType="begin"/>
        </w:r>
        <w:r w:rsidR="00CF7B75">
          <w:rPr>
            <w:webHidden/>
          </w:rPr>
          <w:instrText xml:space="preserve"> PAGEREF _Toc189820814 \h </w:instrText>
        </w:r>
        <w:r w:rsidR="00CF7B75">
          <w:rPr>
            <w:webHidden/>
          </w:rPr>
        </w:r>
        <w:r w:rsidR="00CF7B75">
          <w:rPr>
            <w:webHidden/>
          </w:rPr>
          <w:fldChar w:fldCharType="separate"/>
        </w:r>
        <w:r w:rsidR="000E5C41">
          <w:rPr>
            <w:webHidden/>
          </w:rPr>
          <w:t>6</w:t>
        </w:r>
        <w:r w:rsidR="00CF7B75">
          <w:rPr>
            <w:webHidden/>
          </w:rPr>
          <w:fldChar w:fldCharType="end"/>
        </w:r>
      </w:hyperlink>
    </w:p>
    <w:p w14:paraId="222F9BCF" w14:textId="31A2B094"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15" w:history="1">
        <w:r w:rsidR="00CF7B75" w:rsidRPr="006E1D94">
          <w:rPr>
            <w:rStyle w:val="Hyperlink"/>
          </w:rPr>
          <w:t>Evaluation activities</w:t>
        </w:r>
        <w:r w:rsidR="00CF7B75">
          <w:rPr>
            <w:webHidden/>
          </w:rPr>
          <w:tab/>
        </w:r>
        <w:r w:rsidR="00CF7B75">
          <w:rPr>
            <w:webHidden/>
          </w:rPr>
          <w:fldChar w:fldCharType="begin"/>
        </w:r>
        <w:r w:rsidR="00CF7B75">
          <w:rPr>
            <w:webHidden/>
          </w:rPr>
          <w:instrText xml:space="preserve"> PAGEREF _Toc189820815 \h </w:instrText>
        </w:r>
        <w:r w:rsidR="00CF7B75">
          <w:rPr>
            <w:webHidden/>
          </w:rPr>
        </w:r>
        <w:r w:rsidR="00CF7B75">
          <w:rPr>
            <w:webHidden/>
          </w:rPr>
          <w:fldChar w:fldCharType="separate"/>
        </w:r>
        <w:r w:rsidR="000E5C41">
          <w:rPr>
            <w:webHidden/>
          </w:rPr>
          <w:t>7</w:t>
        </w:r>
        <w:r w:rsidR="00CF7B75">
          <w:rPr>
            <w:webHidden/>
          </w:rPr>
          <w:fldChar w:fldCharType="end"/>
        </w:r>
      </w:hyperlink>
    </w:p>
    <w:p w14:paraId="177922E0" w14:textId="0D5D54F3"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16" w:history="1">
        <w:r w:rsidR="00CF7B75" w:rsidRPr="006E1D94">
          <w:rPr>
            <w:rStyle w:val="Hyperlink"/>
          </w:rPr>
          <w:t>Reported evaluation activity</w:t>
        </w:r>
        <w:r w:rsidR="00CF7B75">
          <w:rPr>
            <w:webHidden/>
          </w:rPr>
          <w:tab/>
        </w:r>
        <w:r w:rsidR="00CF7B75">
          <w:rPr>
            <w:webHidden/>
          </w:rPr>
          <w:fldChar w:fldCharType="begin"/>
        </w:r>
        <w:r w:rsidR="00CF7B75">
          <w:rPr>
            <w:webHidden/>
          </w:rPr>
          <w:instrText xml:space="preserve"> PAGEREF _Toc189820816 \h </w:instrText>
        </w:r>
        <w:r w:rsidR="00CF7B75">
          <w:rPr>
            <w:webHidden/>
          </w:rPr>
        </w:r>
        <w:r w:rsidR="00CF7B75">
          <w:rPr>
            <w:webHidden/>
          </w:rPr>
          <w:fldChar w:fldCharType="separate"/>
        </w:r>
        <w:r w:rsidR="000E5C41">
          <w:rPr>
            <w:webHidden/>
          </w:rPr>
          <w:t>8</w:t>
        </w:r>
        <w:r w:rsidR="00CF7B75">
          <w:rPr>
            <w:webHidden/>
          </w:rPr>
          <w:fldChar w:fldCharType="end"/>
        </w:r>
      </w:hyperlink>
    </w:p>
    <w:p w14:paraId="1D3BBA94" w14:textId="5AFE53BA"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17" w:history="1">
        <w:r w:rsidR="00CF7B75" w:rsidRPr="006E1D94">
          <w:rPr>
            <w:rStyle w:val="Hyperlink"/>
          </w:rPr>
          <w:t>Evaluation delivery and type</w:t>
        </w:r>
        <w:r w:rsidR="00CF7B75">
          <w:rPr>
            <w:webHidden/>
          </w:rPr>
          <w:tab/>
        </w:r>
        <w:r w:rsidR="00CF7B75">
          <w:rPr>
            <w:webHidden/>
          </w:rPr>
          <w:fldChar w:fldCharType="begin"/>
        </w:r>
        <w:r w:rsidR="00CF7B75">
          <w:rPr>
            <w:webHidden/>
          </w:rPr>
          <w:instrText xml:space="preserve"> PAGEREF _Toc189820817 \h </w:instrText>
        </w:r>
        <w:r w:rsidR="00CF7B75">
          <w:rPr>
            <w:webHidden/>
          </w:rPr>
        </w:r>
        <w:r w:rsidR="00CF7B75">
          <w:rPr>
            <w:webHidden/>
          </w:rPr>
          <w:fldChar w:fldCharType="separate"/>
        </w:r>
        <w:r w:rsidR="000E5C41">
          <w:rPr>
            <w:webHidden/>
          </w:rPr>
          <w:t>9</w:t>
        </w:r>
        <w:r w:rsidR="00CF7B75">
          <w:rPr>
            <w:webHidden/>
          </w:rPr>
          <w:fldChar w:fldCharType="end"/>
        </w:r>
      </w:hyperlink>
    </w:p>
    <w:p w14:paraId="17717305" w14:textId="2978C99B"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18" w:history="1">
        <w:r w:rsidR="00CF7B75" w:rsidRPr="006E1D94">
          <w:rPr>
            <w:rStyle w:val="Hyperlink"/>
          </w:rPr>
          <w:t>Evaluation design and planning</w:t>
        </w:r>
        <w:r w:rsidR="00CF7B75">
          <w:rPr>
            <w:webHidden/>
          </w:rPr>
          <w:tab/>
        </w:r>
        <w:r w:rsidR="00CF7B75">
          <w:rPr>
            <w:webHidden/>
          </w:rPr>
          <w:fldChar w:fldCharType="begin"/>
        </w:r>
        <w:r w:rsidR="00CF7B75">
          <w:rPr>
            <w:webHidden/>
          </w:rPr>
          <w:instrText xml:space="preserve"> PAGEREF _Toc189820818 \h </w:instrText>
        </w:r>
        <w:r w:rsidR="00CF7B75">
          <w:rPr>
            <w:webHidden/>
          </w:rPr>
        </w:r>
        <w:r w:rsidR="00CF7B75">
          <w:rPr>
            <w:webHidden/>
          </w:rPr>
          <w:fldChar w:fldCharType="separate"/>
        </w:r>
        <w:r w:rsidR="000E5C41">
          <w:rPr>
            <w:webHidden/>
          </w:rPr>
          <w:t>10</w:t>
        </w:r>
        <w:r w:rsidR="00CF7B75">
          <w:rPr>
            <w:webHidden/>
          </w:rPr>
          <w:fldChar w:fldCharType="end"/>
        </w:r>
      </w:hyperlink>
    </w:p>
    <w:p w14:paraId="76564395" w14:textId="04DC5E6E"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19" w:history="1">
        <w:r w:rsidR="00CF7B75" w:rsidRPr="006E1D94">
          <w:rPr>
            <w:rStyle w:val="Hyperlink"/>
          </w:rPr>
          <w:t>Growth in the evaluation network</w:t>
        </w:r>
        <w:r w:rsidR="00CF7B75">
          <w:rPr>
            <w:webHidden/>
          </w:rPr>
          <w:tab/>
        </w:r>
        <w:r w:rsidR="00CF7B75">
          <w:rPr>
            <w:webHidden/>
          </w:rPr>
          <w:fldChar w:fldCharType="begin"/>
        </w:r>
        <w:r w:rsidR="00CF7B75">
          <w:rPr>
            <w:webHidden/>
          </w:rPr>
          <w:instrText xml:space="preserve"> PAGEREF _Toc189820819 \h </w:instrText>
        </w:r>
        <w:r w:rsidR="00CF7B75">
          <w:rPr>
            <w:webHidden/>
          </w:rPr>
        </w:r>
        <w:r w:rsidR="00CF7B75">
          <w:rPr>
            <w:webHidden/>
          </w:rPr>
          <w:fldChar w:fldCharType="separate"/>
        </w:r>
        <w:r w:rsidR="000E5C41">
          <w:rPr>
            <w:webHidden/>
          </w:rPr>
          <w:t>10</w:t>
        </w:r>
        <w:r w:rsidR="00CF7B75">
          <w:rPr>
            <w:webHidden/>
          </w:rPr>
          <w:fldChar w:fldCharType="end"/>
        </w:r>
      </w:hyperlink>
    </w:p>
    <w:p w14:paraId="666B90E1" w14:textId="6DB60003"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20" w:history="1">
        <w:r w:rsidR="00CF7B75" w:rsidRPr="006E1D94">
          <w:rPr>
            <w:rStyle w:val="Hyperlink"/>
          </w:rPr>
          <w:t>Senior leadership oversight</w:t>
        </w:r>
        <w:r w:rsidR="00CF7B75">
          <w:rPr>
            <w:webHidden/>
          </w:rPr>
          <w:tab/>
        </w:r>
        <w:r w:rsidR="00CF7B75">
          <w:rPr>
            <w:webHidden/>
          </w:rPr>
          <w:fldChar w:fldCharType="begin"/>
        </w:r>
        <w:r w:rsidR="00CF7B75">
          <w:rPr>
            <w:webHidden/>
          </w:rPr>
          <w:instrText xml:space="preserve"> PAGEREF _Toc189820820 \h </w:instrText>
        </w:r>
        <w:r w:rsidR="00CF7B75">
          <w:rPr>
            <w:webHidden/>
          </w:rPr>
        </w:r>
        <w:r w:rsidR="00CF7B75">
          <w:rPr>
            <w:webHidden/>
          </w:rPr>
          <w:fldChar w:fldCharType="separate"/>
        </w:r>
        <w:r w:rsidR="000E5C41">
          <w:rPr>
            <w:webHidden/>
          </w:rPr>
          <w:t>12</w:t>
        </w:r>
        <w:r w:rsidR="00CF7B75">
          <w:rPr>
            <w:webHidden/>
          </w:rPr>
          <w:fldChar w:fldCharType="end"/>
        </w:r>
      </w:hyperlink>
    </w:p>
    <w:p w14:paraId="47A1FB5A" w14:textId="6F1E1F8F"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21" w:history="1">
        <w:r w:rsidR="00CF7B75" w:rsidRPr="006E1D94">
          <w:rPr>
            <w:rStyle w:val="Hyperlink"/>
          </w:rPr>
          <w:t>Enterprise</w:t>
        </w:r>
        <w:r w:rsidR="00CF7B75" w:rsidRPr="006E1D94">
          <w:rPr>
            <w:rStyle w:val="Hyperlink"/>
          </w:rPr>
          <w:noBreakHyphen/>
          <w:t>level governance</w:t>
        </w:r>
        <w:r w:rsidR="00CF7B75">
          <w:rPr>
            <w:webHidden/>
          </w:rPr>
          <w:tab/>
        </w:r>
        <w:r w:rsidR="00CF7B75">
          <w:rPr>
            <w:webHidden/>
          </w:rPr>
          <w:fldChar w:fldCharType="begin"/>
        </w:r>
        <w:r w:rsidR="00CF7B75">
          <w:rPr>
            <w:webHidden/>
          </w:rPr>
          <w:instrText xml:space="preserve"> PAGEREF _Toc189820821 \h </w:instrText>
        </w:r>
        <w:r w:rsidR="00CF7B75">
          <w:rPr>
            <w:webHidden/>
          </w:rPr>
        </w:r>
        <w:r w:rsidR="00CF7B75">
          <w:rPr>
            <w:webHidden/>
          </w:rPr>
          <w:fldChar w:fldCharType="separate"/>
        </w:r>
        <w:r w:rsidR="000E5C41">
          <w:rPr>
            <w:webHidden/>
          </w:rPr>
          <w:t>13</w:t>
        </w:r>
        <w:r w:rsidR="00CF7B75">
          <w:rPr>
            <w:webHidden/>
          </w:rPr>
          <w:fldChar w:fldCharType="end"/>
        </w:r>
      </w:hyperlink>
    </w:p>
    <w:p w14:paraId="2C348FF3" w14:textId="30242EE6"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22" w:history="1">
        <w:r w:rsidR="00CF7B75" w:rsidRPr="006E1D94">
          <w:rPr>
            <w:rStyle w:val="Hyperlink"/>
          </w:rPr>
          <w:t>Evaluation evidence use</w:t>
        </w:r>
        <w:r w:rsidR="00CF7B75">
          <w:rPr>
            <w:webHidden/>
          </w:rPr>
          <w:tab/>
        </w:r>
        <w:r w:rsidR="00CF7B75">
          <w:rPr>
            <w:webHidden/>
          </w:rPr>
          <w:fldChar w:fldCharType="begin"/>
        </w:r>
        <w:r w:rsidR="00CF7B75">
          <w:rPr>
            <w:webHidden/>
          </w:rPr>
          <w:instrText xml:space="preserve"> PAGEREF _Toc189820822 \h </w:instrText>
        </w:r>
        <w:r w:rsidR="00CF7B75">
          <w:rPr>
            <w:webHidden/>
          </w:rPr>
        </w:r>
        <w:r w:rsidR="00CF7B75">
          <w:rPr>
            <w:webHidden/>
          </w:rPr>
          <w:fldChar w:fldCharType="separate"/>
        </w:r>
        <w:r w:rsidR="000E5C41">
          <w:rPr>
            <w:webHidden/>
          </w:rPr>
          <w:t>15</w:t>
        </w:r>
        <w:r w:rsidR="00CF7B75">
          <w:rPr>
            <w:webHidden/>
          </w:rPr>
          <w:fldChar w:fldCharType="end"/>
        </w:r>
      </w:hyperlink>
    </w:p>
    <w:p w14:paraId="77833876" w14:textId="52E1DFB2"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23" w:history="1">
        <w:r w:rsidR="00CF7B75" w:rsidRPr="006E1D94">
          <w:rPr>
            <w:rStyle w:val="Hyperlink"/>
          </w:rPr>
          <w:t>Use of evaluation evidence</w:t>
        </w:r>
        <w:r w:rsidR="00CF7B75">
          <w:rPr>
            <w:webHidden/>
          </w:rPr>
          <w:tab/>
        </w:r>
        <w:r w:rsidR="00CF7B75">
          <w:rPr>
            <w:webHidden/>
          </w:rPr>
          <w:fldChar w:fldCharType="begin"/>
        </w:r>
        <w:r w:rsidR="00CF7B75">
          <w:rPr>
            <w:webHidden/>
          </w:rPr>
          <w:instrText xml:space="preserve"> PAGEREF _Toc189820823 \h </w:instrText>
        </w:r>
        <w:r w:rsidR="00CF7B75">
          <w:rPr>
            <w:webHidden/>
          </w:rPr>
        </w:r>
        <w:r w:rsidR="00CF7B75">
          <w:rPr>
            <w:webHidden/>
          </w:rPr>
          <w:fldChar w:fldCharType="separate"/>
        </w:r>
        <w:r w:rsidR="000E5C41">
          <w:rPr>
            <w:webHidden/>
          </w:rPr>
          <w:t>15</w:t>
        </w:r>
        <w:r w:rsidR="00CF7B75">
          <w:rPr>
            <w:webHidden/>
          </w:rPr>
          <w:fldChar w:fldCharType="end"/>
        </w:r>
      </w:hyperlink>
    </w:p>
    <w:p w14:paraId="001A093F" w14:textId="0B74F5E2"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24" w:history="1">
        <w:r w:rsidR="00CF7B75" w:rsidRPr="006E1D94">
          <w:rPr>
            <w:rStyle w:val="Hyperlink"/>
          </w:rPr>
          <w:t>Motivations</w:t>
        </w:r>
        <w:r w:rsidR="00CF7B75">
          <w:rPr>
            <w:webHidden/>
          </w:rPr>
          <w:tab/>
        </w:r>
        <w:r w:rsidR="00CF7B75">
          <w:rPr>
            <w:webHidden/>
          </w:rPr>
          <w:fldChar w:fldCharType="begin"/>
        </w:r>
        <w:r w:rsidR="00CF7B75">
          <w:rPr>
            <w:webHidden/>
          </w:rPr>
          <w:instrText xml:space="preserve"> PAGEREF _Toc189820824 \h </w:instrText>
        </w:r>
        <w:r w:rsidR="00CF7B75">
          <w:rPr>
            <w:webHidden/>
          </w:rPr>
        </w:r>
        <w:r w:rsidR="00CF7B75">
          <w:rPr>
            <w:webHidden/>
          </w:rPr>
          <w:fldChar w:fldCharType="separate"/>
        </w:r>
        <w:r w:rsidR="000E5C41">
          <w:rPr>
            <w:webHidden/>
          </w:rPr>
          <w:t>16</w:t>
        </w:r>
        <w:r w:rsidR="00CF7B75">
          <w:rPr>
            <w:webHidden/>
          </w:rPr>
          <w:fldChar w:fldCharType="end"/>
        </w:r>
      </w:hyperlink>
    </w:p>
    <w:p w14:paraId="01E16B77" w14:textId="0AA1A2E7"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25" w:history="1">
        <w:r w:rsidR="00CF7B75" w:rsidRPr="006E1D94">
          <w:rPr>
            <w:rStyle w:val="Hyperlink"/>
          </w:rPr>
          <w:t>Embedding evaluation into everyday practice</w:t>
        </w:r>
        <w:r w:rsidR="00CF7B75">
          <w:rPr>
            <w:webHidden/>
          </w:rPr>
          <w:tab/>
        </w:r>
        <w:r w:rsidR="00CF7B75">
          <w:rPr>
            <w:webHidden/>
          </w:rPr>
          <w:fldChar w:fldCharType="begin"/>
        </w:r>
        <w:r w:rsidR="00CF7B75">
          <w:rPr>
            <w:webHidden/>
          </w:rPr>
          <w:instrText xml:space="preserve"> PAGEREF _Toc189820825 \h </w:instrText>
        </w:r>
        <w:r w:rsidR="00CF7B75">
          <w:rPr>
            <w:webHidden/>
          </w:rPr>
        </w:r>
        <w:r w:rsidR="00CF7B75">
          <w:rPr>
            <w:webHidden/>
          </w:rPr>
          <w:fldChar w:fldCharType="separate"/>
        </w:r>
        <w:r w:rsidR="000E5C41">
          <w:rPr>
            <w:webHidden/>
          </w:rPr>
          <w:t>17</w:t>
        </w:r>
        <w:r w:rsidR="00CF7B75">
          <w:rPr>
            <w:webHidden/>
          </w:rPr>
          <w:fldChar w:fldCharType="end"/>
        </w:r>
      </w:hyperlink>
    </w:p>
    <w:p w14:paraId="3FE462D6" w14:textId="0CB214EB"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26" w:history="1">
        <w:r w:rsidR="00CF7B75" w:rsidRPr="006E1D94">
          <w:rPr>
            <w:rStyle w:val="Hyperlink"/>
          </w:rPr>
          <w:t>Evaluation evidence sharing</w:t>
        </w:r>
        <w:r w:rsidR="00CF7B75">
          <w:rPr>
            <w:webHidden/>
          </w:rPr>
          <w:tab/>
        </w:r>
        <w:r w:rsidR="00CF7B75">
          <w:rPr>
            <w:webHidden/>
          </w:rPr>
          <w:fldChar w:fldCharType="begin"/>
        </w:r>
        <w:r w:rsidR="00CF7B75">
          <w:rPr>
            <w:webHidden/>
          </w:rPr>
          <w:instrText xml:space="preserve"> PAGEREF _Toc189820826 \h </w:instrText>
        </w:r>
        <w:r w:rsidR="00CF7B75">
          <w:rPr>
            <w:webHidden/>
          </w:rPr>
        </w:r>
        <w:r w:rsidR="00CF7B75">
          <w:rPr>
            <w:webHidden/>
          </w:rPr>
          <w:fldChar w:fldCharType="separate"/>
        </w:r>
        <w:r w:rsidR="000E5C41">
          <w:rPr>
            <w:webHidden/>
          </w:rPr>
          <w:t>18</w:t>
        </w:r>
        <w:r w:rsidR="00CF7B75">
          <w:rPr>
            <w:webHidden/>
          </w:rPr>
          <w:fldChar w:fldCharType="end"/>
        </w:r>
      </w:hyperlink>
    </w:p>
    <w:p w14:paraId="37B09335" w14:textId="7684F9E1"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27" w:history="1">
        <w:r w:rsidR="00CF7B75" w:rsidRPr="006E1D94">
          <w:rPr>
            <w:rStyle w:val="Hyperlink"/>
          </w:rPr>
          <w:t>Barriers and enablers</w:t>
        </w:r>
        <w:r w:rsidR="00CF7B75">
          <w:rPr>
            <w:webHidden/>
          </w:rPr>
          <w:tab/>
        </w:r>
        <w:r w:rsidR="00CF7B75">
          <w:rPr>
            <w:webHidden/>
          </w:rPr>
          <w:fldChar w:fldCharType="begin"/>
        </w:r>
        <w:r w:rsidR="00CF7B75">
          <w:rPr>
            <w:webHidden/>
          </w:rPr>
          <w:instrText xml:space="preserve"> PAGEREF _Toc189820827 \h </w:instrText>
        </w:r>
        <w:r w:rsidR="00CF7B75">
          <w:rPr>
            <w:webHidden/>
          </w:rPr>
        </w:r>
        <w:r w:rsidR="00CF7B75">
          <w:rPr>
            <w:webHidden/>
          </w:rPr>
          <w:fldChar w:fldCharType="separate"/>
        </w:r>
        <w:r w:rsidR="000E5C41">
          <w:rPr>
            <w:webHidden/>
          </w:rPr>
          <w:t>19</w:t>
        </w:r>
        <w:r w:rsidR="00CF7B75">
          <w:rPr>
            <w:webHidden/>
          </w:rPr>
          <w:fldChar w:fldCharType="end"/>
        </w:r>
      </w:hyperlink>
    </w:p>
    <w:p w14:paraId="0C0C2C41" w14:textId="68CCCB1C"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28" w:history="1">
        <w:r w:rsidR="00CF7B75" w:rsidRPr="006E1D94">
          <w:rPr>
            <w:rStyle w:val="Hyperlink"/>
          </w:rPr>
          <w:t>Evaluation capability building</w:t>
        </w:r>
        <w:r w:rsidR="00CF7B75">
          <w:rPr>
            <w:webHidden/>
          </w:rPr>
          <w:tab/>
        </w:r>
        <w:r w:rsidR="00CF7B75">
          <w:rPr>
            <w:webHidden/>
          </w:rPr>
          <w:fldChar w:fldCharType="begin"/>
        </w:r>
        <w:r w:rsidR="00CF7B75">
          <w:rPr>
            <w:webHidden/>
          </w:rPr>
          <w:instrText xml:space="preserve"> PAGEREF _Toc189820828 \h </w:instrText>
        </w:r>
        <w:r w:rsidR="00CF7B75">
          <w:rPr>
            <w:webHidden/>
          </w:rPr>
        </w:r>
        <w:r w:rsidR="00CF7B75">
          <w:rPr>
            <w:webHidden/>
          </w:rPr>
          <w:fldChar w:fldCharType="separate"/>
        </w:r>
        <w:r w:rsidR="000E5C41">
          <w:rPr>
            <w:webHidden/>
          </w:rPr>
          <w:t>20</w:t>
        </w:r>
        <w:r w:rsidR="00CF7B75">
          <w:rPr>
            <w:webHidden/>
          </w:rPr>
          <w:fldChar w:fldCharType="end"/>
        </w:r>
      </w:hyperlink>
    </w:p>
    <w:p w14:paraId="4A0A5E7A" w14:textId="6B1DBC51"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29" w:history="1">
        <w:r w:rsidR="00CF7B75" w:rsidRPr="006E1D94">
          <w:rPr>
            <w:rStyle w:val="Hyperlink"/>
          </w:rPr>
          <w:t>Capability building</w:t>
        </w:r>
        <w:r w:rsidR="00CF7B75">
          <w:rPr>
            <w:webHidden/>
          </w:rPr>
          <w:tab/>
        </w:r>
        <w:r w:rsidR="00CF7B75">
          <w:rPr>
            <w:webHidden/>
          </w:rPr>
          <w:fldChar w:fldCharType="begin"/>
        </w:r>
        <w:r w:rsidR="00CF7B75">
          <w:rPr>
            <w:webHidden/>
          </w:rPr>
          <w:instrText xml:space="preserve"> PAGEREF _Toc189820829 \h </w:instrText>
        </w:r>
        <w:r w:rsidR="00CF7B75">
          <w:rPr>
            <w:webHidden/>
          </w:rPr>
        </w:r>
        <w:r w:rsidR="00CF7B75">
          <w:rPr>
            <w:webHidden/>
          </w:rPr>
          <w:fldChar w:fldCharType="separate"/>
        </w:r>
        <w:r w:rsidR="000E5C41">
          <w:rPr>
            <w:webHidden/>
          </w:rPr>
          <w:t>20</w:t>
        </w:r>
        <w:r w:rsidR="00CF7B75">
          <w:rPr>
            <w:webHidden/>
          </w:rPr>
          <w:fldChar w:fldCharType="end"/>
        </w:r>
      </w:hyperlink>
    </w:p>
    <w:p w14:paraId="0AD75640" w14:textId="7C2818A6"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30" w:history="1">
        <w:r w:rsidR="00CF7B75" w:rsidRPr="006E1D94">
          <w:rPr>
            <w:rStyle w:val="Hyperlink"/>
          </w:rPr>
          <w:t>Culturally appropriate and ethical evaluation</w:t>
        </w:r>
        <w:r w:rsidR="00CF7B75">
          <w:rPr>
            <w:webHidden/>
          </w:rPr>
          <w:tab/>
        </w:r>
        <w:r w:rsidR="00CF7B75">
          <w:rPr>
            <w:webHidden/>
          </w:rPr>
          <w:fldChar w:fldCharType="begin"/>
        </w:r>
        <w:r w:rsidR="00CF7B75">
          <w:rPr>
            <w:webHidden/>
          </w:rPr>
          <w:instrText xml:space="preserve"> PAGEREF _Toc189820830 \h </w:instrText>
        </w:r>
        <w:r w:rsidR="00CF7B75">
          <w:rPr>
            <w:webHidden/>
          </w:rPr>
        </w:r>
        <w:r w:rsidR="00CF7B75">
          <w:rPr>
            <w:webHidden/>
          </w:rPr>
          <w:fldChar w:fldCharType="separate"/>
        </w:r>
        <w:r w:rsidR="000E5C41">
          <w:rPr>
            <w:webHidden/>
          </w:rPr>
          <w:t>21</w:t>
        </w:r>
        <w:r w:rsidR="00CF7B75">
          <w:rPr>
            <w:webHidden/>
          </w:rPr>
          <w:fldChar w:fldCharType="end"/>
        </w:r>
      </w:hyperlink>
    </w:p>
    <w:p w14:paraId="02148642" w14:textId="145584FA"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31" w:history="1">
        <w:r w:rsidR="00CF7B75" w:rsidRPr="006E1D94">
          <w:rPr>
            <w:rStyle w:val="Hyperlink"/>
          </w:rPr>
          <w:t>Future priorities</w:t>
        </w:r>
        <w:r w:rsidR="00CF7B75">
          <w:rPr>
            <w:webHidden/>
          </w:rPr>
          <w:tab/>
        </w:r>
        <w:r w:rsidR="00CF7B75">
          <w:rPr>
            <w:webHidden/>
          </w:rPr>
          <w:fldChar w:fldCharType="begin"/>
        </w:r>
        <w:r w:rsidR="00CF7B75">
          <w:rPr>
            <w:webHidden/>
          </w:rPr>
          <w:instrText xml:space="preserve"> PAGEREF _Toc189820831 \h </w:instrText>
        </w:r>
        <w:r w:rsidR="00CF7B75">
          <w:rPr>
            <w:webHidden/>
          </w:rPr>
        </w:r>
        <w:r w:rsidR="00CF7B75">
          <w:rPr>
            <w:webHidden/>
          </w:rPr>
          <w:fldChar w:fldCharType="separate"/>
        </w:r>
        <w:r w:rsidR="000E5C41">
          <w:rPr>
            <w:webHidden/>
          </w:rPr>
          <w:t>23</w:t>
        </w:r>
        <w:r w:rsidR="00CF7B75">
          <w:rPr>
            <w:webHidden/>
          </w:rPr>
          <w:fldChar w:fldCharType="end"/>
        </w:r>
      </w:hyperlink>
    </w:p>
    <w:p w14:paraId="686F3D82" w14:textId="05203009"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32" w:history="1">
        <w:r w:rsidR="00CF7B75" w:rsidRPr="006E1D94">
          <w:rPr>
            <w:rStyle w:val="Hyperlink"/>
          </w:rPr>
          <w:t>The ACE’s role in capability building</w:t>
        </w:r>
        <w:r w:rsidR="00CF7B75">
          <w:rPr>
            <w:webHidden/>
          </w:rPr>
          <w:tab/>
        </w:r>
        <w:r w:rsidR="00CF7B75">
          <w:rPr>
            <w:webHidden/>
          </w:rPr>
          <w:fldChar w:fldCharType="begin"/>
        </w:r>
        <w:r w:rsidR="00CF7B75">
          <w:rPr>
            <w:webHidden/>
          </w:rPr>
          <w:instrText xml:space="preserve"> PAGEREF _Toc189820832 \h </w:instrText>
        </w:r>
        <w:r w:rsidR="00CF7B75">
          <w:rPr>
            <w:webHidden/>
          </w:rPr>
        </w:r>
        <w:r w:rsidR="00CF7B75">
          <w:rPr>
            <w:webHidden/>
          </w:rPr>
          <w:fldChar w:fldCharType="separate"/>
        </w:r>
        <w:r w:rsidR="000E5C41">
          <w:rPr>
            <w:webHidden/>
          </w:rPr>
          <w:t>24</w:t>
        </w:r>
        <w:r w:rsidR="00CF7B75">
          <w:rPr>
            <w:webHidden/>
          </w:rPr>
          <w:fldChar w:fldCharType="end"/>
        </w:r>
      </w:hyperlink>
    </w:p>
    <w:p w14:paraId="0E979287" w14:textId="1CB374BA"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33" w:history="1">
        <w:r w:rsidR="00CF7B75" w:rsidRPr="006E1D94">
          <w:rPr>
            <w:rStyle w:val="Hyperlink"/>
          </w:rPr>
          <w:t>Appendix 1: Evaluation reforms in the Australian Government</w:t>
        </w:r>
        <w:r w:rsidR="00CF7B75">
          <w:rPr>
            <w:webHidden/>
          </w:rPr>
          <w:tab/>
        </w:r>
        <w:r w:rsidR="00CF7B75">
          <w:rPr>
            <w:webHidden/>
          </w:rPr>
          <w:fldChar w:fldCharType="begin"/>
        </w:r>
        <w:r w:rsidR="00CF7B75">
          <w:rPr>
            <w:webHidden/>
          </w:rPr>
          <w:instrText xml:space="preserve"> PAGEREF _Toc189820833 \h </w:instrText>
        </w:r>
        <w:r w:rsidR="00CF7B75">
          <w:rPr>
            <w:webHidden/>
          </w:rPr>
        </w:r>
        <w:r w:rsidR="00CF7B75">
          <w:rPr>
            <w:webHidden/>
          </w:rPr>
          <w:fldChar w:fldCharType="separate"/>
        </w:r>
        <w:r w:rsidR="000E5C41">
          <w:rPr>
            <w:webHidden/>
          </w:rPr>
          <w:t>26</w:t>
        </w:r>
        <w:r w:rsidR="00CF7B75">
          <w:rPr>
            <w:webHidden/>
          </w:rPr>
          <w:fldChar w:fldCharType="end"/>
        </w:r>
      </w:hyperlink>
    </w:p>
    <w:p w14:paraId="67DCF78B" w14:textId="13DF8E3A"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34" w:history="1">
        <w:r w:rsidR="00CF7B75" w:rsidRPr="006E1D94">
          <w:rPr>
            <w:rStyle w:val="Hyperlink"/>
          </w:rPr>
          <w:t>Appendix 2: Method and analytic approach</w:t>
        </w:r>
        <w:r w:rsidR="00CF7B75">
          <w:rPr>
            <w:webHidden/>
          </w:rPr>
          <w:tab/>
        </w:r>
        <w:r w:rsidR="00CF7B75">
          <w:rPr>
            <w:webHidden/>
          </w:rPr>
          <w:fldChar w:fldCharType="begin"/>
        </w:r>
        <w:r w:rsidR="00CF7B75">
          <w:rPr>
            <w:webHidden/>
          </w:rPr>
          <w:instrText xml:space="preserve"> PAGEREF _Toc189820834 \h </w:instrText>
        </w:r>
        <w:r w:rsidR="00CF7B75">
          <w:rPr>
            <w:webHidden/>
          </w:rPr>
        </w:r>
        <w:r w:rsidR="00CF7B75">
          <w:rPr>
            <w:webHidden/>
          </w:rPr>
          <w:fldChar w:fldCharType="separate"/>
        </w:r>
        <w:r w:rsidR="000E5C41">
          <w:rPr>
            <w:webHidden/>
          </w:rPr>
          <w:t>27</w:t>
        </w:r>
        <w:r w:rsidR="00CF7B75">
          <w:rPr>
            <w:webHidden/>
          </w:rPr>
          <w:fldChar w:fldCharType="end"/>
        </w:r>
      </w:hyperlink>
    </w:p>
    <w:p w14:paraId="231179AC" w14:textId="3996E1F3"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35" w:history="1">
        <w:r w:rsidR="00CF7B75" w:rsidRPr="006E1D94">
          <w:rPr>
            <w:rStyle w:val="Hyperlink"/>
          </w:rPr>
          <w:t>Appendix 3: Responding entities</w:t>
        </w:r>
        <w:r w:rsidR="00CF7B75">
          <w:rPr>
            <w:webHidden/>
          </w:rPr>
          <w:tab/>
        </w:r>
        <w:r w:rsidR="00CF7B75">
          <w:rPr>
            <w:webHidden/>
          </w:rPr>
          <w:fldChar w:fldCharType="begin"/>
        </w:r>
        <w:r w:rsidR="00CF7B75">
          <w:rPr>
            <w:webHidden/>
          </w:rPr>
          <w:instrText xml:space="preserve"> PAGEREF _Toc189820835 \h </w:instrText>
        </w:r>
        <w:r w:rsidR="00CF7B75">
          <w:rPr>
            <w:webHidden/>
          </w:rPr>
        </w:r>
        <w:r w:rsidR="00CF7B75">
          <w:rPr>
            <w:webHidden/>
          </w:rPr>
          <w:fldChar w:fldCharType="separate"/>
        </w:r>
        <w:r w:rsidR="000E5C41">
          <w:rPr>
            <w:webHidden/>
          </w:rPr>
          <w:t>29</w:t>
        </w:r>
        <w:r w:rsidR="00CF7B75">
          <w:rPr>
            <w:webHidden/>
          </w:rPr>
          <w:fldChar w:fldCharType="end"/>
        </w:r>
      </w:hyperlink>
    </w:p>
    <w:p w14:paraId="70757DB8" w14:textId="480FD426"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36" w:history="1">
        <w:r w:rsidR="00CF7B75" w:rsidRPr="006E1D94">
          <w:rPr>
            <w:rStyle w:val="Hyperlink"/>
          </w:rPr>
          <w:t>Appendix 4: Stocktake results</w:t>
        </w:r>
        <w:r w:rsidR="00CF7B75">
          <w:rPr>
            <w:webHidden/>
          </w:rPr>
          <w:tab/>
        </w:r>
        <w:r w:rsidR="00CF7B75">
          <w:rPr>
            <w:webHidden/>
          </w:rPr>
          <w:fldChar w:fldCharType="begin"/>
        </w:r>
        <w:r w:rsidR="00CF7B75">
          <w:rPr>
            <w:webHidden/>
          </w:rPr>
          <w:instrText xml:space="preserve"> PAGEREF _Toc189820836 \h </w:instrText>
        </w:r>
        <w:r w:rsidR="00CF7B75">
          <w:rPr>
            <w:webHidden/>
          </w:rPr>
        </w:r>
        <w:r w:rsidR="00CF7B75">
          <w:rPr>
            <w:webHidden/>
          </w:rPr>
          <w:fldChar w:fldCharType="separate"/>
        </w:r>
        <w:r w:rsidR="000E5C41">
          <w:rPr>
            <w:webHidden/>
          </w:rPr>
          <w:t>32</w:t>
        </w:r>
        <w:r w:rsidR="00CF7B75">
          <w:rPr>
            <w:webHidden/>
          </w:rPr>
          <w:fldChar w:fldCharType="end"/>
        </w:r>
      </w:hyperlink>
    </w:p>
    <w:p w14:paraId="6664EB8F" w14:textId="22167760"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37" w:history="1">
        <w:r w:rsidR="00CF7B75" w:rsidRPr="006E1D94">
          <w:rPr>
            <w:rStyle w:val="Hyperlink"/>
          </w:rPr>
          <w:t>Appendix 5: Survey results (table format)</w:t>
        </w:r>
        <w:r w:rsidR="00CF7B75">
          <w:rPr>
            <w:webHidden/>
          </w:rPr>
          <w:tab/>
        </w:r>
        <w:r w:rsidR="00CF7B75">
          <w:rPr>
            <w:webHidden/>
          </w:rPr>
          <w:fldChar w:fldCharType="begin"/>
        </w:r>
        <w:r w:rsidR="00CF7B75">
          <w:rPr>
            <w:webHidden/>
          </w:rPr>
          <w:instrText xml:space="preserve"> PAGEREF _Toc189820837 \h </w:instrText>
        </w:r>
        <w:r w:rsidR="00CF7B75">
          <w:rPr>
            <w:webHidden/>
          </w:rPr>
        </w:r>
        <w:r w:rsidR="00CF7B75">
          <w:rPr>
            <w:webHidden/>
          </w:rPr>
          <w:fldChar w:fldCharType="separate"/>
        </w:r>
        <w:r w:rsidR="000E5C41">
          <w:rPr>
            <w:webHidden/>
          </w:rPr>
          <w:t>33</w:t>
        </w:r>
        <w:r w:rsidR="00CF7B75">
          <w:rPr>
            <w:webHidden/>
          </w:rPr>
          <w:fldChar w:fldCharType="end"/>
        </w:r>
      </w:hyperlink>
    </w:p>
    <w:p w14:paraId="48ADC68F" w14:textId="1B8B7D2E" w:rsidR="00CF7B75" w:rsidRDefault="00FC0B8F">
      <w:pPr>
        <w:pStyle w:val="TOC1"/>
        <w:rPr>
          <w:rFonts w:asciiTheme="minorHAnsi" w:eastAsiaTheme="minorEastAsia" w:hAnsiTheme="minorHAnsi" w:cstheme="minorBidi"/>
          <w:b w:val="0"/>
          <w:color w:val="auto"/>
          <w:kern w:val="2"/>
          <w:sz w:val="24"/>
          <w:szCs w:val="24"/>
          <w14:ligatures w14:val="standardContextual"/>
        </w:rPr>
      </w:pPr>
      <w:hyperlink w:anchor="_Toc189820838" w:history="1">
        <w:r w:rsidR="00CF7B75" w:rsidRPr="006E1D94">
          <w:rPr>
            <w:rStyle w:val="Hyperlink"/>
          </w:rPr>
          <w:t>Appendix 6: Survey results (graph format)</w:t>
        </w:r>
        <w:r w:rsidR="00CF7B75">
          <w:rPr>
            <w:webHidden/>
          </w:rPr>
          <w:tab/>
        </w:r>
        <w:r w:rsidR="00CF7B75">
          <w:rPr>
            <w:webHidden/>
          </w:rPr>
          <w:fldChar w:fldCharType="begin"/>
        </w:r>
        <w:r w:rsidR="00CF7B75">
          <w:rPr>
            <w:webHidden/>
          </w:rPr>
          <w:instrText xml:space="preserve"> PAGEREF _Toc189820838 \h </w:instrText>
        </w:r>
        <w:r w:rsidR="00CF7B75">
          <w:rPr>
            <w:webHidden/>
          </w:rPr>
        </w:r>
        <w:r w:rsidR="00CF7B75">
          <w:rPr>
            <w:webHidden/>
          </w:rPr>
          <w:fldChar w:fldCharType="separate"/>
        </w:r>
        <w:r w:rsidR="000E5C41">
          <w:rPr>
            <w:webHidden/>
          </w:rPr>
          <w:t>39</w:t>
        </w:r>
        <w:r w:rsidR="00CF7B75">
          <w:rPr>
            <w:webHidden/>
          </w:rPr>
          <w:fldChar w:fldCharType="end"/>
        </w:r>
      </w:hyperlink>
    </w:p>
    <w:p w14:paraId="4DA72E38" w14:textId="3B64BF85"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39" w:history="1">
        <w:r w:rsidR="00CF7B75" w:rsidRPr="006E1D94">
          <w:rPr>
            <w:rStyle w:val="Hyperlink"/>
          </w:rPr>
          <w:t>Agency information</w:t>
        </w:r>
        <w:r w:rsidR="00CF7B75">
          <w:rPr>
            <w:webHidden/>
          </w:rPr>
          <w:tab/>
        </w:r>
        <w:r w:rsidR="00CF7B75">
          <w:rPr>
            <w:webHidden/>
          </w:rPr>
          <w:fldChar w:fldCharType="begin"/>
        </w:r>
        <w:r w:rsidR="00CF7B75">
          <w:rPr>
            <w:webHidden/>
          </w:rPr>
          <w:instrText xml:space="preserve"> PAGEREF _Toc189820839 \h </w:instrText>
        </w:r>
        <w:r w:rsidR="00CF7B75">
          <w:rPr>
            <w:webHidden/>
          </w:rPr>
        </w:r>
        <w:r w:rsidR="00CF7B75">
          <w:rPr>
            <w:webHidden/>
          </w:rPr>
          <w:fldChar w:fldCharType="separate"/>
        </w:r>
        <w:r w:rsidR="000E5C41">
          <w:rPr>
            <w:webHidden/>
          </w:rPr>
          <w:t>39</w:t>
        </w:r>
        <w:r w:rsidR="00CF7B75">
          <w:rPr>
            <w:webHidden/>
          </w:rPr>
          <w:fldChar w:fldCharType="end"/>
        </w:r>
      </w:hyperlink>
    </w:p>
    <w:p w14:paraId="21A5051E" w14:textId="574FB4A2"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40" w:history="1">
        <w:r w:rsidR="00CF7B75" w:rsidRPr="006E1D94">
          <w:rPr>
            <w:rStyle w:val="Hyperlink"/>
          </w:rPr>
          <w:t>Evaluation design and planning</w:t>
        </w:r>
        <w:r w:rsidR="00CF7B75">
          <w:rPr>
            <w:webHidden/>
          </w:rPr>
          <w:tab/>
        </w:r>
        <w:r w:rsidR="00CF7B75">
          <w:rPr>
            <w:webHidden/>
          </w:rPr>
          <w:fldChar w:fldCharType="begin"/>
        </w:r>
        <w:r w:rsidR="00CF7B75">
          <w:rPr>
            <w:webHidden/>
          </w:rPr>
          <w:instrText xml:space="preserve"> PAGEREF _Toc189820840 \h </w:instrText>
        </w:r>
        <w:r w:rsidR="00CF7B75">
          <w:rPr>
            <w:webHidden/>
          </w:rPr>
        </w:r>
        <w:r w:rsidR="00CF7B75">
          <w:rPr>
            <w:webHidden/>
          </w:rPr>
          <w:fldChar w:fldCharType="separate"/>
        </w:r>
        <w:r w:rsidR="000E5C41">
          <w:rPr>
            <w:webHidden/>
          </w:rPr>
          <w:t>45</w:t>
        </w:r>
        <w:r w:rsidR="00CF7B75">
          <w:rPr>
            <w:webHidden/>
          </w:rPr>
          <w:fldChar w:fldCharType="end"/>
        </w:r>
      </w:hyperlink>
    </w:p>
    <w:p w14:paraId="52C22385" w14:textId="2EBC2ADE"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41" w:history="1">
        <w:r w:rsidR="00CF7B75" w:rsidRPr="006E1D94">
          <w:rPr>
            <w:rStyle w:val="Hyperlink"/>
          </w:rPr>
          <w:t>Evaluation evidence use</w:t>
        </w:r>
        <w:r w:rsidR="00CF7B75">
          <w:rPr>
            <w:webHidden/>
          </w:rPr>
          <w:tab/>
        </w:r>
        <w:r w:rsidR="00CF7B75">
          <w:rPr>
            <w:webHidden/>
          </w:rPr>
          <w:fldChar w:fldCharType="begin"/>
        </w:r>
        <w:r w:rsidR="00CF7B75">
          <w:rPr>
            <w:webHidden/>
          </w:rPr>
          <w:instrText xml:space="preserve"> PAGEREF _Toc189820841 \h </w:instrText>
        </w:r>
        <w:r w:rsidR="00CF7B75">
          <w:rPr>
            <w:webHidden/>
          </w:rPr>
        </w:r>
        <w:r w:rsidR="00CF7B75">
          <w:rPr>
            <w:webHidden/>
          </w:rPr>
          <w:fldChar w:fldCharType="separate"/>
        </w:r>
        <w:r w:rsidR="000E5C41">
          <w:rPr>
            <w:webHidden/>
          </w:rPr>
          <w:t>57</w:t>
        </w:r>
        <w:r w:rsidR="00CF7B75">
          <w:rPr>
            <w:webHidden/>
          </w:rPr>
          <w:fldChar w:fldCharType="end"/>
        </w:r>
      </w:hyperlink>
    </w:p>
    <w:p w14:paraId="7CD97410" w14:textId="43224EF7" w:rsidR="00CF7B75" w:rsidRDefault="00FC0B8F">
      <w:pPr>
        <w:pStyle w:val="TOC2"/>
        <w:rPr>
          <w:rFonts w:asciiTheme="minorHAnsi" w:eastAsiaTheme="minorEastAsia" w:hAnsiTheme="minorHAnsi" w:cstheme="minorBidi"/>
          <w:color w:val="auto"/>
          <w:kern w:val="2"/>
          <w:sz w:val="24"/>
          <w:szCs w:val="24"/>
          <w14:ligatures w14:val="standardContextual"/>
        </w:rPr>
      </w:pPr>
      <w:hyperlink w:anchor="_Toc189820842" w:history="1">
        <w:r w:rsidR="00CF7B75" w:rsidRPr="006E1D94">
          <w:rPr>
            <w:rStyle w:val="Hyperlink"/>
          </w:rPr>
          <w:t>Evaluation capability building</w:t>
        </w:r>
        <w:r w:rsidR="00CF7B75">
          <w:rPr>
            <w:webHidden/>
          </w:rPr>
          <w:tab/>
        </w:r>
        <w:r w:rsidR="00CF7B75">
          <w:rPr>
            <w:webHidden/>
          </w:rPr>
          <w:fldChar w:fldCharType="begin"/>
        </w:r>
        <w:r w:rsidR="00CF7B75">
          <w:rPr>
            <w:webHidden/>
          </w:rPr>
          <w:instrText xml:space="preserve"> PAGEREF _Toc189820842 \h </w:instrText>
        </w:r>
        <w:r w:rsidR="00CF7B75">
          <w:rPr>
            <w:webHidden/>
          </w:rPr>
        </w:r>
        <w:r w:rsidR="00CF7B75">
          <w:rPr>
            <w:webHidden/>
          </w:rPr>
          <w:fldChar w:fldCharType="separate"/>
        </w:r>
        <w:r w:rsidR="000E5C41">
          <w:rPr>
            <w:webHidden/>
          </w:rPr>
          <w:t>60</w:t>
        </w:r>
        <w:r w:rsidR="00CF7B75">
          <w:rPr>
            <w:webHidden/>
          </w:rPr>
          <w:fldChar w:fldCharType="end"/>
        </w:r>
      </w:hyperlink>
    </w:p>
    <w:p w14:paraId="695A832B" w14:textId="4B218B9F" w:rsidR="0044523F" w:rsidRPr="00626080" w:rsidRDefault="0044523F" w:rsidP="0044523F">
      <w:pPr>
        <w:pStyle w:val="SingleParagraph"/>
        <w:ind w:right="-2"/>
        <w:sectPr w:rsidR="0044523F" w:rsidRPr="00626080" w:rsidSect="007A42CE">
          <w:headerReference w:type="even" r:id="rId9"/>
          <w:headerReference w:type="default" r:id="rId10"/>
          <w:footerReference w:type="even" r:id="rId11"/>
          <w:footerReference w:type="default" r:id="rId12"/>
          <w:headerReference w:type="first" r:id="rId13"/>
          <w:footerReference w:type="first" r:id="rId14"/>
          <w:pgSz w:w="11906" w:h="16838" w:code="9"/>
          <w:pgMar w:top="1843" w:right="1418" w:bottom="1418" w:left="1418" w:header="709" w:footer="709" w:gutter="0"/>
          <w:pgNumType w:fmt="lowerRoman" w:start="3"/>
          <w:cols w:space="708"/>
          <w:titlePg/>
          <w:docGrid w:linePitch="360"/>
        </w:sectPr>
      </w:pPr>
      <w:r>
        <w:fldChar w:fldCharType="end"/>
      </w:r>
    </w:p>
    <w:p w14:paraId="50EAE94B" w14:textId="0C151D33" w:rsidR="006F0AF8" w:rsidRPr="0089013A" w:rsidRDefault="006F0AF8" w:rsidP="009902F5">
      <w:pPr>
        <w:pStyle w:val="Heading1"/>
        <w:spacing w:before="0"/>
      </w:pPr>
      <w:bookmarkStart w:id="3" w:name="_Toc189820809"/>
      <w:bookmarkEnd w:id="1"/>
      <w:bookmarkEnd w:id="2"/>
      <w:r w:rsidRPr="0089013A">
        <w:lastRenderedPageBreak/>
        <w:t>Foreword</w:t>
      </w:r>
      <w:bookmarkEnd w:id="3"/>
    </w:p>
    <w:p w14:paraId="625F567C" w14:textId="41BCEECC" w:rsidR="00D53D0E" w:rsidRDefault="00705BE2" w:rsidP="006F0AF8">
      <w:r>
        <w:t xml:space="preserve">The Australian Centre for Evaluation (ACE) </w:t>
      </w:r>
      <w:r w:rsidR="00D741BA">
        <w:t>was</w:t>
      </w:r>
      <w:r>
        <w:t xml:space="preserve"> established with an ambitious agenda to improve the volume, quality, and use of evaluation evidence to support better polic</w:t>
      </w:r>
      <w:r w:rsidR="005B3098">
        <w:t>ies</w:t>
      </w:r>
      <w:r>
        <w:t xml:space="preserve"> and programs that improve the lives of Australians. </w:t>
      </w:r>
    </w:p>
    <w:p w14:paraId="4E0DD1FE" w14:textId="7E342AD1" w:rsidR="00A936B5" w:rsidRDefault="00705BE2" w:rsidP="006F0AF8">
      <w:r>
        <w:t xml:space="preserve">To deliver on </w:t>
      </w:r>
      <w:r w:rsidR="00C14D47">
        <w:t>the ACE</w:t>
      </w:r>
      <w:r w:rsidR="00AD4DCC">
        <w:t>’</w:t>
      </w:r>
      <w:r w:rsidR="00C14D47">
        <w:t>s</w:t>
      </w:r>
      <w:r>
        <w:t xml:space="preserve"> mission, </w:t>
      </w:r>
      <w:r w:rsidR="000909EC">
        <w:t xml:space="preserve">this </w:t>
      </w:r>
      <w:r w:rsidR="00C83454">
        <w:t>State of Evaluation repor</w:t>
      </w:r>
      <w:r w:rsidR="000909EC">
        <w:t>t</w:t>
      </w:r>
      <w:r w:rsidR="00C83454">
        <w:t xml:space="preserve"> seeks</w:t>
      </w:r>
      <w:r w:rsidR="00AC0991">
        <w:t xml:space="preserve"> to establish </w:t>
      </w:r>
      <w:r w:rsidR="002F1C84">
        <w:t xml:space="preserve">baseline </w:t>
      </w:r>
      <w:r w:rsidR="00AC0991">
        <w:t xml:space="preserve">information about </w:t>
      </w:r>
      <w:r w:rsidR="00AF3E43">
        <w:t xml:space="preserve">the </w:t>
      </w:r>
      <w:r w:rsidR="009D78EA">
        <w:t xml:space="preserve">current </w:t>
      </w:r>
      <w:r w:rsidR="00AF3E43">
        <w:t xml:space="preserve">state of </w:t>
      </w:r>
      <w:r w:rsidR="00C905D5">
        <w:t>evaluation practices, capabilities, and culture</w:t>
      </w:r>
      <w:r w:rsidR="00FF621B">
        <w:t xml:space="preserve"> </w:t>
      </w:r>
      <w:r w:rsidR="00251C8F">
        <w:t xml:space="preserve">across </w:t>
      </w:r>
      <w:r w:rsidR="00F35953">
        <w:t xml:space="preserve">the Australian </w:t>
      </w:r>
      <w:r w:rsidR="00C80C88">
        <w:t>P</w:t>
      </w:r>
      <w:r w:rsidR="00305270">
        <w:t xml:space="preserve">ublic </w:t>
      </w:r>
      <w:r w:rsidR="00C80C88">
        <w:t>S</w:t>
      </w:r>
      <w:r w:rsidR="00305270">
        <w:t>ervice</w:t>
      </w:r>
      <w:r w:rsidR="00BB4DBC">
        <w:t xml:space="preserve"> (APS)</w:t>
      </w:r>
      <w:r w:rsidR="003815AC">
        <w:t xml:space="preserve">. </w:t>
      </w:r>
    </w:p>
    <w:p w14:paraId="3E166167" w14:textId="31B0E14C" w:rsidR="00097EC1" w:rsidRDefault="0035087A" w:rsidP="00097EC1">
      <w:r>
        <w:t xml:space="preserve">This </w:t>
      </w:r>
      <w:r w:rsidR="00F11641">
        <w:t>inaugural</w:t>
      </w:r>
      <w:r>
        <w:t xml:space="preserve"> </w:t>
      </w:r>
      <w:r w:rsidR="00BE27AF">
        <w:t xml:space="preserve">report </w:t>
      </w:r>
      <w:r w:rsidR="009A36E2">
        <w:t>reflects a whole</w:t>
      </w:r>
      <w:r w:rsidR="00AD4DCC">
        <w:noBreakHyphen/>
      </w:r>
      <w:r w:rsidR="009A36E2">
        <w:t>of</w:t>
      </w:r>
      <w:r w:rsidR="00AD4DCC">
        <w:noBreakHyphen/>
      </w:r>
      <w:r w:rsidR="009A36E2">
        <w:t xml:space="preserve">government approach to </w:t>
      </w:r>
      <w:r w:rsidR="00E95185">
        <w:t xml:space="preserve">assess </w:t>
      </w:r>
      <w:r w:rsidR="00AD7A22">
        <w:t xml:space="preserve">how evaluation is being used to </w:t>
      </w:r>
      <w:r w:rsidR="00E95185">
        <w:t xml:space="preserve">understand what works, for whom, and why. </w:t>
      </w:r>
      <w:r w:rsidR="00097EC1">
        <w:t>Beyond quantifying the number and nature of evaluation</w:t>
      </w:r>
      <w:r w:rsidR="00683D72">
        <w:t>s</w:t>
      </w:r>
      <w:r w:rsidR="00097EC1">
        <w:t xml:space="preserve"> across government, it aims to understand the organisational supports, systems and processes that </w:t>
      </w:r>
      <w:r w:rsidR="00144473">
        <w:t>help</w:t>
      </w:r>
      <w:r w:rsidR="00097EC1">
        <w:t xml:space="preserve"> to ensure evaluations are robust, ethical, and culturally appropriate. </w:t>
      </w:r>
    </w:p>
    <w:p w14:paraId="2C5C7D57" w14:textId="4DECDE43" w:rsidR="00AF3ACE" w:rsidRDefault="00C814C2" w:rsidP="008D4029">
      <w:r>
        <w:t>The f</w:t>
      </w:r>
      <w:r w:rsidR="006A2EDE">
        <w:t xml:space="preserve">indings </w:t>
      </w:r>
      <w:r w:rsidR="00DA2A37">
        <w:t>from the State of Evaluation survey and stocktake</w:t>
      </w:r>
      <w:r w:rsidR="006A2EDE">
        <w:t xml:space="preserve"> </w:t>
      </w:r>
      <w:r w:rsidR="00BB4DBC">
        <w:t xml:space="preserve">show that while there are promising signs of increasing evaluation effort across the APS, there is </w:t>
      </w:r>
      <w:r w:rsidR="00543AC4">
        <w:t xml:space="preserve">still work to do to achieve </w:t>
      </w:r>
      <w:r w:rsidR="00D84BF1">
        <w:t>consistent and high</w:t>
      </w:r>
      <w:r w:rsidR="00AD4DCC">
        <w:noBreakHyphen/>
      </w:r>
      <w:r w:rsidR="00D84BF1">
        <w:t xml:space="preserve">quality evaluation practice </w:t>
      </w:r>
      <w:r w:rsidR="00680682">
        <w:t>and a genuine culture of evaluation.</w:t>
      </w:r>
      <w:r w:rsidR="00D84BF1">
        <w:t xml:space="preserve"> </w:t>
      </w:r>
      <w:r w:rsidR="00705087">
        <w:t xml:space="preserve">We also need to work together to ensure all </w:t>
      </w:r>
      <w:r w:rsidR="006B06B4">
        <w:t xml:space="preserve">departments and agencies </w:t>
      </w:r>
      <w:proofErr w:type="gramStart"/>
      <w:r w:rsidR="006B06B4">
        <w:t>are able to</w:t>
      </w:r>
      <w:proofErr w:type="gramEnd"/>
      <w:r w:rsidR="006B06B4">
        <w:t xml:space="preserve"> deliver</w:t>
      </w:r>
      <w:r w:rsidR="00812855">
        <w:t xml:space="preserve"> fit</w:t>
      </w:r>
      <w:r w:rsidR="00AD4DCC">
        <w:noBreakHyphen/>
      </w:r>
      <w:r w:rsidR="00812855">
        <w:t>for</w:t>
      </w:r>
      <w:r w:rsidR="00AD4DCC">
        <w:noBreakHyphen/>
      </w:r>
      <w:r w:rsidR="00812855">
        <w:t>purpose,</w:t>
      </w:r>
      <w:r w:rsidR="00BF3596">
        <w:t xml:space="preserve"> rigorous and culturally appropriate evaluations.</w:t>
      </w:r>
    </w:p>
    <w:p w14:paraId="486B9255" w14:textId="22D4C635" w:rsidR="008D4029" w:rsidRDefault="00AF3ACE" w:rsidP="008D4029">
      <w:r>
        <w:t>There</w:t>
      </w:r>
      <w:r w:rsidR="00265EB3">
        <w:t xml:space="preserve"> </w:t>
      </w:r>
      <w:r>
        <w:t>continues to be a</w:t>
      </w:r>
      <w:r w:rsidR="00853D28">
        <w:t xml:space="preserve"> </w:t>
      </w:r>
      <w:r w:rsidR="0077080A">
        <w:t>high</w:t>
      </w:r>
      <w:r w:rsidR="00882628">
        <w:t xml:space="preserve"> level of</w:t>
      </w:r>
      <w:r w:rsidR="0077080A">
        <w:t xml:space="preserve"> demand for</w:t>
      </w:r>
      <w:r w:rsidR="006A2EDE">
        <w:t xml:space="preserve"> </w:t>
      </w:r>
      <w:r w:rsidR="00D42BD7">
        <w:t xml:space="preserve">ongoing </w:t>
      </w:r>
      <w:r w:rsidR="006A2EDE">
        <w:t>central enabling support</w:t>
      </w:r>
      <w:r w:rsidR="000B1D20">
        <w:t xml:space="preserve"> for evaluation</w:t>
      </w:r>
      <w:r w:rsidR="007E561E">
        <w:t xml:space="preserve"> planning, delivery and use</w:t>
      </w:r>
      <w:r w:rsidR="00B43D95">
        <w:t xml:space="preserve">. </w:t>
      </w:r>
      <w:r w:rsidR="009757A2">
        <w:t xml:space="preserve">To meet this demand, ACE </w:t>
      </w:r>
      <w:r w:rsidR="00382F47">
        <w:t xml:space="preserve">is </w:t>
      </w:r>
      <w:r w:rsidR="00F678CF">
        <w:t>promot</w:t>
      </w:r>
      <w:r w:rsidR="00382F47">
        <w:t>ing</w:t>
      </w:r>
      <w:r w:rsidR="008D4029">
        <w:t xml:space="preserve"> high</w:t>
      </w:r>
      <w:r w:rsidR="00AD4DCC">
        <w:noBreakHyphen/>
      </w:r>
      <w:r w:rsidR="008D4029">
        <w:t xml:space="preserve">quality impact evaluation across the APS, while </w:t>
      </w:r>
      <w:r w:rsidR="00FB50B7">
        <w:t>supporting</w:t>
      </w:r>
      <w:r w:rsidR="008D4029">
        <w:t xml:space="preserve"> entities to use evaluation approaches suited to their </w:t>
      </w:r>
      <w:r w:rsidR="00B43D95">
        <w:t xml:space="preserve">purpose and </w:t>
      </w:r>
      <w:r w:rsidR="008D4029">
        <w:t>operating context. This is consistent with the principles</w:t>
      </w:r>
      <w:r w:rsidR="00AD4DCC">
        <w:noBreakHyphen/>
      </w:r>
      <w:r w:rsidR="008D4029">
        <w:t>based Commonwealth Evaluation Policy, and reflects the breadth, scale, and diversity of programs and services delivered across government.</w:t>
      </w:r>
    </w:p>
    <w:p w14:paraId="6AC9FE3C" w14:textId="1DC27734" w:rsidR="007200E2" w:rsidRDefault="00C56736" w:rsidP="00E34F75">
      <w:r>
        <w:t>Cross</w:t>
      </w:r>
      <w:r w:rsidR="00AD4DCC">
        <w:noBreakHyphen/>
      </w:r>
      <w:r>
        <w:t>agency collaboration, knowledge sharing, and professional development are central to system</w:t>
      </w:r>
      <w:r w:rsidR="00AD4DCC">
        <w:noBreakHyphen/>
      </w:r>
      <w:r>
        <w:t xml:space="preserve">wide </w:t>
      </w:r>
      <w:r w:rsidR="00784D4F">
        <w:t xml:space="preserve">evaluation </w:t>
      </w:r>
      <w:r>
        <w:t>capability uplift. In</w:t>
      </w:r>
      <w:r w:rsidR="00AD4DCC">
        <w:noBreakHyphen/>
      </w:r>
      <w:r>
        <w:t xml:space="preserve">house evaluation units </w:t>
      </w:r>
      <w:r w:rsidR="00BF5A31">
        <w:t>are playing</w:t>
      </w:r>
      <w:r>
        <w:t xml:space="preserve"> a critical role in strengthening evaluation practices</w:t>
      </w:r>
      <w:r w:rsidR="00BA34E3">
        <w:t>, and</w:t>
      </w:r>
      <w:r w:rsidR="007F79F2">
        <w:t xml:space="preserve"> </w:t>
      </w:r>
      <w:r w:rsidR="007200E2">
        <w:t xml:space="preserve">ACE </w:t>
      </w:r>
      <w:r w:rsidR="0097741A">
        <w:t>is working</w:t>
      </w:r>
      <w:r w:rsidR="008656FA">
        <w:t xml:space="preserve"> with </w:t>
      </w:r>
      <w:r w:rsidR="00BA34E3">
        <w:t>these</w:t>
      </w:r>
      <w:r w:rsidR="008656FA">
        <w:t xml:space="preserve"> units to </w:t>
      </w:r>
      <w:r w:rsidR="009548F5">
        <w:t xml:space="preserve">design and </w:t>
      </w:r>
      <w:r w:rsidR="007200E2">
        <w:t xml:space="preserve">deliver more </w:t>
      </w:r>
      <w:r w:rsidR="0077080A">
        <w:t>centralised support</w:t>
      </w:r>
      <w:r w:rsidR="00E34F75">
        <w:t>s</w:t>
      </w:r>
      <w:r w:rsidR="00BA34E3">
        <w:t xml:space="preserve">. These </w:t>
      </w:r>
      <w:r w:rsidR="00AD4E9F">
        <w:t>supports</w:t>
      </w:r>
      <w:r w:rsidR="00BA34E3">
        <w:t xml:space="preserve"> include</w:t>
      </w:r>
      <w:r w:rsidR="00B603EE">
        <w:t xml:space="preserve"> </w:t>
      </w:r>
      <w:r w:rsidR="007200E2">
        <w:t>enhanced</w:t>
      </w:r>
      <w:r w:rsidR="00326103">
        <w:t xml:space="preserve"> guidance, </w:t>
      </w:r>
      <w:r w:rsidR="009C533D">
        <w:t xml:space="preserve">new </w:t>
      </w:r>
      <w:r w:rsidR="00B603EE">
        <w:t xml:space="preserve">training </w:t>
      </w:r>
      <w:r w:rsidR="009C533D">
        <w:t>resources,</w:t>
      </w:r>
      <w:r w:rsidR="0097248C">
        <w:t xml:space="preserve"> </w:t>
      </w:r>
      <w:r w:rsidR="00886F28">
        <w:t>online platform</w:t>
      </w:r>
      <w:r w:rsidR="00665396">
        <w:t xml:space="preserve">s to </w:t>
      </w:r>
      <w:r w:rsidR="00487D09">
        <w:t>support collaboration and professional development</w:t>
      </w:r>
      <w:r w:rsidR="00630201">
        <w:t xml:space="preserve">, </w:t>
      </w:r>
      <w:r w:rsidR="00DF59EB">
        <w:t xml:space="preserve">a </w:t>
      </w:r>
      <w:r w:rsidR="00630201">
        <w:t>new</w:t>
      </w:r>
      <w:r w:rsidR="00DF59EB">
        <w:t xml:space="preserve"> Commonwealth</w:t>
      </w:r>
      <w:r w:rsidR="000D3847" w:rsidRPr="000D3847">
        <w:t xml:space="preserve"> </w:t>
      </w:r>
      <w:r w:rsidR="000D3847">
        <w:t>evaluation maturity assessment tool</w:t>
      </w:r>
      <w:r w:rsidR="008D425B">
        <w:t>, and targeted</w:t>
      </w:r>
      <w:r w:rsidR="00DF59EB">
        <w:t xml:space="preserve"> </w:t>
      </w:r>
      <w:r w:rsidR="00233595">
        <w:t>support and advice for conducting rigorous impact evaluations</w:t>
      </w:r>
      <w:r w:rsidR="007200E2">
        <w:t xml:space="preserve">. </w:t>
      </w:r>
    </w:p>
    <w:p w14:paraId="039BC8D4" w14:textId="50822068" w:rsidR="0032612A" w:rsidRDefault="00BD0A92" w:rsidP="00D97785">
      <w:r>
        <w:t xml:space="preserve">The ACE team </w:t>
      </w:r>
      <w:r w:rsidR="00D47ACD">
        <w:t xml:space="preserve">are grateful to all agencies who contributed to </w:t>
      </w:r>
      <w:r w:rsidR="00B01E41">
        <w:t>the State of Evaluation survey and stocktake</w:t>
      </w:r>
      <w:r w:rsidR="00784D4F">
        <w:t xml:space="preserve"> </w:t>
      </w:r>
      <w:r w:rsidR="00F24EBA">
        <w:t xml:space="preserve">and look forward </w:t>
      </w:r>
      <w:r w:rsidR="00DD2F6C">
        <w:t>to the next stage of our journey together to embed a culture of evaluation and learning</w:t>
      </w:r>
      <w:r w:rsidR="00784D4F" w:rsidDel="00D47ACD">
        <w:t xml:space="preserve"> </w:t>
      </w:r>
      <w:r w:rsidR="001E484B">
        <w:t xml:space="preserve">across the APS. </w:t>
      </w:r>
    </w:p>
    <w:p w14:paraId="656ECAE8" w14:textId="4E293286" w:rsidR="00B23FCE" w:rsidRDefault="0032612A" w:rsidP="006F0AF8">
      <w:r>
        <w:br/>
      </w:r>
      <w:r w:rsidR="00F609CC">
        <w:rPr>
          <w:noProof/>
        </w:rPr>
        <w:drawing>
          <wp:inline distT="0" distB="0" distL="0" distR="0" wp14:anchorId="1D841539" wp14:editId="5890A5C7">
            <wp:extent cx="1580322" cy="1579871"/>
            <wp:effectExtent l="0" t="0" r="1270" b="1905"/>
            <wp:docPr id="459141599" name="Picture 1" descr="Portrait of Eleanor Williams, Managing Director, Australian Centre for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41599" name="Picture 1" descr="Portrait of Eleanor Williams, Managing Director, Australian Centre for Evaluation"/>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595544" cy="1595089"/>
                    </a:xfrm>
                    <a:prstGeom prst="rect">
                      <a:avLst/>
                    </a:prstGeom>
                    <a:ln>
                      <a:noFill/>
                    </a:ln>
                    <a:extLst>
                      <a:ext uri="{53640926-AAD7-44D8-BBD7-CCE9431645EC}">
                        <a14:shadowObscured xmlns:a14="http://schemas.microsoft.com/office/drawing/2010/main"/>
                      </a:ext>
                    </a:extLst>
                  </pic:spPr>
                </pic:pic>
              </a:graphicData>
            </a:graphic>
          </wp:inline>
        </w:drawing>
      </w:r>
    </w:p>
    <w:p w14:paraId="3D18B18F" w14:textId="499CBAAD" w:rsidR="001548AA" w:rsidRDefault="001548AA" w:rsidP="006F0AF8">
      <w:r>
        <w:t>Eleanor Williams</w:t>
      </w:r>
    </w:p>
    <w:p w14:paraId="4690613B" w14:textId="4C67AA9E" w:rsidR="001548AA" w:rsidRDefault="001548AA" w:rsidP="006F0AF8">
      <w:r>
        <w:t>Managing Director, Australian Centre for Evaluation</w:t>
      </w:r>
    </w:p>
    <w:p w14:paraId="6EB8481A" w14:textId="0708D886" w:rsidR="003E6F2B" w:rsidRDefault="003E6F2B">
      <w:pPr>
        <w:spacing w:before="0" w:after="160" w:line="259" w:lineRule="auto"/>
      </w:pPr>
      <w:r>
        <w:br w:type="page"/>
      </w:r>
    </w:p>
    <w:p w14:paraId="5066FF02" w14:textId="56AD395A" w:rsidR="0044523F" w:rsidRPr="003E6F2B" w:rsidRDefault="0044523F" w:rsidP="003E6F2B">
      <w:pPr>
        <w:pStyle w:val="Heading1"/>
      </w:pPr>
      <w:bookmarkStart w:id="4" w:name="_Toc189820810"/>
      <w:r w:rsidRPr="003E6F2B">
        <w:lastRenderedPageBreak/>
        <w:t xml:space="preserve">Executive </w:t>
      </w:r>
      <w:r w:rsidR="00396E36">
        <w:t>s</w:t>
      </w:r>
      <w:r w:rsidRPr="003E6F2B">
        <w:t>ummary</w:t>
      </w:r>
      <w:bookmarkEnd w:id="4"/>
    </w:p>
    <w:p w14:paraId="60F13528" w14:textId="395FE80E" w:rsidR="0044523F" w:rsidRDefault="0087486D" w:rsidP="007A42CE">
      <w:pPr>
        <w:ind w:right="-2"/>
      </w:pPr>
      <w:r>
        <w:t>Embedding</w:t>
      </w:r>
      <w:r w:rsidR="0044523F">
        <w:t xml:space="preserve"> a culture of evaluation across the APS </w:t>
      </w:r>
      <w:r w:rsidR="00874C7E">
        <w:t>is critical to ensuring that</w:t>
      </w:r>
      <w:r w:rsidR="0044523F" w:rsidRPr="00687749">
        <w:t xml:space="preserve"> </w:t>
      </w:r>
      <w:r w:rsidR="0044523F">
        <w:t xml:space="preserve">policies and programs are consistently informed by robust evidence. Evaluating </w:t>
      </w:r>
      <w:r w:rsidR="001F7F55">
        <w:t xml:space="preserve">at all stages of </w:t>
      </w:r>
      <w:r w:rsidR="0044523F">
        <w:t xml:space="preserve">the policy cycle </w:t>
      </w:r>
      <w:r w:rsidR="00423EB6">
        <w:t>supports</w:t>
      </w:r>
      <w:r w:rsidR="0044523F">
        <w:t xml:space="preserve"> the proper use of public money by </w:t>
      </w:r>
      <w:r w:rsidR="00423EB6">
        <w:t>enabling</w:t>
      </w:r>
      <w:r w:rsidR="0044523F">
        <w:t xml:space="preserve"> evidence</w:t>
      </w:r>
      <w:r w:rsidR="00AD4DCC">
        <w:noBreakHyphen/>
      </w:r>
      <w:r w:rsidR="0044523F">
        <w:t xml:space="preserve">based resource decisions. It </w:t>
      </w:r>
      <w:r w:rsidR="00631CAF">
        <w:t>allows</w:t>
      </w:r>
      <w:r w:rsidR="0044523F">
        <w:t xml:space="preserve"> </w:t>
      </w:r>
      <w:r w:rsidR="004D585E">
        <w:t xml:space="preserve">the APS to use </w:t>
      </w:r>
      <w:r w:rsidR="0044523F">
        <w:t xml:space="preserve">robust evaluation evidence to reflect on and learn from experience to inform </w:t>
      </w:r>
      <w:r w:rsidR="004D585E">
        <w:t>its</w:t>
      </w:r>
      <w:r w:rsidR="001501CA">
        <w:t xml:space="preserve"> </w:t>
      </w:r>
      <w:r w:rsidR="0044523F">
        <w:t>operations, advice, and decisions</w:t>
      </w:r>
      <w:r w:rsidR="00745CEF">
        <w:t>.</w:t>
      </w:r>
      <w:r w:rsidR="0044523F" w:rsidRPr="00B15B68">
        <w:rPr>
          <w:rStyle w:val="FootnoteReference"/>
          <w:vertAlign w:val="superscript"/>
        </w:rPr>
        <w:footnoteReference w:id="2"/>
      </w:r>
      <w:r w:rsidR="0044523F">
        <w:t xml:space="preserve"> </w:t>
      </w:r>
    </w:p>
    <w:p w14:paraId="209132A0" w14:textId="7DBBC3F1" w:rsidR="0044523F" w:rsidRDefault="000844E5" w:rsidP="007A42CE">
      <w:pPr>
        <w:ind w:right="-2"/>
      </w:pPr>
      <w:r w:rsidRPr="00BB1033">
        <w:t xml:space="preserve">Staged reforms to strengthen evaluation capabilities, practices and culture across the </w:t>
      </w:r>
      <w:r>
        <w:t>Australian Government</w:t>
      </w:r>
      <w:r w:rsidRPr="00BB1033">
        <w:t xml:space="preserve"> have been implemented progressively since </w:t>
      </w:r>
      <w:r w:rsidR="0025522C">
        <w:t>the publication of the Independent Review of the APS in 2019</w:t>
      </w:r>
      <w:r>
        <w:t>.</w:t>
      </w:r>
      <w:r w:rsidR="0007140C" w:rsidRPr="00F46EA6">
        <w:rPr>
          <w:rStyle w:val="FootnoteReference"/>
          <w:vertAlign w:val="superscript"/>
        </w:rPr>
        <w:footnoteReference w:id="3"/>
      </w:r>
      <w:r w:rsidRPr="00F46EA6">
        <w:rPr>
          <w:vertAlign w:val="superscript"/>
        </w:rPr>
        <w:t xml:space="preserve"> </w:t>
      </w:r>
      <w:r w:rsidR="0044523F">
        <w:t xml:space="preserve">These reforms have included establishing </w:t>
      </w:r>
      <w:r w:rsidR="00252975">
        <w:t>the Australian Centre for Evaluation (ACE)</w:t>
      </w:r>
      <w:r w:rsidR="0044523F">
        <w:t xml:space="preserve"> in Treasury to put evaluation evidence at the heart of government decision </w:t>
      </w:r>
      <w:r w:rsidR="006F514C">
        <w:t>making and</w:t>
      </w:r>
      <w:r w:rsidR="0044523F">
        <w:t xml:space="preserve"> </w:t>
      </w:r>
      <w:r w:rsidR="006F514C">
        <w:t xml:space="preserve">to </w:t>
      </w:r>
      <w:r w:rsidR="0044523F">
        <w:t>embed a strong culture of continual learning across the APS.</w:t>
      </w:r>
    </w:p>
    <w:p w14:paraId="7B0F009D" w14:textId="46CB86F4" w:rsidR="0044523F" w:rsidRDefault="0044523F" w:rsidP="007A42CE">
      <w:pPr>
        <w:ind w:right="-2"/>
      </w:pPr>
      <w:r>
        <w:t xml:space="preserve">As part of its leadership role, </w:t>
      </w:r>
      <w:r w:rsidRPr="00BB0891">
        <w:t xml:space="preserve">ACE </w:t>
      </w:r>
      <w:r>
        <w:t>has committed to regular reporting to Secretaries Board on the State of Evaluation in the Australian Government. The purpose of this regular reporting is to:</w:t>
      </w:r>
    </w:p>
    <w:p w14:paraId="099786F1" w14:textId="77777777" w:rsidR="0044523F" w:rsidRDefault="0044523F" w:rsidP="007A42CE">
      <w:pPr>
        <w:pStyle w:val="Bullet"/>
        <w:ind w:right="-2"/>
      </w:pPr>
      <w:r>
        <w:t>understand and monitor the current state of evaluation practices and capabilities across government</w:t>
      </w:r>
    </w:p>
    <w:p w14:paraId="1520816D" w14:textId="29E81D6A" w:rsidR="0044523F" w:rsidRDefault="0044523F" w:rsidP="007A42CE">
      <w:pPr>
        <w:pStyle w:val="Bullet"/>
        <w:ind w:right="-2"/>
      </w:pPr>
      <w:r>
        <w:t xml:space="preserve">establish baseline information that allows changes to be measured and assessed over time </w:t>
      </w:r>
    </w:p>
    <w:p w14:paraId="1B11FD14" w14:textId="1B0B1D2B" w:rsidR="0044523F" w:rsidRDefault="0044523F" w:rsidP="007A42CE">
      <w:pPr>
        <w:pStyle w:val="Bullet"/>
        <w:ind w:right="-2"/>
      </w:pPr>
      <w:r>
        <w:t>evaluate the impact of APS</w:t>
      </w:r>
      <w:r w:rsidR="00AD4DCC">
        <w:noBreakHyphen/>
      </w:r>
      <w:r>
        <w:t xml:space="preserve">wide evaluation reforms and inform the sequencing of future reforms </w:t>
      </w:r>
    </w:p>
    <w:p w14:paraId="4DE49376" w14:textId="0BB7D76C" w:rsidR="0032612A" w:rsidRDefault="0044523F" w:rsidP="007A42CE">
      <w:pPr>
        <w:pStyle w:val="Bullet"/>
        <w:ind w:right="-2"/>
      </w:pPr>
      <w:r>
        <w:t xml:space="preserve">identify priority areas where the ACE could provide additional support to help entities embed the Commonwealth Evaluation Policy. </w:t>
      </w:r>
    </w:p>
    <w:p w14:paraId="135C353A" w14:textId="5415DF55" w:rsidR="0044523F" w:rsidRDefault="0044523F" w:rsidP="007A42CE">
      <w:pPr>
        <w:pStyle w:val="Bullet"/>
        <w:numPr>
          <w:ilvl w:val="0"/>
          <w:numId w:val="0"/>
        </w:numPr>
        <w:ind w:right="-2"/>
      </w:pPr>
      <w:r>
        <w:t xml:space="preserve">The </w:t>
      </w:r>
      <w:r w:rsidR="005566B6">
        <w:t>State of Evaluation reporting</w:t>
      </w:r>
      <w:r>
        <w:t xml:space="preserve"> </w:t>
      </w:r>
      <w:r w:rsidR="00456996">
        <w:t xml:space="preserve">invited </w:t>
      </w:r>
      <w:r w:rsidR="00C47F0E">
        <w:t xml:space="preserve">participation from </w:t>
      </w:r>
      <w:r>
        <w:t xml:space="preserve">all Commonwealth entities subject to the </w:t>
      </w:r>
      <w:hyperlink r:id="rId16" w:history="1">
        <w:hyperlink r:id="rId17" w:tooltip="External link - Federal Register of Legislation - Public Governance, Performance and Accountability Act 2013" w:history="1">
          <w:r w:rsidRPr="000E3C26">
            <w:rPr>
              <w:rStyle w:val="Hyperlink"/>
            </w:rPr>
            <w:t>Public Governance, Performance and Accountability Act 2013</w:t>
          </w:r>
        </w:hyperlink>
        <w:r w:rsidRPr="000E3C26">
          <w:rPr>
            <w:rStyle w:val="Hyperlink"/>
          </w:rPr>
          <w:t> </w:t>
        </w:r>
      </w:hyperlink>
      <w:r w:rsidRPr="000E3C26">
        <w:t>(PGPA Act)</w:t>
      </w:r>
      <w:r w:rsidR="00B40113">
        <w:t xml:space="preserve"> in relation to:</w:t>
      </w:r>
    </w:p>
    <w:p w14:paraId="4AA99AD9" w14:textId="6E4DFCBE" w:rsidR="00C90CA9" w:rsidRDefault="00C90CA9" w:rsidP="007A42CE">
      <w:pPr>
        <w:pStyle w:val="Bullet"/>
        <w:ind w:right="-2"/>
      </w:pPr>
      <w:r>
        <w:t xml:space="preserve">a </w:t>
      </w:r>
      <w:r w:rsidRPr="00AD4DCC">
        <w:rPr>
          <w:rStyle w:val="Strong"/>
        </w:rPr>
        <w:t>survey</w:t>
      </w:r>
      <w:r>
        <w:t xml:space="preserve"> of evaluation design and planning processes, the enabling support provided by in</w:t>
      </w:r>
      <w:r w:rsidR="00AD4DCC">
        <w:noBreakHyphen/>
      </w:r>
      <w:r>
        <w:t>house</w:t>
      </w:r>
      <w:r w:rsidDel="0080531D">
        <w:t xml:space="preserve"> </w:t>
      </w:r>
      <w:r>
        <w:t>evaluation units, and related information about evaluation practices, capabilities and culture at an entity</w:t>
      </w:r>
      <w:r w:rsidR="00AD4DCC">
        <w:noBreakHyphen/>
      </w:r>
      <w:r>
        <w:t>level, and</w:t>
      </w:r>
    </w:p>
    <w:p w14:paraId="04AF6B23" w14:textId="5F92664C" w:rsidR="00C57145" w:rsidRDefault="000234AC" w:rsidP="007A42CE">
      <w:pPr>
        <w:pStyle w:val="Bullet"/>
        <w:ind w:right="-2"/>
      </w:pPr>
      <w:r>
        <w:t xml:space="preserve">a </w:t>
      </w:r>
      <w:r w:rsidRPr="00AD4DCC">
        <w:rPr>
          <w:rStyle w:val="Strong"/>
        </w:rPr>
        <w:t>stocktake of evaluations</w:t>
      </w:r>
      <w:r w:rsidR="00C57145">
        <w:t xml:space="preserve"> at different stages of implementation</w:t>
      </w:r>
      <w:r w:rsidR="00A61B50">
        <w:t xml:space="preserve">, with a focus on </w:t>
      </w:r>
      <w:r w:rsidR="009B280A">
        <w:t xml:space="preserve">establishing a baseline </w:t>
      </w:r>
      <w:r w:rsidR="00490CB1">
        <w:t>for 2023–24</w:t>
      </w:r>
      <w:r>
        <w:t>.</w:t>
      </w:r>
    </w:p>
    <w:p w14:paraId="28C6F754" w14:textId="77777777" w:rsidR="00D35915" w:rsidRDefault="00A7671A" w:rsidP="007A42CE">
      <w:pPr>
        <w:pStyle w:val="Bullet"/>
        <w:numPr>
          <w:ilvl w:val="0"/>
          <w:numId w:val="0"/>
        </w:numPr>
        <w:ind w:right="-2"/>
      </w:pPr>
      <w:r>
        <w:t xml:space="preserve">Of the </w:t>
      </w:r>
      <w:r w:rsidR="00EB386F">
        <w:t>194 Commonwealth entities</w:t>
      </w:r>
      <w:r w:rsidR="00860EDE">
        <w:t xml:space="preserve"> </w:t>
      </w:r>
      <w:r w:rsidR="00BC6AE7">
        <w:t>invited to participate</w:t>
      </w:r>
      <w:r w:rsidR="00281CDB">
        <w:t xml:space="preserve">, </w:t>
      </w:r>
      <w:r w:rsidR="001D1CEA" w:rsidRPr="00281CDB">
        <w:rPr>
          <w:b/>
        </w:rPr>
        <w:t>92</w:t>
      </w:r>
      <w:r w:rsidR="001D1CEA">
        <w:t xml:space="preserve"> entities </w:t>
      </w:r>
      <w:r w:rsidR="00F506FA">
        <w:t xml:space="preserve">completed </w:t>
      </w:r>
      <w:r w:rsidR="00436842">
        <w:t>the survey</w:t>
      </w:r>
      <w:r w:rsidR="008B24BE">
        <w:t xml:space="preserve"> and </w:t>
      </w:r>
      <w:r w:rsidR="00352D43">
        <w:br/>
      </w:r>
      <w:r w:rsidR="000B1154" w:rsidRPr="00AD4DCC">
        <w:rPr>
          <w:rStyle w:val="Strong"/>
        </w:rPr>
        <w:t>3</w:t>
      </w:r>
      <w:r w:rsidR="00FA19DD" w:rsidRPr="00AD4DCC">
        <w:rPr>
          <w:rStyle w:val="Strong"/>
        </w:rPr>
        <w:t>8</w:t>
      </w:r>
      <w:r w:rsidR="000B1154" w:rsidRPr="00DC7AE0">
        <w:t xml:space="preserve"> entities </w:t>
      </w:r>
      <w:r w:rsidR="00281CDB" w:rsidRPr="00DC7AE0">
        <w:t>provided input</w:t>
      </w:r>
      <w:r w:rsidR="003F6BC5" w:rsidRPr="00DC7AE0">
        <w:t xml:space="preserve"> to the stocktake </w:t>
      </w:r>
      <w:r w:rsidR="00DF0CCC" w:rsidRPr="00DC7AE0">
        <w:t>of evaluations</w:t>
      </w:r>
      <w:r w:rsidR="004B386A">
        <w:t>.</w:t>
      </w:r>
      <w:r w:rsidR="00DF0CCC" w:rsidRPr="00DC7AE0">
        <w:t xml:space="preserve"> </w:t>
      </w:r>
      <w:r w:rsidR="00D35915">
        <w:t>The method and analytic approach for the survey and stocktake are described in Appendix 2.</w:t>
      </w:r>
    </w:p>
    <w:p w14:paraId="699F8DF6" w14:textId="3A48579F" w:rsidR="0032612A" w:rsidRDefault="0032612A" w:rsidP="0032612A">
      <w:pPr>
        <w:pStyle w:val="Heading2"/>
      </w:pPr>
      <w:bookmarkStart w:id="5" w:name="_Toc189820811"/>
      <w:r>
        <w:lastRenderedPageBreak/>
        <w:t>Findings</w:t>
      </w:r>
      <w:bookmarkEnd w:id="5"/>
    </w:p>
    <w:p w14:paraId="7C11958F" w14:textId="4EB7899E" w:rsidR="00091CA9" w:rsidRDefault="00801A74" w:rsidP="007A42CE">
      <w:pPr>
        <w:ind w:right="-2"/>
      </w:pPr>
      <w:r>
        <w:t>The findings in this report show good progress in establishing foundations for more rigorous evaluation across government.</w:t>
      </w:r>
      <w:r w:rsidR="0044523F">
        <w:t xml:space="preserve"> </w:t>
      </w:r>
      <w:r w:rsidR="009B3553">
        <w:t>The evaluation network across the Australian government has grown substantially, increasing from 19 in</w:t>
      </w:r>
      <w:r w:rsidR="00AD4DCC">
        <w:noBreakHyphen/>
      </w:r>
      <w:r w:rsidR="009B3553">
        <w:t>house evaluation units in 2021 to 28 units in 2024.</w:t>
      </w:r>
    </w:p>
    <w:p w14:paraId="0A2A600B" w14:textId="14539183" w:rsidR="00D926F7" w:rsidRDefault="00D926F7" w:rsidP="007A42CE">
      <w:pPr>
        <w:ind w:right="-2"/>
      </w:pPr>
      <w:r>
        <w:t>Similarly, high levels of cross</w:t>
      </w:r>
      <w:r w:rsidR="00AD4DCC">
        <w:noBreakHyphen/>
      </w:r>
      <w:r>
        <w:t>agency engagement are supporting knowledge sharing and evaluation capability building across the APS, with a vibrant and active Commonwealth Evaluation Community of Practice that currently comprises around 1,000 members from over 80 entities. This reflects the positive influence evaluation reforms are having at a whole</w:t>
      </w:r>
      <w:r w:rsidR="00AD4DCC">
        <w:noBreakHyphen/>
      </w:r>
      <w:r>
        <w:t>of</w:t>
      </w:r>
      <w:r w:rsidR="00AD4DCC">
        <w:noBreakHyphen/>
      </w:r>
      <w:r>
        <w:t xml:space="preserve">government level. </w:t>
      </w:r>
    </w:p>
    <w:p w14:paraId="0FF9492C" w14:textId="5B5424AE" w:rsidR="00F637FB" w:rsidRDefault="00AA5363" w:rsidP="007A42CE">
      <w:pPr>
        <w:ind w:right="-2"/>
      </w:pPr>
      <w:r>
        <w:t>It is clear, however, that further work is needed to embed high</w:t>
      </w:r>
      <w:r w:rsidR="00AD4DCC">
        <w:noBreakHyphen/>
      </w:r>
      <w:r>
        <w:t xml:space="preserve">quality evaluation at a systemic level. For example, only 35% of entities report having a senior leader responsible for evaluation at the entity level; only 31% of entities report routinely and publicly disseminating evaluation findings or reports; and only 25% of entities </w:t>
      </w:r>
      <w:r w:rsidR="00281896">
        <w:t>have</w:t>
      </w:r>
      <w:r>
        <w:t xml:space="preserve"> an enterprise</w:t>
      </w:r>
      <w:r w:rsidR="00AD4DCC">
        <w:noBreakHyphen/>
      </w:r>
      <w:r>
        <w:t xml:space="preserve">level strategy or framework to plan and prioritise evaluations. </w:t>
      </w:r>
    </w:p>
    <w:p w14:paraId="50865613" w14:textId="149EB243" w:rsidR="00BC5C94" w:rsidRDefault="00F53DFB" w:rsidP="007A42CE">
      <w:pPr>
        <w:ind w:right="-2"/>
      </w:pPr>
      <w:r>
        <w:t>More work is also needed to ensure that all agencies have the capabilities required to deliver culturally appropriate evaluation. Findings show only 35%</w:t>
      </w:r>
      <w:r w:rsidRPr="00114BA2">
        <w:t xml:space="preserve"> </w:t>
      </w:r>
      <w:r>
        <w:t>of</w:t>
      </w:r>
      <w:r w:rsidRPr="00114BA2">
        <w:t xml:space="preserve"> entities </w:t>
      </w:r>
      <w:r>
        <w:t xml:space="preserve">(and 48% of large entities) </w:t>
      </w:r>
      <w:r w:rsidRPr="00114BA2">
        <w:t xml:space="preserve">reported </w:t>
      </w:r>
      <w:r>
        <w:t>having</w:t>
      </w:r>
      <w:r w:rsidRPr="00114BA2">
        <w:t xml:space="preserve"> established processes to ensure that evaluations are culturally appropriate with respect to Aboriginal and Torres Strait Islander people and communities</w:t>
      </w:r>
      <w:r w:rsidR="00011055">
        <w:t>.</w:t>
      </w:r>
    </w:p>
    <w:p w14:paraId="35DF89F7" w14:textId="2F9A2453" w:rsidR="00B4558A" w:rsidRDefault="00B4558A" w:rsidP="00AD4DCC">
      <w:pPr>
        <w:pStyle w:val="Heading3"/>
      </w:pPr>
      <w:r>
        <w:t>Evaluation activity</w:t>
      </w:r>
    </w:p>
    <w:p w14:paraId="50A0F4E7" w14:textId="6BC913F6" w:rsidR="00DB7A3C" w:rsidRDefault="00004652" w:rsidP="007A42CE">
      <w:pPr>
        <w:ind w:right="-2"/>
      </w:pPr>
      <w:r w:rsidRPr="000F0831">
        <w:t>924</w:t>
      </w:r>
      <w:r w:rsidR="004E422D">
        <w:t xml:space="preserve"> </w:t>
      </w:r>
      <w:r w:rsidR="00AC47D0">
        <w:t xml:space="preserve">evaluations </w:t>
      </w:r>
      <w:r w:rsidR="00F979CA">
        <w:t xml:space="preserve">– at different stages of implementation – were </w:t>
      </w:r>
      <w:r w:rsidR="00DB7A3C">
        <w:t xml:space="preserve">identified </w:t>
      </w:r>
      <w:r w:rsidR="00DB7A3C" w:rsidRPr="00BE25A5">
        <w:t>in the Stocktake</w:t>
      </w:r>
      <w:r w:rsidR="0009795B">
        <w:t xml:space="preserve">, by </w:t>
      </w:r>
      <w:r w:rsidR="0009795B" w:rsidRPr="0087541F">
        <w:t>38</w:t>
      </w:r>
      <w:r w:rsidR="0087541F">
        <w:t> </w:t>
      </w:r>
      <w:r w:rsidR="0009795B" w:rsidRPr="0087541F">
        <w:t>responding</w:t>
      </w:r>
      <w:r w:rsidR="0009795B">
        <w:t xml:space="preserve"> entities</w:t>
      </w:r>
      <w:r w:rsidR="00DB7A3C">
        <w:t xml:space="preserve">. </w:t>
      </w:r>
      <w:r w:rsidR="00DB7A3C" w:rsidRPr="00C468C6">
        <w:t>This likely represents an underestimate since non</w:t>
      </w:r>
      <w:r w:rsidR="00AD4DCC">
        <w:noBreakHyphen/>
      </w:r>
      <w:r w:rsidR="00DB7A3C" w:rsidRPr="00C468C6">
        <w:t>responding entities may also have undertaken some evaluation activities.</w:t>
      </w:r>
      <w:r w:rsidR="00DB7A3C">
        <w:t xml:space="preserve"> </w:t>
      </w:r>
      <w:r w:rsidR="003F2AD8">
        <w:t>331</w:t>
      </w:r>
      <w:r w:rsidR="00DB7A3C" w:rsidRPr="00805635">
        <w:t xml:space="preserve"> evaluations were identified as </w:t>
      </w:r>
      <w:r w:rsidR="00AD4DCC">
        <w:t>‘</w:t>
      </w:r>
      <w:r w:rsidR="00DB7A3C" w:rsidRPr="00805635">
        <w:t>completed</w:t>
      </w:r>
      <w:r w:rsidR="00AD4DCC">
        <w:t>’</w:t>
      </w:r>
      <w:r w:rsidR="00DB7A3C" w:rsidRPr="00805635">
        <w:t xml:space="preserve"> </w:t>
      </w:r>
      <w:r w:rsidR="00DB7A3C">
        <w:t>and, o</w:t>
      </w:r>
      <w:r w:rsidR="00DB7A3C" w:rsidRPr="00805635">
        <w:t xml:space="preserve">f these, </w:t>
      </w:r>
      <w:r w:rsidR="00871CD5">
        <w:t>217</w:t>
      </w:r>
      <w:r w:rsidR="00DB7A3C" w:rsidRPr="00805635">
        <w:t xml:space="preserve"> were completed in the 2023</w:t>
      </w:r>
      <w:r w:rsidR="00AD4DCC">
        <w:noBreakHyphen/>
      </w:r>
      <w:r w:rsidR="00DB7A3C" w:rsidRPr="00805635">
        <w:t>24 period</w:t>
      </w:r>
      <w:r w:rsidR="00DB7A3C">
        <w:t xml:space="preserve"> (the remainder were completed in </w:t>
      </w:r>
      <w:r w:rsidR="00014A82">
        <w:t>other</w:t>
      </w:r>
      <w:r w:rsidR="00DB7A3C">
        <w:t xml:space="preserve"> years)</w:t>
      </w:r>
      <w:r w:rsidR="00DB7A3C" w:rsidRPr="00805635">
        <w:t>.</w:t>
      </w:r>
      <w:r w:rsidR="00DB7A3C">
        <w:t xml:space="preserve"> This will be used as a baseline for future reporting, noting definitional issues led to some differences in reporting of an evaluation</w:t>
      </w:r>
      <w:r w:rsidR="00AD4DCC">
        <w:t>’</w:t>
      </w:r>
      <w:r w:rsidR="00DB7A3C">
        <w:t>s timing or status.</w:t>
      </w:r>
    </w:p>
    <w:p w14:paraId="13DC2EFA" w14:textId="0D32724C" w:rsidR="008F51C8" w:rsidRDefault="00283C2D" w:rsidP="007A42CE">
      <w:pPr>
        <w:ind w:right="-2"/>
      </w:pPr>
      <w:r>
        <w:t xml:space="preserve">The </w:t>
      </w:r>
      <w:r w:rsidR="00C234EB">
        <w:t>Stocktake</w:t>
      </w:r>
      <w:r w:rsidR="00487EF5">
        <w:t xml:space="preserve"> </w:t>
      </w:r>
      <w:r>
        <w:t xml:space="preserve">provided </w:t>
      </w:r>
      <w:r w:rsidR="00B144FE">
        <w:t>insight</w:t>
      </w:r>
      <w:r w:rsidR="007C4198">
        <w:t>s</w:t>
      </w:r>
      <w:r w:rsidR="00B144FE">
        <w:t xml:space="preserve"> into</w:t>
      </w:r>
      <w:r w:rsidR="00C456CD">
        <w:t xml:space="preserve"> </w:t>
      </w:r>
      <w:r w:rsidR="00B22EAE">
        <w:t xml:space="preserve">the </w:t>
      </w:r>
      <w:r w:rsidR="00481B3F">
        <w:t>different</w:t>
      </w:r>
      <w:r w:rsidR="00B22EAE">
        <w:t xml:space="preserve"> evaluation types </w:t>
      </w:r>
      <w:r w:rsidR="00A6194B">
        <w:t xml:space="preserve">being </w:t>
      </w:r>
      <w:r w:rsidR="00B22EAE">
        <w:t xml:space="preserve">used across government. </w:t>
      </w:r>
      <w:r w:rsidR="002B217C" w:rsidRPr="00F834C1" w:rsidDel="00790228">
        <w:t>Combined</w:t>
      </w:r>
      <w:r w:rsidR="00790228" w:rsidRPr="00F834C1">
        <w:t xml:space="preserve"> </w:t>
      </w:r>
      <w:r w:rsidR="002B217C" w:rsidRPr="00F834C1">
        <w:t>approaches</w:t>
      </w:r>
      <w:r w:rsidR="00584A11">
        <w:t>,</w:t>
      </w:r>
      <w:r w:rsidR="00F32655">
        <w:t xml:space="preserve"> that is,</w:t>
      </w:r>
      <w:r w:rsidR="00EE6EB7" w:rsidRPr="00F834C1">
        <w:t xml:space="preserve"> </w:t>
      </w:r>
      <w:r w:rsidR="00805CF0" w:rsidRPr="00F834C1">
        <w:t xml:space="preserve">different </w:t>
      </w:r>
      <w:r w:rsidR="00EE6EB7" w:rsidRPr="00F834C1">
        <w:t xml:space="preserve">combinations </w:t>
      </w:r>
      <w:r w:rsidR="001556A4" w:rsidRPr="00F834C1">
        <w:t xml:space="preserve">of process, outcome, </w:t>
      </w:r>
      <w:r w:rsidR="00F32655">
        <w:t xml:space="preserve">impact and </w:t>
      </w:r>
      <w:r w:rsidR="001556A4" w:rsidRPr="00F834C1">
        <w:t>economic</w:t>
      </w:r>
      <w:r w:rsidR="00F32655">
        <w:t xml:space="preserve"> </w:t>
      </w:r>
      <w:r w:rsidR="001556A4" w:rsidRPr="00F834C1">
        <w:t>evaluations</w:t>
      </w:r>
      <w:r w:rsidR="00A27588">
        <w:t>,</w:t>
      </w:r>
      <w:r w:rsidR="001556A4" w:rsidRPr="00F834C1">
        <w:t xml:space="preserve"> </w:t>
      </w:r>
      <w:r w:rsidR="002B217C" w:rsidRPr="00F834C1">
        <w:t>are the most common (</w:t>
      </w:r>
      <w:r w:rsidR="000159AE" w:rsidRPr="000F0831">
        <w:t>77</w:t>
      </w:r>
      <w:r w:rsidR="002B217C" w:rsidRPr="000F0831">
        <w:t>%</w:t>
      </w:r>
      <w:r w:rsidR="002B217C" w:rsidRPr="00F834C1">
        <w:t>)</w:t>
      </w:r>
      <w:r w:rsidR="002A7F0F" w:rsidRPr="000F0831">
        <w:t>.</w:t>
      </w:r>
      <w:r w:rsidR="007C4198">
        <w:t xml:space="preserve"> </w:t>
      </w:r>
    </w:p>
    <w:p w14:paraId="30B7293B" w14:textId="537F789A" w:rsidR="0044523F" w:rsidRDefault="0035131A" w:rsidP="007A42CE">
      <w:pPr>
        <w:ind w:right="-2"/>
      </w:pPr>
      <w:r>
        <w:t>6</w:t>
      </w:r>
      <w:r w:rsidR="006057A2">
        <w:t>5</w:t>
      </w:r>
      <w:r w:rsidRPr="000F0831">
        <w:t>%</w:t>
      </w:r>
      <w:r w:rsidR="00811CFC" w:rsidRPr="00C1775E">
        <w:t xml:space="preserve"> of</w:t>
      </w:r>
      <w:r w:rsidR="00811CFC">
        <w:t xml:space="preserve"> evaluations </w:t>
      </w:r>
      <w:r w:rsidR="00865B7E">
        <w:t xml:space="preserve">were </w:t>
      </w:r>
      <w:r w:rsidR="00811CFC">
        <w:t xml:space="preserve">delivered </w:t>
      </w:r>
      <w:r w:rsidR="00F5149C">
        <w:t xml:space="preserve">partly or fully </w:t>
      </w:r>
      <w:r w:rsidR="00F640BF">
        <w:t>by external providers</w:t>
      </w:r>
      <w:r w:rsidR="0044523F">
        <w:t>.</w:t>
      </w:r>
      <w:r w:rsidR="0044523F" w:rsidRPr="00EA11CD">
        <w:t xml:space="preserve"> </w:t>
      </w:r>
      <w:r w:rsidR="005261FA">
        <w:t>Hybrid</w:t>
      </w:r>
      <w:r w:rsidR="009C7F24">
        <w:t xml:space="preserve"> </w:t>
      </w:r>
      <w:r w:rsidR="004D4978">
        <w:t>(internal</w:t>
      </w:r>
      <w:r w:rsidR="00AD4DCC">
        <w:noBreakHyphen/>
      </w:r>
      <w:r w:rsidR="004D4978">
        <w:t xml:space="preserve">external) models can provide an opportunity to build </w:t>
      </w:r>
      <w:r w:rsidR="0044523F">
        <w:t>in</w:t>
      </w:r>
      <w:r w:rsidR="00AD4DCC">
        <w:noBreakHyphen/>
      </w:r>
      <w:r w:rsidR="0044523F">
        <w:t xml:space="preserve">house evaluation capabilities </w:t>
      </w:r>
      <w:r w:rsidR="001B4C79">
        <w:t>and expertise</w:t>
      </w:r>
      <w:r w:rsidR="008D6113">
        <w:t>.</w:t>
      </w:r>
      <w:r w:rsidR="001B4C79">
        <w:t xml:space="preserve"> </w:t>
      </w:r>
      <w:r w:rsidR="004C3E9A">
        <w:t>Of the 6</w:t>
      </w:r>
      <w:r w:rsidR="00CF06DA">
        <w:t>5</w:t>
      </w:r>
      <w:r w:rsidR="004C3E9A">
        <w:t>%</w:t>
      </w:r>
      <w:r w:rsidR="0087541F">
        <w:t> </w:t>
      </w:r>
      <w:r w:rsidR="004C3E9A">
        <w:t>of evaluations at least partly delivered by external providers, 22% adopted this hybrid approach.</w:t>
      </w:r>
    </w:p>
    <w:p w14:paraId="60C65B92" w14:textId="620E4F8D" w:rsidR="00E175BB" w:rsidRDefault="00E175BB" w:rsidP="00AD4DCC">
      <w:pPr>
        <w:pStyle w:val="Heading3"/>
      </w:pPr>
      <w:r>
        <w:t xml:space="preserve">Evaluation </w:t>
      </w:r>
      <w:r w:rsidR="00DF3B4E">
        <w:t>design and planning</w:t>
      </w:r>
    </w:p>
    <w:p w14:paraId="7B3647BD" w14:textId="6D57EF46" w:rsidR="00212904" w:rsidRDefault="00212904" w:rsidP="007A42CE">
      <w:pPr>
        <w:ind w:right="-2"/>
      </w:pPr>
      <w:r>
        <w:t>In</w:t>
      </w:r>
      <w:r w:rsidR="00AD4DCC">
        <w:noBreakHyphen/>
      </w:r>
      <w:r>
        <w:t xml:space="preserve">house evaluation units have increased in number and size: </w:t>
      </w:r>
      <w:r w:rsidRPr="00805635">
        <w:t>28 entities reported having a dedicated evaluation unit</w:t>
      </w:r>
      <w:r w:rsidR="00D41526">
        <w:t xml:space="preserve"> in 2024</w:t>
      </w:r>
      <w:r w:rsidRPr="00805635">
        <w:t>, and another 7 reported plans to establish one by 2027</w:t>
      </w:r>
      <w:r>
        <w:t>. L</w:t>
      </w:r>
      <w:r w:rsidRPr="00D9307B">
        <w:t xml:space="preserve">arge entities </w:t>
      </w:r>
      <w:r>
        <w:t xml:space="preserve">are </w:t>
      </w:r>
      <w:r w:rsidRPr="00D9307B">
        <w:t>making faster progress growing in</w:t>
      </w:r>
      <w:r w:rsidR="00AD4DCC">
        <w:noBreakHyphen/>
      </w:r>
      <w:r w:rsidRPr="00D9307B">
        <w:t xml:space="preserve">house capabilities and </w:t>
      </w:r>
      <w:r>
        <w:t xml:space="preserve">putting </w:t>
      </w:r>
      <w:r w:rsidRPr="00D9307B">
        <w:t xml:space="preserve">systems </w:t>
      </w:r>
      <w:r>
        <w:t xml:space="preserve">in place </w:t>
      </w:r>
      <w:r w:rsidRPr="00D9307B">
        <w:t>to support good practice</w:t>
      </w:r>
      <w:r>
        <w:t>. This included 68% of entities reporting that evaluation is used to inform policy and program design or decision</w:t>
      </w:r>
      <w:r w:rsidR="00AD4DCC">
        <w:noBreakHyphen/>
      </w:r>
      <w:r>
        <w:t xml:space="preserve">making. </w:t>
      </w:r>
    </w:p>
    <w:p w14:paraId="5B2AE838" w14:textId="1C1F5B50" w:rsidR="00CC2CA5" w:rsidRDefault="00E46061" w:rsidP="007A42CE">
      <w:pPr>
        <w:ind w:right="-2"/>
      </w:pPr>
      <w:r>
        <w:t>While only one</w:t>
      </w:r>
      <w:r w:rsidR="00AD4DCC">
        <w:noBreakHyphen/>
      </w:r>
      <w:r>
        <w:t>quarter of entities use enterprise</w:t>
      </w:r>
      <w:r w:rsidR="00AD4DCC">
        <w:noBreakHyphen/>
      </w:r>
      <w:r>
        <w:t xml:space="preserve">level strategies and frameworks to prioritise and plan evaluations, another 31% reported that they are considering </w:t>
      </w:r>
      <w:r w:rsidRPr="00C267E5">
        <w:t>develop</w:t>
      </w:r>
      <w:r>
        <w:t>ing</w:t>
      </w:r>
      <w:r w:rsidRPr="00C267E5">
        <w:t xml:space="preserve"> </w:t>
      </w:r>
      <w:r>
        <w:t xml:space="preserve">an </w:t>
      </w:r>
      <w:r w:rsidRPr="00C267E5">
        <w:t>enterprise</w:t>
      </w:r>
      <w:r w:rsidR="00AD4DCC">
        <w:noBreakHyphen/>
      </w:r>
      <w:r w:rsidRPr="00C267E5">
        <w:t xml:space="preserve">level strategy or framework </w:t>
      </w:r>
      <w:r>
        <w:t>by 2027. More work is needed to: integrate evaluation into routine corporate planning processes; embed robust evaluation planning for all new or significantly amended programs in the early stages of policy development; and to support entities to use strategic risk</w:t>
      </w:r>
      <w:r w:rsidR="00AD4DCC">
        <w:noBreakHyphen/>
      </w:r>
      <w:r>
        <w:t>based approaches to evaluate the right thing at the right time</w:t>
      </w:r>
      <w:r w:rsidR="00AD4DCC">
        <w:t xml:space="preserve">. </w:t>
      </w:r>
    </w:p>
    <w:p w14:paraId="5A5E30C4" w14:textId="0F87F53B" w:rsidR="006862DB" w:rsidRDefault="006862DB" w:rsidP="00AD4DCC">
      <w:pPr>
        <w:pStyle w:val="Heading3"/>
      </w:pPr>
      <w:r>
        <w:lastRenderedPageBreak/>
        <w:t>Evaluation evidence use</w:t>
      </w:r>
    </w:p>
    <w:p w14:paraId="01A3BB1D" w14:textId="3E237600" w:rsidR="00DF58E0" w:rsidRDefault="00C213D9" w:rsidP="007A42CE">
      <w:pPr>
        <w:ind w:right="-2"/>
      </w:pPr>
      <w:r w:rsidRPr="0029103A">
        <w:t xml:space="preserve">Entities </w:t>
      </w:r>
      <w:proofErr w:type="gramStart"/>
      <w:r w:rsidRPr="0029103A">
        <w:t>most commonly reported</w:t>
      </w:r>
      <w:proofErr w:type="gramEnd"/>
      <w:r w:rsidRPr="0029103A">
        <w:t xml:space="preserve"> using evaluations to inform policy and program design and decision</w:t>
      </w:r>
      <w:r w:rsidR="00AD4DCC">
        <w:noBreakHyphen/>
      </w:r>
      <w:r w:rsidRPr="0029103A">
        <w:t>making (68%). The same proportion reported using outcome or impact evaluations to assess whether policies and programs are achieving their objectives.</w:t>
      </w:r>
      <w:r>
        <w:t xml:space="preserve"> </w:t>
      </w:r>
    </w:p>
    <w:p w14:paraId="61457E2F" w14:textId="5B0EAD3D" w:rsidR="00C213D9" w:rsidRDefault="00C213D9" w:rsidP="007A42CE">
      <w:pPr>
        <w:ind w:right="-2"/>
      </w:pPr>
      <w:r>
        <w:t xml:space="preserve">In addition, a large majority of </w:t>
      </w:r>
      <w:r w:rsidRPr="00C31A46">
        <w:t xml:space="preserve">entities </w:t>
      </w:r>
      <w:r w:rsidRPr="00B51014">
        <w:t>(90</w:t>
      </w:r>
      <w:r w:rsidR="00DF58E0" w:rsidRPr="00B51014">
        <w:t xml:space="preserve"> </w:t>
      </w:r>
      <w:r w:rsidRPr="00B51014">
        <w:t>%)</w:t>
      </w:r>
      <w:r>
        <w:t xml:space="preserve"> </w:t>
      </w:r>
      <w:r w:rsidRPr="00C31A46">
        <w:t xml:space="preserve">reported </w:t>
      </w:r>
      <w:r>
        <w:t>considering</w:t>
      </w:r>
      <w:r w:rsidRPr="00C31A46">
        <w:t xml:space="preserve"> evaluation evidence in the context of </w:t>
      </w:r>
      <w:r>
        <w:t xml:space="preserve">various </w:t>
      </w:r>
      <w:r w:rsidRPr="00C31A46">
        <w:t>entity</w:t>
      </w:r>
      <w:r w:rsidR="00AD4DCC">
        <w:noBreakHyphen/>
      </w:r>
      <w:r w:rsidRPr="00C31A46">
        <w:t>level business planning processes</w:t>
      </w:r>
      <w:r>
        <w:t>.</w:t>
      </w:r>
    </w:p>
    <w:p w14:paraId="75E51C89" w14:textId="57D6FF96" w:rsidR="00761B4C" w:rsidRDefault="00C35CD3" w:rsidP="007A42CE">
      <w:pPr>
        <w:ind w:right="-2"/>
      </w:pPr>
      <w:r>
        <w:t>Motivations, enablers and barriers were also identified. Improving implementation was the most common motivation for evaluation (77% of entities), followed by accountability, transparency and knowledge building. The most common barrier to embedding a culture of evaluation was limited staff time (56% of entities), while s</w:t>
      </w:r>
      <w:r w:rsidRPr="00C31A46">
        <w:t xml:space="preserve">upport from </w:t>
      </w:r>
      <w:r>
        <w:t xml:space="preserve">agency leadership was the most common </w:t>
      </w:r>
      <w:r w:rsidRPr="00C31A46">
        <w:t>enabler</w:t>
      </w:r>
      <w:r>
        <w:t xml:space="preserve"> (69%)</w:t>
      </w:r>
      <w:r w:rsidR="005F7F36">
        <w:t xml:space="preserve">. </w:t>
      </w:r>
    </w:p>
    <w:p w14:paraId="2AACFC68" w14:textId="14803763" w:rsidR="00761B4C" w:rsidRDefault="0017623C" w:rsidP="00AD4DCC">
      <w:pPr>
        <w:pStyle w:val="Heading3"/>
      </w:pPr>
      <w:r>
        <w:t>Evaluation capability building</w:t>
      </w:r>
    </w:p>
    <w:p w14:paraId="26CF2E55" w14:textId="23EE25CB" w:rsidR="007B7A58" w:rsidRDefault="007B7A58" w:rsidP="007A42CE">
      <w:pPr>
        <w:ind w:right="-2"/>
      </w:pPr>
      <w:r>
        <w:t>6</w:t>
      </w:r>
      <w:r w:rsidR="002E5D30">
        <w:t>1</w:t>
      </w:r>
      <w:r>
        <w:t>% of entities reported engaging in some form of evaluation capability building in 2023</w:t>
      </w:r>
      <w:r w:rsidR="00AD4DCC">
        <w:noBreakHyphen/>
      </w:r>
      <w:r>
        <w:t>24, with interagency knowledge sharing being the most common approach reported (47% of entities). Other approaches included engaging with written guidance materials, practical learning, attending Commonwealth Evaluation Community of Practice events, and training (all around 30% of entities). 2</w:t>
      </w:r>
      <w:r w:rsidR="008B1E02">
        <w:t>2</w:t>
      </w:r>
      <w:r>
        <w:t>%</w:t>
      </w:r>
      <w:r w:rsidR="0087541F">
        <w:t> </w:t>
      </w:r>
      <w:r>
        <w:t xml:space="preserve">of entities reported engaging in capability building initiatives specific to impact evaluation. </w:t>
      </w:r>
    </w:p>
    <w:p w14:paraId="6E179CFD" w14:textId="27679C06" w:rsidR="00F56DE1" w:rsidRDefault="00F56DE1" w:rsidP="007A42CE">
      <w:pPr>
        <w:ind w:right="-2"/>
      </w:pPr>
      <w:r>
        <w:t>The most common services provided by in</w:t>
      </w:r>
      <w:r w:rsidR="00AD4DCC">
        <w:noBreakHyphen/>
      </w:r>
      <w:r>
        <w:t>house evaluation units (n=28) included: advisory services (89%), evaluation capability building (82%), and delivering evaluations (7</w:t>
      </w:r>
      <w:r w:rsidR="004D15CF">
        <w:t>1</w:t>
      </w:r>
      <w:r>
        <w:t>%).</w:t>
      </w:r>
    </w:p>
    <w:p w14:paraId="1AEE8E53" w14:textId="6934066E" w:rsidR="00F56DE1" w:rsidRDefault="00F56DE1" w:rsidP="007A42CE">
      <w:pPr>
        <w:ind w:right="-2"/>
      </w:pPr>
      <w:r>
        <w:t xml:space="preserve">Entities identified priority areas for more central support from </w:t>
      </w:r>
      <w:r w:rsidR="002B5B6C">
        <w:t xml:space="preserve">the </w:t>
      </w:r>
      <w:r>
        <w:t xml:space="preserve">ACE to help improve their evaluation practices. The top responses (identified by more than 50% of entities) were for enhanced guidance and tools, more tailored information sessions, and a Commonwealth Evaluation Maturity Model. </w:t>
      </w:r>
    </w:p>
    <w:p w14:paraId="285F096E" w14:textId="7C39E86C" w:rsidR="00241789" w:rsidRDefault="003A5473" w:rsidP="007A42CE">
      <w:pPr>
        <w:ind w:right="-2"/>
      </w:pPr>
      <w:r w:rsidRPr="003A5473">
        <w:t>Two clear areas for improvement are ensuring systems are in place to ensure ethical evaluation, and culturally appropriate evaluation with respect to Aboriginal and Torres Strait Islander people and communities. 35% entities indicated that they had established processes to ensure evaluations are culturally appropriate, and only 21% of agencies have ethics review processes in place.</w:t>
      </w:r>
    </w:p>
    <w:p w14:paraId="5825D841" w14:textId="1AD49438" w:rsidR="00343E11" w:rsidRDefault="00343E11" w:rsidP="00AD4DCC">
      <w:pPr>
        <w:pStyle w:val="Heading3"/>
      </w:pPr>
      <w:r>
        <w:t>Next steps</w:t>
      </w:r>
    </w:p>
    <w:p w14:paraId="72208421" w14:textId="46B98B0C" w:rsidR="006053F3" w:rsidRDefault="006053F3" w:rsidP="007A42CE">
      <w:pPr>
        <w:ind w:right="-2"/>
      </w:pPr>
      <w:r>
        <w:t xml:space="preserve">Future efforts will focus on implementing </w:t>
      </w:r>
      <w:r w:rsidRPr="00CA19ED">
        <w:t>system</w:t>
      </w:r>
      <w:r w:rsidR="00AD4DCC">
        <w:noBreakHyphen/>
      </w:r>
      <w:r w:rsidRPr="00CA19ED">
        <w:t xml:space="preserve">wide </w:t>
      </w:r>
      <w:r>
        <w:t>supports for good evaluation practice</w:t>
      </w:r>
      <w:r w:rsidRPr="00CA19ED">
        <w:t xml:space="preserve">, while ensuring entities </w:t>
      </w:r>
      <w:r>
        <w:t>have the flexibility to</w:t>
      </w:r>
      <w:r w:rsidRPr="00CA19ED">
        <w:t xml:space="preserve"> tailor and customise approaches </w:t>
      </w:r>
      <w:r>
        <w:t>that</w:t>
      </w:r>
      <w:r w:rsidRPr="00CA19ED">
        <w:t xml:space="preserve"> work best for </w:t>
      </w:r>
      <w:r>
        <w:t xml:space="preserve">them. </w:t>
      </w:r>
    </w:p>
    <w:p w14:paraId="1BB31706" w14:textId="5718D574" w:rsidR="0044523F" w:rsidRPr="002F396B" w:rsidRDefault="006053F3" w:rsidP="007A42CE">
      <w:pPr>
        <w:ind w:right="-2"/>
      </w:pPr>
      <w:r>
        <w:t>The ACE</w:t>
      </w:r>
      <w:r w:rsidR="00AD4DCC">
        <w:t>’</w:t>
      </w:r>
      <w:r>
        <w:t xml:space="preserve">s forward work program reflects the priorities identified by entities, with a focus </w:t>
      </w:r>
      <w:proofErr w:type="gramStart"/>
      <w:r>
        <w:t>on:</w:t>
      </w:r>
      <w:proofErr w:type="gramEnd"/>
      <w:r>
        <w:t xml:space="preserve"> refreshing the Commonwealth Evaluation Toolkit; developing a comprehensive suite of training resources; </w:t>
      </w:r>
      <w:r w:rsidR="000C2E5A">
        <w:t xml:space="preserve">and </w:t>
      </w:r>
      <w:r>
        <w:t xml:space="preserve">designing an evaluation maturity assessment tool. In addition, the APS Evaluation Profession will be launched in 2025. Targeted support for rigorous impact evaluation will be delivered </w:t>
      </w:r>
      <w:proofErr w:type="gramStart"/>
      <w:r>
        <w:t>through</w:t>
      </w:r>
      <w:r w:rsidR="000C2E5A">
        <w:t>:</w:t>
      </w:r>
      <w:proofErr w:type="gramEnd"/>
      <w:r>
        <w:t xml:space="preserve"> formal partnerships; technical advice; ACE</w:t>
      </w:r>
      <w:r w:rsidR="00AD4DCC">
        <w:noBreakHyphen/>
      </w:r>
      <w:r>
        <w:t>delivered impact evaluation training; and the Impact Evaluation Practitioner</w:t>
      </w:r>
      <w:r w:rsidR="00AD4DCC">
        <w:t>’</w:t>
      </w:r>
      <w:r>
        <w:t>s Network.</w:t>
      </w:r>
      <w:r w:rsidR="0044523F">
        <w:br w:type="page"/>
      </w:r>
    </w:p>
    <w:p w14:paraId="4086F69B" w14:textId="77777777" w:rsidR="0044523F" w:rsidRDefault="0044523F" w:rsidP="0044523F">
      <w:pPr>
        <w:pStyle w:val="Heading1"/>
      </w:pPr>
      <w:bookmarkStart w:id="6" w:name="_Toc189820812"/>
      <w:r>
        <w:lastRenderedPageBreak/>
        <w:t>Introduction</w:t>
      </w:r>
      <w:bookmarkEnd w:id="6"/>
    </w:p>
    <w:p w14:paraId="26E96DF0" w14:textId="403A3A2B" w:rsidR="0044523F" w:rsidRDefault="0044523F" w:rsidP="007A42CE">
      <w:pPr>
        <w:ind w:right="-2"/>
      </w:pPr>
      <w:r w:rsidRPr="000E3C26">
        <w:t xml:space="preserve">The Commonwealth Evaluation Policy </w:t>
      </w:r>
      <w:r>
        <w:t xml:space="preserve">(the Policy) </w:t>
      </w:r>
      <w:r w:rsidRPr="000E3C26">
        <w:t>aims to embed a culture of evaluation and learning from experience to underpin evidence</w:t>
      </w:r>
      <w:r w:rsidR="00AD4DCC">
        <w:noBreakHyphen/>
      </w:r>
      <w:r w:rsidRPr="000E3C26">
        <w:t>based policy and delivery</w:t>
      </w:r>
      <w:r>
        <w:t xml:space="preserve"> across the Australian Government</w:t>
      </w:r>
      <w:r w:rsidRPr="000E3C26">
        <w:t xml:space="preserve">. </w:t>
      </w:r>
      <w:r>
        <w:t>The Policy</w:t>
      </w:r>
      <w:r w:rsidRPr="000E3C26">
        <w:t xml:space="preserve"> </w:t>
      </w:r>
      <w:r>
        <w:t xml:space="preserve">was introduced in December 2021 and </w:t>
      </w:r>
      <w:r w:rsidRPr="000E3C26">
        <w:t>applies to all Commonwealth entities and companies subject to the </w:t>
      </w:r>
      <w:hyperlink r:id="rId18" w:history="1">
        <w:hyperlink r:id="rId19" w:tooltip="External link - Federal Register of Legislation - Public Governance, Performance and Accountability Act 2013" w:history="1">
          <w:r w:rsidRPr="000E3C26">
            <w:rPr>
              <w:rStyle w:val="Hyperlink"/>
            </w:rPr>
            <w:t>Public Governance, Performance and Accountability Act 2013</w:t>
          </w:r>
        </w:hyperlink>
        <w:r w:rsidRPr="000E3C26">
          <w:rPr>
            <w:rStyle w:val="Hyperlink"/>
          </w:rPr>
          <w:t> </w:t>
        </w:r>
      </w:hyperlink>
      <w:r w:rsidRPr="000E3C26">
        <w:t>(PGPA Act).</w:t>
      </w:r>
    </w:p>
    <w:p w14:paraId="70478372" w14:textId="7E761BCD" w:rsidR="0044523F" w:rsidRPr="00B4758F" w:rsidRDefault="00EE5599" w:rsidP="007A42CE">
      <w:pPr>
        <w:ind w:right="-2"/>
      </w:pPr>
      <w:r>
        <w:t>T</w:t>
      </w:r>
      <w:r w:rsidR="0044523F">
        <w:t>he Australian Centre for Evaluation (ACE) was founded in Treasury in July 2023 to put evaluation evidence at the heart of government decision</w:t>
      </w:r>
      <w:r w:rsidR="00AD4DCC">
        <w:noBreakHyphen/>
      </w:r>
      <w:r w:rsidR="0044523F">
        <w:t xml:space="preserve">making. The ACE has </w:t>
      </w:r>
      <w:r w:rsidR="0044523F" w:rsidRPr="00B4758F">
        <w:t xml:space="preserve">an ambitious agenda for improving the quality and depth of evidence and its use </w:t>
      </w:r>
      <w:proofErr w:type="gramStart"/>
      <w:r w:rsidR="0044523F" w:rsidRPr="00B4758F">
        <w:t>by:</w:t>
      </w:r>
      <w:proofErr w:type="gramEnd"/>
      <w:r w:rsidR="0044523F" w:rsidRPr="00B4758F">
        <w:t xml:space="preserve"> providing leadership across the APS; working with partners to deliver impactful evaluations; supporting </w:t>
      </w:r>
      <w:r w:rsidR="0044523F">
        <w:t>entit</w:t>
      </w:r>
      <w:r w:rsidR="0044523F" w:rsidRPr="00B4758F">
        <w:t>ies with evaluation planning and use; and building evaluation capability across the service.</w:t>
      </w:r>
    </w:p>
    <w:p w14:paraId="028AA01B" w14:textId="3FA1EF76" w:rsidR="0044523F" w:rsidRDefault="0044523F" w:rsidP="007A42CE">
      <w:pPr>
        <w:ind w:right="-2"/>
      </w:pPr>
      <w:r>
        <w:t>Regular reporting on the State of Evaluation in the Australian Government is critical for</w:t>
      </w:r>
      <w:r w:rsidR="00531F26">
        <w:t xml:space="preserve"> delivering on the ACE</w:t>
      </w:r>
      <w:r w:rsidR="00AD4DCC">
        <w:t>’</w:t>
      </w:r>
      <w:r w:rsidR="00531F26">
        <w:t>s mission. It will</w:t>
      </w:r>
      <w:r>
        <w:t>:</w:t>
      </w:r>
    </w:p>
    <w:p w14:paraId="1B2CF0AC" w14:textId="12B73C0E" w:rsidR="0044523F" w:rsidRDefault="0044523F" w:rsidP="007A42CE">
      <w:pPr>
        <w:pStyle w:val="Bullet"/>
        <w:ind w:right="-2"/>
      </w:pPr>
      <w:r>
        <w:t>establish baseline information about the current state of evaluation at a system</w:t>
      </w:r>
      <w:r w:rsidR="00AD4DCC">
        <w:noBreakHyphen/>
      </w:r>
      <w:r>
        <w:t>level and monitor changes over time</w:t>
      </w:r>
    </w:p>
    <w:p w14:paraId="2619A731" w14:textId="4B4370D7" w:rsidR="0044523F" w:rsidRDefault="0044523F" w:rsidP="007A42CE">
      <w:pPr>
        <w:pStyle w:val="Bullet"/>
        <w:ind w:right="-2"/>
      </w:pPr>
      <w:r>
        <w:t>inform the prioritisation and sequencing of future reform initiatives</w:t>
      </w:r>
    </w:p>
    <w:p w14:paraId="412FCFD4" w14:textId="3B864821" w:rsidR="0044523F" w:rsidRDefault="0044523F" w:rsidP="007A42CE">
      <w:pPr>
        <w:pStyle w:val="Bullet"/>
        <w:ind w:right="-2"/>
      </w:pPr>
      <w:r>
        <w:t>identify areas where the ACE can support entities to embed the Policy and enhance the guidance and resources available in the Commonwealth Evaluation Toolkit.</w:t>
      </w:r>
    </w:p>
    <w:p w14:paraId="6867FD03" w14:textId="61C86986" w:rsidR="00EE5599" w:rsidRDefault="00257E68" w:rsidP="00257E68">
      <w:pPr>
        <w:pStyle w:val="Heading2"/>
      </w:pPr>
      <w:bookmarkStart w:id="7" w:name="_Toc189820813"/>
      <w:r>
        <w:t xml:space="preserve">Project </w:t>
      </w:r>
      <w:r w:rsidR="00F36EF2">
        <w:t>overview</w:t>
      </w:r>
      <w:bookmarkEnd w:id="7"/>
    </w:p>
    <w:p w14:paraId="6FE16BE6" w14:textId="37FF5374" w:rsidR="00CA2353" w:rsidRDefault="00DA0E33" w:rsidP="007A42CE">
      <w:pPr>
        <w:ind w:right="-2"/>
      </w:pPr>
      <w:r>
        <w:t>The ACE commenced w</w:t>
      </w:r>
      <w:r w:rsidR="0044523F">
        <w:t>ork to develop the</w:t>
      </w:r>
      <w:r w:rsidR="0044523F" w:rsidRPr="001344FB">
        <w:t xml:space="preserve"> inaugural report in July 2024</w:t>
      </w:r>
      <w:r w:rsidR="00834CC0">
        <w:t xml:space="preserve">. The design and implementation </w:t>
      </w:r>
      <w:r w:rsidR="00673E43">
        <w:t xml:space="preserve">approach were developed in </w:t>
      </w:r>
      <w:r>
        <w:t xml:space="preserve">partnership with the Commonwealth </w:t>
      </w:r>
      <w:r w:rsidR="00673E43">
        <w:t>Evaluation</w:t>
      </w:r>
      <w:r>
        <w:t xml:space="preserve"> Reference Group</w:t>
      </w:r>
      <w:r w:rsidR="0044523F">
        <w:t xml:space="preserve">. All Commonwealth entities and companies subject to the PGPA Act </w:t>
      </w:r>
      <w:r w:rsidR="00531F26">
        <w:t xml:space="preserve">(194 in total) </w:t>
      </w:r>
      <w:r w:rsidR="0044523F">
        <w:t xml:space="preserve">were invited to </w:t>
      </w:r>
      <w:r w:rsidR="00673E43">
        <w:t xml:space="preserve">contribute. </w:t>
      </w:r>
    </w:p>
    <w:p w14:paraId="03A12257" w14:textId="11D92A5F" w:rsidR="0044523F" w:rsidRDefault="00CA2353" w:rsidP="007A42CE">
      <w:pPr>
        <w:ind w:right="-2"/>
      </w:pPr>
      <w:r>
        <w:t>The ACE</w:t>
      </w:r>
      <w:r w:rsidR="004C3F06">
        <w:t xml:space="preserve"> conducted</w:t>
      </w:r>
      <w:r w:rsidR="0044523F">
        <w:t xml:space="preserve"> a whole</w:t>
      </w:r>
      <w:r w:rsidR="00AD4DCC">
        <w:noBreakHyphen/>
      </w:r>
      <w:r w:rsidR="0044523F">
        <w:t>of</w:t>
      </w:r>
      <w:r w:rsidR="00AD4DCC">
        <w:noBreakHyphen/>
      </w:r>
      <w:r w:rsidR="0044523F">
        <w:t xml:space="preserve">government survey and data collection activity between August and November 2024. This involved seeking entity level responses to a survey questionnaire (the Survey) and </w:t>
      </w:r>
      <w:r w:rsidR="004C3F06">
        <w:t xml:space="preserve">input to </w:t>
      </w:r>
      <w:r w:rsidR="0044523F">
        <w:t>a stocktake of evaluation activities in the 2023</w:t>
      </w:r>
      <w:r w:rsidR="00AD4DCC">
        <w:noBreakHyphen/>
      </w:r>
      <w:r w:rsidR="0044523F">
        <w:t xml:space="preserve">24 period (the Stocktake). </w:t>
      </w:r>
    </w:p>
    <w:p w14:paraId="57AF1821" w14:textId="77777777" w:rsidR="0044523F" w:rsidRDefault="0044523F" w:rsidP="0044523F">
      <w:pPr>
        <w:ind w:right="-144"/>
      </w:pPr>
      <w:r>
        <w:t>The Survey:</w:t>
      </w:r>
    </w:p>
    <w:p w14:paraId="733D907D" w14:textId="228356DE" w:rsidR="0044523F" w:rsidRPr="00A23029" w:rsidRDefault="0044523F" w:rsidP="0044523F">
      <w:pPr>
        <w:pStyle w:val="Bullet"/>
      </w:pPr>
      <w:r w:rsidRPr="00A23029">
        <w:t>allow</w:t>
      </w:r>
      <w:r>
        <w:t>ed</w:t>
      </w:r>
      <w:r w:rsidRPr="00A23029">
        <w:t xml:space="preserve"> for entity</w:t>
      </w:r>
      <w:r w:rsidR="00AD4DCC">
        <w:noBreakHyphen/>
      </w:r>
      <w:r w:rsidRPr="00A23029">
        <w:t>level response</w:t>
      </w:r>
      <w:r>
        <w:t xml:space="preserve"> to questions related to organisational supports and processes for evaluation planning, design and utilisation</w:t>
      </w:r>
    </w:p>
    <w:p w14:paraId="1BDCF7D5" w14:textId="08C0C953" w:rsidR="0044523F" w:rsidRDefault="0044523F" w:rsidP="0044523F">
      <w:pPr>
        <w:pStyle w:val="Bullet"/>
      </w:pPr>
      <w:r w:rsidRPr="00A23029">
        <w:t>capture</w:t>
      </w:r>
      <w:r>
        <w:t>d</w:t>
      </w:r>
      <w:r w:rsidRPr="00A23029">
        <w:t xml:space="preserve"> </w:t>
      </w:r>
      <w:r>
        <w:t>information about entity</w:t>
      </w:r>
      <w:r w:rsidR="00AD4DCC">
        <w:noBreakHyphen/>
      </w:r>
      <w:r>
        <w:t>level evaluation capability building initiatives</w:t>
      </w:r>
    </w:p>
    <w:p w14:paraId="071C79EE" w14:textId="77777777" w:rsidR="0044523F" w:rsidRPr="00A23029" w:rsidRDefault="0044523F" w:rsidP="0044523F">
      <w:pPr>
        <w:pStyle w:val="Bullet"/>
      </w:pPr>
      <w:r>
        <w:t>identified areas where the ACE could provide additional support to help entities embed the Policy and strengthen their evaluation practices.</w:t>
      </w:r>
    </w:p>
    <w:p w14:paraId="6A7E40E0" w14:textId="77777777" w:rsidR="0044523F" w:rsidRDefault="0044523F" w:rsidP="0044523F">
      <w:pPr>
        <w:ind w:right="-144"/>
      </w:pPr>
      <w:r>
        <w:t>The Stocktake:</w:t>
      </w:r>
    </w:p>
    <w:p w14:paraId="088BD208" w14:textId="74266844" w:rsidR="0044523F" w:rsidRPr="00A565E6" w:rsidRDefault="0044523F" w:rsidP="0044523F">
      <w:pPr>
        <w:pStyle w:val="Bullet"/>
      </w:pPr>
      <w:r>
        <w:t xml:space="preserve">captured information about formal </w:t>
      </w:r>
      <w:r w:rsidRPr="00A565E6">
        <w:t>evaluations planned, commenced, and/or completed</w:t>
      </w:r>
      <w:r w:rsidR="00990766">
        <w:t xml:space="preserve">, with a focus on </w:t>
      </w:r>
      <w:r>
        <w:t xml:space="preserve">the </w:t>
      </w:r>
      <w:r w:rsidRPr="00A565E6">
        <w:t>2023–24</w:t>
      </w:r>
      <w:r>
        <w:t xml:space="preserve"> reporting period</w:t>
      </w:r>
    </w:p>
    <w:p w14:paraId="77052BA9" w14:textId="32920C29" w:rsidR="0044523F" w:rsidRPr="00A565E6" w:rsidRDefault="0044523F" w:rsidP="0044523F">
      <w:pPr>
        <w:pStyle w:val="Bullet"/>
      </w:pPr>
      <w:r>
        <w:t xml:space="preserve">identified attributes related to each evaluation, including information about the </w:t>
      </w:r>
      <w:r w:rsidRPr="00A565E6">
        <w:t>design</w:t>
      </w:r>
      <w:r w:rsidR="006C72A9">
        <w:t>,</w:t>
      </w:r>
      <w:r w:rsidRPr="00A565E6">
        <w:t xml:space="preserve"> delivery</w:t>
      </w:r>
      <w:r>
        <w:t xml:space="preserve"> approach</w:t>
      </w:r>
      <w:r w:rsidRPr="00A565E6" w:rsidDel="00D50B3F">
        <w:t>,</w:t>
      </w:r>
      <w:r w:rsidRPr="00A565E6">
        <w:t xml:space="preserve"> analytical methods</w:t>
      </w:r>
      <w:r w:rsidRPr="00A565E6" w:rsidDel="00D50B3F">
        <w:t>,</w:t>
      </w:r>
      <w:r w:rsidRPr="00A565E6">
        <w:t xml:space="preserve"> evidence use</w:t>
      </w:r>
      <w:r w:rsidDel="00D50B3F">
        <w:t>,</w:t>
      </w:r>
      <w:r w:rsidRPr="00A565E6">
        <w:t xml:space="preserve"> publication</w:t>
      </w:r>
      <w:r w:rsidDel="00D50B3F">
        <w:t>,</w:t>
      </w:r>
      <w:r>
        <w:t xml:space="preserve"> and </w:t>
      </w:r>
      <w:r w:rsidRPr="00A565E6">
        <w:t>alignment with the Budget Framework and Commonwealth Performance Framework</w:t>
      </w:r>
      <w:r>
        <w:t>.</w:t>
      </w:r>
    </w:p>
    <w:p w14:paraId="1C68D96C" w14:textId="175AFE5F" w:rsidR="0044523F" w:rsidRDefault="0044523F" w:rsidP="007A42CE">
      <w:pPr>
        <w:ind w:right="-2"/>
      </w:pPr>
      <w:r>
        <w:lastRenderedPageBreak/>
        <w:t xml:space="preserve">Together, the Survey and Stocktake </w:t>
      </w:r>
      <w:r w:rsidR="00CF110B">
        <w:t xml:space="preserve">results help </w:t>
      </w:r>
      <w:r w:rsidR="008556DD">
        <w:t xml:space="preserve">to </w:t>
      </w:r>
      <w:r w:rsidDel="008A33F5">
        <w:t>better understand</w:t>
      </w:r>
      <w:r w:rsidRPr="006D7248" w:rsidDel="008A33F5">
        <w:t xml:space="preserve"> the current state of evaluation </w:t>
      </w:r>
      <w:r>
        <w:t xml:space="preserve">activities, </w:t>
      </w:r>
      <w:r w:rsidRPr="006D7248" w:rsidDel="008A33F5">
        <w:t xml:space="preserve">practices, capability building efforts and culture across the </w:t>
      </w:r>
      <w:r w:rsidDel="008A33F5">
        <w:t>Australian Government.</w:t>
      </w:r>
    </w:p>
    <w:p w14:paraId="7D69D4C7" w14:textId="77777777" w:rsidR="0044523F" w:rsidRDefault="0044523F" w:rsidP="007A42CE">
      <w:pPr>
        <w:ind w:right="-2"/>
      </w:pPr>
      <w:r>
        <w:t xml:space="preserve">All information collected through the Survey and Stocktake was provided on the basis that only aggregate information would be used for reporting purposes. </w:t>
      </w:r>
    </w:p>
    <w:p w14:paraId="1B04B379" w14:textId="598ED669" w:rsidR="004C3F06" w:rsidRDefault="004C3F06" w:rsidP="007A42CE">
      <w:pPr>
        <w:ind w:right="-2"/>
      </w:pPr>
      <w:r>
        <w:t xml:space="preserve">The ACE will work with portfolio departments and </w:t>
      </w:r>
      <w:r w:rsidR="000A4C82">
        <w:t>interested agencies to develop entity</w:t>
      </w:r>
      <w:r w:rsidR="00AD4DCC">
        <w:noBreakHyphen/>
      </w:r>
      <w:r w:rsidR="000A4C82">
        <w:t xml:space="preserve">level </w:t>
      </w:r>
      <w:r w:rsidR="00547B5A">
        <w:t xml:space="preserve">reports and actions plans </w:t>
      </w:r>
      <w:r w:rsidR="00C25448">
        <w:t xml:space="preserve">in 2025. </w:t>
      </w:r>
    </w:p>
    <w:p w14:paraId="6014E09C" w14:textId="77777777" w:rsidR="0044523F" w:rsidRDefault="0044523F" w:rsidP="0044523F">
      <w:pPr>
        <w:pStyle w:val="Heading2"/>
      </w:pPr>
      <w:bookmarkStart w:id="8" w:name="_Toc189820814"/>
      <w:r>
        <w:t>Responding entities</w:t>
      </w:r>
      <w:bookmarkEnd w:id="8"/>
    </w:p>
    <w:p w14:paraId="1BF9A680" w14:textId="28C18B7D" w:rsidR="0044523F" w:rsidRDefault="0044523F" w:rsidP="007A42CE">
      <w:pPr>
        <w:ind w:right="-2"/>
      </w:pPr>
      <w:r>
        <w:rPr>
          <w:color w:val="000000" w:themeColor="text1"/>
        </w:rPr>
        <w:t xml:space="preserve">Of the </w:t>
      </w:r>
      <w:r>
        <w:t xml:space="preserve">194 Commonwealth entities and companies subject to the PGPA Act that were invited to contribute: </w:t>
      </w:r>
    </w:p>
    <w:p w14:paraId="53755092" w14:textId="5F1F4F28" w:rsidR="0044523F" w:rsidRDefault="0044523F" w:rsidP="0044523F">
      <w:pPr>
        <w:pStyle w:val="Bullet"/>
      </w:pPr>
      <w:r w:rsidRPr="00AD4DCC">
        <w:rPr>
          <w:rStyle w:val="Strong"/>
        </w:rPr>
        <w:t>92 entities</w:t>
      </w:r>
      <w:r w:rsidRPr="0065716E">
        <w:t xml:space="preserve"> responded to the </w:t>
      </w:r>
      <w:r>
        <w:t>S</w:t>
      </w:r>
      <w:r w:rsidRPr="0065716E">
        <w:t>urvey (</w:t>
      </w:r>
      <w:r w:rsidR="00C833F3">
        <w:t>47</w:t>
      </w:r>
      <w:r w:rsidRPr="0065716E">
        <w:t>% response rate)</w:t>
      </w:r>
    </w:p>
    <w:p w14:paraId="56A0C33C" w14:textId="361BB18F" w:rsidR="0044523F" w:rsidRPr="0065716E" w:rsidRDefault="0044523F" w:rsidP="0044523F">
      <w:pPr>
        <w:pStyle w:val="Bullet"/>
      </w:pPr>
      <w:r w:rsidRPr="00AD4DCC">
        <w:rPr>
          <w:rStyle w:val="Strong"/>
        </w:rPr>
        <w:t>3</w:t>
      </w:r>
      <w:r w:rsidR="001D78EF" w:rsidRPr="00AD4DCC">
        <w:rPr>
          <w:rStyle w:val="Strong"/>
        </w:rPr>
        <w:t>8</w:t>
      </w:r>
      <w:r w:rsidRPr="00AD4DCC">
        <w:rPr>
          <w:rStyle w:val="Strong"/>
        </w:rPr>
        <w:t xml:space="preserve"> entities</w:t>
      </w:r>
      <w:r w:rsidRPr="0065716E">
        <w:t xml:space="preserve"> provided valid responses to the </w:t>
      </w:r>
      <w:r>
        <w:t>S</w:t>
      </w:r>
      <w:r w:rsidRPr="0065716E">
        <w:t>tocktake (</w:t>
      </w:r>
      <w:r w:rsidR="000E7919">
        <w:t>20</w:t>
      </w:r>
      <w:r w:rsidRPr="0065716E">
        <w:t>% response rate).</w:t>
      </w:r>
    </w:p>
    <w:p w14:paraId="706EB899" w14:textId="01ABE4D7" w:rsidR="0044523F" w:rsidRDefault="0044523F" w:rsidP="0044523F">
      <w:pPr>
        <w:pStyle w:val="Bullet"/>
        <w:numPr>
          <w:ilvl w:val="0"/>
          <w:numId w:val="0"/>
        </w:numPr>
      </w:pPr>
      <w:r w:rsidRPr="00115BBF">
        <w:t xml:space="preserve">The number of entities who </w:t>
      </w:r>
      <w:r w:rsidR="0050782C">
        <w:t>responded to the Survey and Stocktake</w:t>
      </w:r>
      <w:r w:rsidRPr="00115BBF">
        <w:t xml:space="preserve"> relative to the size of their organisations is shown below in </w:t>
      </w:r>
      <w:r w:rsidR="00B63173">
        <w:t>F</w:t>
      </w:r>
      <w:r w:rsidRPr="00115BBF">
        <w:t xml:space="preserve">igures 1 and 2. </w:t>
      </w:r>
    </w:p>
    <w:p w14:paraId="04000872" w14:textId="348CA7AD" w:rsidR="00AD4DCC" w:rsidRDefault="0044523F" w:rsidP="00881308">
      <w:pPr>
        <w:pStyle w:val="ChartMainHeading"/>
      </w:pPr>
      <w:r>
        <w:t xml:space="preserve">Figure </w:t>
      </w:r>
      <w:r w:rsidR="000C4F84">
        <w:fldChar w:fldCharType="begin"/>
      </w:r>
      <w:r w:rsidR="000C4F84">
        <w:instrText xml:space="preserve"> SEQ Figure \* ARABIC </w:instrText>
      </w:r>
      <w:r w:rsidR="000C4F84">
        <w:fldChar w:fldCharType="separate"/>
      </w:r>
      <w:r w:rsidR="000E5C41">
        <w:rPr>
          <w:noProof/>
        </w:rPr>
        <w:t>1</w:t>
      </w:r>
      <w:r w:rsidR="000C4F84">
        <w:fldChar w:fldCharType="end"/>
      </w:r>
      <w:r>
        <w:t>: State of Evaluation survey sample breakd</w:t>
      </w:r>
      <w:r w:rsidR="00CA4D99">
        <w:t>own</w:t>
      </w:r>
    </w:p>
    <w:p w14:paraId="51CC4CAE" w14:textId="25C14EFD" w:rsidR="00990305" w:rsidRDefault="00135405" w:rsidP="00AD4DCC">
      <w:pPr>
        <w:pStyle w:val="ChartGraphic"/>
      </w:pPr>
      <w:r>
        <w:rPr>
          <w:noProof/>
        </w:rPr>
        <w:drawing>
          <wp:inline distT="0" distB="0" distL="0" distR="0" wp14:anchorId="6CAC275B" wp14:editId="0DE14D75">
            <wp:extent cx="6419850" cy="2085975"/>
            <wp:effectExtent l="0" t="0" r="0" b="0"/>
            <wp:docPr id="1114664720" name="Chart 1" descr="This chart shows the State of Evaluation survey sample numbers by entity size. Large entities, defined as those with more than 1,001 employees were the largest group, with 34 entities. Micro-sized entities (less than 100 employees) followed, at 24 entities, followed by small (101-250 employees) at 18 entities, and medium (251-1000 employees), at 16 entities.">
              <a:extLst xmlns:a="http://schemas.openxmlformats.org/drawingml/2006/main">
                <a:ext uri="{FF2B5EF4-FFF2-40B4-BE49-F238E27FC236}">
                  <a16:creationId xmlns:a16="http://schemas.microsoft.com/office/drawing/2014/main" id="{297F7CDD-A525-4625-95B7-0D30FAAC7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C12C21" w14:textId="77777777" w:rsidR="00AD4DCC" w:rsidRPr="007A42CE" w:rsidRDefault="00AD4DCC" w:rsidP="007A42CE">
      <w:pPr>
        <w:pStyle w:val="SingleParagraph"/>
      </w:pPr>
    </w:p>
    <w:p w14:paraId="3303AA61" w14:textId="71CE7132" w:rsidR="00990305" w:rsidRDefault="00CA4D99" w:rsidP="00881308">
      <w:pPr>
        <w:pStyle w:val="ChartMainHeading"/>
      </w:pPr>
      <w:r w:rsidRPr="008F159F">
        <w:t>Figure 2: State of Evaluation stocktake sample breakdown</w:t>
      </w:r>
    </w:p>
    <w:p w14:paraId="44DB0E64" w14:textId="00E70674" w:rsidR="00CA3B45" w:rsidRDefault="00CA3B45" w:rsidP="00AD4DCC">
      <w:pPr>
        <w:pStyle w:val="ChartGraphic"/>
      </w:pPr>
      <w:r w:rsidRPr="00AD4DCC">
        <w:rPr>
          <w:noProof/>
        </w:rPr>
        <w:drawing>
          <wp:inline distT="0" distB="0" distL="0" distR="0" wp14:anchorId="39EF335C" wp14:editId="17653462">
            <wp:extent cx="5857875" cy="2371725"/>
            <wp:effectExtent l="0" t="0" r="0" b="0"/>
            <wp:docPr id="1879101066" name="Chart 1" descr="This chart shows the State of Evaluation stocktake sample numbers by entity size. Large entities were the largest group (23 entities). Micro-sized entities followed, at 6 entities, followed by small with 5 entities, and medium with 4 entities.">
              <a:extLst xmlns:a="http://schemas.openxmlformats.org/drawingml/2006/main">
                <a:ext uri="{FF2B5EF4-FFF2-40B4-BE49-F238E27FC236}">
                  <a16:creationId xmlns:a16="http://schemas.microsoft.com/office/drawing/2014/main" id="{A06262F4-2816-004E-5B8D-B3BFD3F7F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FD4D04" w14:textId="77777777" w:rsidR="007A42CE" w:rsidRPr="007A42CE" w:rsidRDefault="007A42CE" w:rsidP="007A42CE"/>
    <w:p w14:paraId="690758AB" w14:textId="77777777" w:rsidR="0044523F" w:rsidRDefault="0044523F" w:rsidP="0044523F">
      <w:pPr>
        <w:pStyle w:val="Heading1"/>
      </w:pPr>
      <w:bookmarkStart w:id="9" w:name="_Toc189820815"/>
      <w:r>
        <w:lastRenderedPageBreak/>
        <w:t>Evaluation activities</w:t>
      </w:r>
      <w:bookmarkEnd w:id="9"/>
    </w:p>
    <w:p w14:paraId="59E1922E" w14:textId="2EFAC347" w:rsidR="0044523F" w:rsidRDefault="0044523F" w:rsidP="0044523F">
      <w:r>
        <w:t xml:space="preserve">Measuring and understanding </w:t>
      </w:r>
      <w:r w:rsidR="00B20687">
        <w:t>how</w:t>
      </w:r>
      <w:r>
        <w:t xml:space="preserve"> evaluation </w:t>
      </w:r>
      <w:r w:rsidR="00B20687">
        <w:t>is being used</w:t>
      </w:r>
      <w:r>
        <w:t xml:space="preserve"> across the </w:t>
      </w:r>
      <w:r w:rsidR="00D85F6B">
        <w:t>Australian government</w:t>
      </w:r>
      <w:r>
        <w:t xml:space="preserve"> is critical for increasing the volume, quality and use of evaluation.</w:t>
      </w:r>
    </w:p>
    <w:p w14:paraId="2132766F" w14:textId="29350F7B" w:rsidR="004A34AB" w:rsidRDefault="00F972DA" w:rsidP="007A42CE">
      <w:pPr>
        <w:ind w:right="-2"/>
      </w:pPr>
      <w:r>
        <w:t>T</w:t>
      </w:r>
      <w:r w:rsidR="00E31EFD">
        <w:t xml:space="preserve">his </w:t>
      </w:r>
      <w:r w:rsidR="00392051">
        <w:t>S</w:t>
      </w:r>
      <w:r w:rsidR="005106B3">
        <w:t xml:space="preserve">tocktake </w:t>
      </w:r>
      <w:r w:rsidR="00E31EFD">
        <w:t xml:space="preserve">was the first attempt to </w:t>
      </w:r>
      <w:r w:rsidR="00016327">
        <w:t>measure</w:t>
      </w:r>
      <w:r w:rsidR="00E31EFD">
        <w:t xml:space="preserve"> the number and nature of evaluations at a whole</w:t>
      </w:r>
      <w:r w:rsidR="00AD4DCC">
        <w:noBreakHyphen/>
      </w:r>
      <w:r w:rsidR="00E31EFD">
        <w:t>of</w:t>
      </w:r>
      <w:r w:rsidR="00AD4DCC">
        <w:noBreakHyphen/>
      </w:r>
      <w:r w:rsidR="00E31EFD">
        <w:t>government level</w:t>
      </w:r>
      <w:r w:rsidR="00255071">
        <w:t xml:space="preserve">. It involved </w:t>
      </w:r>
      <w:r w:rsidR="00856626">
        <w:t>entities self</w:t>
      </w:r>
      <w:r w:rsidR="00AD4DCC">
        <w:noBreakHyphen/>
      </w:r>
      <w:r w:rsidR="00856626">
        <w:t xml:space="preserve">reporting on </w:t>
      </w:r>
      <w:r w:rsidR="00E31EFD">
        <w:t xml:space="preserve">characteristics about </w:t>
      </w:r>
      <w:r w:rsidR="000F7FA5">
        <w:t xml:space="preserve">the </w:t>
      </w:r>
      <w:r w:rsidR="00E31EFD">
        <w:t xml:space="preserve">status, </w:t>
      </w:r>
      <w:r w:rsidR="00016327">
        <w:t xml:space="preserve">delivery approach, </w:t>
      </w:r>
      <w:r w:rsidR="00E31EFD">
        <w:t>evaluation type</w:t>
      </w:r>
      <w:r w:rsidR="0066609A">
        <w:t>,</w:t>
      </w:r>
      <w:r w:rsidR="000F7FA5">
        <w:t xml:space="preserve"> </w:t>
      </w:r>
      <w:r w:rsidR="00E31EFD">
        <w:t>and alignment with related whole</w:t>
      </w:r>
      <w:r w:rsidR="00AD4DCC">
        <w:noBreakHyphen/>
      </w:r>
      <w:r w:rsidR="00E31EFD">
        <w:t>of</w:t>
      </w:r>
      <w:r w:rsidR="00AD4DCC">
        <w:noBreakHyphen/>
      </w:r>
      <w:r w:rsidR="00E31EFD">
        <w:t>government reporting frameworks. Despite progress building in</w:t>
      </w:r>
      <w:r w:rsidR="00AD4DCC">
        <w:noBreakHyphen/>
      </w:r>
      <w:r w:rsidR="00E31EFD">
        <w:t>house evaluation capabilities</w:t>
      </w:r>
      <w:r w:rsidR="0066609A">
        <w:t xml:space="preserve"> across government</w:t>
      </w:r>
      <w:r w:rsidR="00E31EFD">
        <w:t xml:space="preserve">, the level of detail and comparability of </w:t>
      </w:r>
      <w:r w:rsidR="004D20B3">
        <w:t xml:space="preserve">information </w:t>
      </w:r>
      <w:r w:rsidR="003C2927">
        <w:t>identified in</w:t>
      </w:r>
      <w:r w:rsidR="00E31EFD">
        <w:t xml:space="preserve"> the Stocktake varied according to organisational norms and definitional issues. Data fields were not mandatory, so missing data has </w:t>
      </w:r>
      <w:r w:rsidR="0076164D">
        <w:t xml:space="preserve">also </w:t>
      </w:r>
      <w:r w:rsidR="00E31EFD">
        <w:t xml:space="preserve">been </w:t>
      </w:r>
      <w:r w:rsidR="00C727DD">
        <w:t>reflected in how results are reported below</w:t>
      </w:r>
      <w:r w:rsidR="00E31EFD">
        <w:t>.</w:t>
      </w:r>
      <w:r w:rsidR="00E31EFD" w:rsidRPr="009775F5">
        <w:t xml:space="preserve"> </w:t>
      </w:r>
    </w:p>
    <w:p w14:paraId="1B322107" w14:textId="7E77D531" w:rsidR="00206C2A" w:rsidRDefault="002E2084" w:rsidP="007A42CE">
      <w:pPr>
        <w:ind w:right="-2"/>
      </w:pPr>
      <w:r w:rsidRPr="002E2084">
        <w:t xml:space="preserve">In future, the ACE will, in collaboration with responding entities, analyse the </w:t>
      </w:r>
      <w:r w:rsidR="00AE2C34">
        <w:t>d</w:t>
      </w:r>
      <w:r w:rsidR="004A34AB">
        <w:t xml:space="preserve">etailed characteristics of evaluations identified </w:t>
      </w:r>
      <w:r w:rsidR="000B265F">
        <w:t>in</w:t>
      </w:r>
      <w:r w:rsidR="004A34AB">
        <w:t xml:space="preserve"> the </w:t>
      </w:r>
      <w:r w:rsidR="000B265F">
        <w:t>Stocktake</w:t>
      </w:r>
      <w:r w:rsidR="004A34AB">
        <w:t xml:space="preserve"> to help:</w:t>
      </w:r>
    </w:p>
    <w:p w14:paraId="0609418F" w14:textId="77777777" w:rsidR="000B265F" w:rsidRDefault="004A34AB" w:rsidP="000B265F">
      <w:pPr>
        <w:pStyle w:val="Bullet"/>
      </w:pPr>
      <w:r>
        <w:t xml:space="preserve">identify exemplars of good </w:t>
      </w:r>
      <w:proofErr w:type="gramStart"/>
      <w:r>
        <w:t>practice;</w:t>
      </w:r>
      <w:proofErr w:type="gramEnd"/>
    </w:p>
    <w:p w14:paraId="4AEF03F0" w14:textId="77777777" w:rsidR="00623D24" w:rsidRDefault="004A34AB" w:rsidP="000B265F">
      <w:pPr>
        <w:pStyle w:val="Bullet"/>
      </w:pPr>
      <w:r>
        <w:t>raise awareness about rigorous evaluation methods that can be used to understand the impact and effectiveness of programs delivered in specific contexts; and</w:t>
      </w:r>
    </w:p>
    <w:p w14:paraId="2EF764D0" w14:textId="16AD0F93" w:rsidR="00235421" w:rsidRDefault="004A34AB" w:rsidP="000B265F">
      <w:pPr>
        <w:pStyle w:val="Bullet"/>
      </w:pPr>
      <w:r>
        <w:t>identify opportunities to increase the coverage and accuracy of reporting in future years.</w:t>
      </w:r>
    </w:p>
    <w:tbl>
      <w:tblPr>
        <w:tblW w:w="5000" w:type="pct"/>
        <w:shd w:val="clear" w:color="auto" w:fill="EEEEEE" w:themeFill="background2"/>
        <w:tblCellMar>
          <w:top w:w="227" w:type="dxa"/>
          <w:left w:w="227" w:type="dxa"/>
          <w:bottom w:w="227" w:type="dxa"/>
          <w:right w:w="227" w:type="dxa"/>
        </w:tblCellMar>
        <w:tblLook w:val="01E0" w:firstRow="1" w:lastRow="1" w:firstColumn="1" w:lastColumn="1" w:noHBand="0" w:noVBand="0"/>
      </w:tblPr>
      <w:tblGrid>
        <w:gridCol w:w="9070"/>
      </w:tblGrid>
      <w:tr w:rsidR="00235421" w14:paraId="5B3025A2" w14:textId="77777777">
        <w:tc>
          <w:tcPr>
            <w:tcW w:w="5000" w:type="pct"/>
            <w:shd w:val="clear" w:color="auto" w:fill="EEEEEE" w:themeFill="background2"/>
          </w:tcPr>
          <w:p w14:paraId="23279CBB" w14:textId="3F920AE3" w:rsidR="00235421" w:rsidRPr="00550511" w:rsidRDefault="00180A62">
            <w:pPr>
              <w:pStyle w:val="BoxHeading"/>
            </w:pPr>
            <w:r>
              <w:t>Main findings</w:t>
            </w:r>
          </w:p>
          <w:p w14:paraId="7441EDCD" w14:textId="3EA23BA7" w:rsidR="00B350F6" w:rsidRPr="002E7412" w:rsidRDefault="00DD2868" w:rsidP="00AD4DCC">
            <w:pPr>
              <w:pStyle w:val="Boxbullet"/>
            </w:pPr>
            <w:r w:rsidRPr="006C4AC3">
              <w:t>924</w:t>
            </w:r>
            <w:r w:rsidR="004059D6" w:rsidRPr="006C4AC3">
              <w:t xml:space="preserve"> </w:t>
            </w:r>
            <w:r w:rsidR="004059D6" w:rsidRPr="002E7412">
              <w:t xml:space="preserve">evaluations were </w:t>
            </w:r>
            <w:r w:rsidR="00486EFF" w:rsidRPr="002E7412">
              <w:t xml:space="preserve">identified by </w:t>
            </w:r>
            <w:r w:rsidR="00386BBF">
              <w:t>38</w:t>
            </w:r>
            <w:r w:rsidR="00486EFF" w:rsidRPr="002E7412">
              <w:t xml:space="preserve"> </w:t>
            </w:r>
            <w:r w:rsidR="006C2487" w:rsidRPr="002E7412">
              <w:t xml:space="preserve">responding </w:t>
            </w:r>
            <w:r w:rsidR="00BD493A" w:rsidRPr="002E7412">
              <w:t xml:space="preserve">entities </w:t>
            </w:r>
            <w:r w:rsidR="006C2487" w:rsidRPr="002E7412">
              <w:t>in the Stocktake, including evaluations that were in the planning stage</w:t>
            </w:r>
            <w:r w:rsidR="004059D6" w:rsidRPr="002E7412">
              <w:t>, in progress or completed.</w:t>
            </w:r>
          </w:p>
          <w:p w14:paraId="65CD29EB" w14:textId="7E5AFFFA" w:rsidR="00B350F6" w:rsidRPr="002E7412" w:rsidRDefault="00DD2868" w:rsidP="00AD4DCC">
            <w:pPr>
              <w:pStyle w:val="Boxbullet"/>
            </w:pPr>
            <w:r w:rsidRPr="006C4AC3">
              <w:t>331</w:t>
            </w:r>
            <w:r w:rsidR="004F5771" w:rsidRPr="002E7412" w:rsidDel="00F80374">
              <w:t xml:space="preserve"> </w:t>
            </w:r>
            <w:r w:rsidR="004059D6" w:rsidRPr="002E7412" w:rsidDel="00F80374">
              <w:t xml:space="preserve">evaluations </w:t>
            </w:r>
            <w:r w:rsidR="00C4118C" w:rsidRPr="002E7412" w:rsidDel="00F80374">
              <w:t>were</w:t>
            </w:r>
            <w:r w:rsidR="0079429F" w:rsidRPr="002E7412" w:rsidDel="00F80374">
              <w:t xml:space="preserve"> identified as </w:t>
            </w:r>
            <w:r w:rsidR="00AD4DCC">
              <w:t>‘</w:t>
            </w:r>
            <w:r w:rsidR="004059D6" w:rsidRPr="002E7412" w:rsidDel="00F80374">
              <w:t>completed</w:t>
            </w:r>
            <w:r w:rsidR="00AD4DCC">
              <w:t>’</w:t>
            </w:r>
            <w:r w:rsidR="009775F5" w:rsidRPr="002E7412">
              <w:t xml:space="preserve"> by responding entities</w:t>
            </w:r>
            <w:r w:rsidR="00B350F6" w:rsidRPr="002E7412" w:rsidDel="00F80374">
              <w:t>.</w:t>
            </w:r>
            <w:r w:rsidR="00811685" w:rsidRPr="002E7412">
              <w:t xml:space="preserve"> Of these</w:t>
            </w:r>
            <w:r w:rsidR="000238CA" w:rsidRPr="002E7412">
              <w:t xml:space="preserve"> </w:t>
            </w:r>
            <w:r w:rsidR="008532DE" w:rsidRPr="006C4AC3">
              <w:t>217</w:t>
            </w:r>
            <w:r w:rsidR="000238CA" w:rsidRPr="002E7412">
              <w:t xml:space="preserve"> were completed in the 2023</w:t>
            </w:r>
            <w:r w:rsidR="00AD4DCC">
              <w:noBreakHyphen/>
            </w:r>
            <w:r w:rsidR="000238CA" w:rsidRPr="002E7412">
              <w:t>24 period</w:t>
            </w:r>
            <w:r w:rsidR="002A50A6">
              <w:t xml:space="preserve"> </w:t>
            </w:r>
            <w:r w:rsidR="002A50A6" w:rsidRPr="002A50A6">
              <w:t>(the remainder were completed in other years).</w:t>
            </w:r>
          </w:p>
          <w:p w14:paraId="42A8A78A" w14:textId="66572CFA" w:rsidR="00235421" w:rsidRPr="00E60A86" w:rsidRDefault="007862BD" w:rsidP="00AD4DCC">
            <w:pPr>
              <w:pStyle w:val="Boxbullet"/>
            </w:pPr>
            <w:r w:rsidRPr="006C4AC3">
              <w:t>65</w:t>
            </w:r>
            <w:r w:rsidR="004059D6" w:rsidRPr="006C4AC3">
              <w:t>%</w:t>
            </w:r>
            <w:r w:rsidR="004059D6" w:rsidRPr="000E3C26">
              <w:t xml:space="preserve"> </w:t>
            </w:r>
            <w:r w:rsidR="00B350F6">
              <w:t xml:space="preserve">of </w:t>
            </w:r>
            <w:r w:rsidR="00F27039">
              <w:t>reported</w:t>
            </w:r>
            <w:r w:rsidR="00A565A4">
              <w:t xml:space="preserve"> evaluations </w:t>
            </w:r>
            <w:r w:rsidR="004059D6" w:rsidRPr="000E3C26">
              <w:t>were delivered partly or fully by external providers.</w:t>
            </w:r>
          </w:p>
        </w:tc>
      </w:tr>
    </w:tbl>
    <w:p w14:paraId="19B2FD6C" w14:textId="77777777" w:rsidR="00AD4DCC" w:rsidRDefault="00AD4DCC" w:rsidP="00AD4DCC">
      <w:pPr>
        <w:pStyle w:val="SingleParagraph"/>
        <w:rPr>
          <w:rFonts w:ascii="Calibri" w:hAnsi="Calibri" w:cs="Arial"/>
          <w:color w:val="2C384A" w:themeColor="accent1"/>
          <w:kern w:val="32"/>
          <w:sz w:val="36"/>
          <w:szCs w:val="28"/>
        </w:rPr>
      </w:pPr>
      <w:r>
        <w:br w:type="page"/>
      </w:r>
    </w:p>
    <w:p w14:paraId="67C98201" w14:textId="6DA2CD83" w:rsidR="0044523F" w:rsidRDefault="0044523F" w:rsidP="0044523F">
      <w:pPr>
        <w:pStyle w:val="Heading2"/>
      </w:pPr>
      <w:bookmarkStart w:id="10" w:name="_Toc189820816"/>
      <w:r>
        <w:lastRenderedPageBreak/>
        <w:t xml:space="preserve">Reported </w:t>
      </w:r>
      <w:r w:rsidR="001206BC">
        <w:t>e</w:t>
      </w:r>
      <w:r>
        <w:t xml:space="preserve">valuation </w:t>
      </w:r>
      <w:r w:rsidR="001206BC">
        <w:t>activity</w:t>
      </w:r>
      <w:bookmarkEnd w:id="10"/>
    </w:p>
    <w:p w14:paraId="232D7877" w14:textId="0072FC4F" w:rsidR="008B20CB" w:rsidRDefault="0044523F" w:rsidP="00667E29">
      <w:r>
        <w:t xml:space="preserve">The Stocktake recorded the details of </w:t>
      </w:r>
      <w:r w:rsidR="004A5EF5" w:rsidRPr="00AD4DCC">
        <w:rPr>
          <w:rStyle w:val="Strong"/>
        </w:rPr>
        <w:t>924</w:t>
      </w:r>
      <w:r>
        <w:t xml:space="preserve"> evaluations</w:t>
      </w:r>
      <w:r w:rsidR="008B20CB">
        <w:t xml:space="preserve">, </w:t>
      </w:r>
      <w:r w:rsidR="00E60A83" w:rsidRPr="00E60A83">
        <w:t>from 3</w:t>
      </w:r>
      <w:r w:rsidR="003B65D2">
        <w:t>8</w:t>
      </w:r>
      <w:r w:rsidR="00E60A83" w:rsidRPr="00E60A83">
        <w:t xml:space="preserve"> responding entities. This likely represents an underestimate since non</w:t>
      </w:r>
      <w:r w:rsidR="00AD4DCC">
        <w:noBreakHyphen/>
      </w:r>
      <w:r w:rsidR="00E60A83" w:rsidRPr="00E60A83">
        <w:t>responding entities may also have undertaken some evaluation activities. Nonetheless, this establishes</w:t>
      </w:r>
      <w:r w:rsidR="008B20CB">
        <w:t xml:space="preserve"> a</w:t>
      </w:r>
      <w:r w:rsidR="00667E29">
        <w:t>n indicative</w:t>
      </w:r>
      <w:r w:rsidR="008B20CB">
        <w:t xml:space="preserve"> baseline for the volume </w:t>
      </w:r>
      <w:r w:rsidR="00FB06BA">
        <w:t xml:space="preserve">and characteristics </w:t>
      </w:r>
      <w:r w:rsidR="008B20CB">
        <w:t xml:space="preserve">of evaluation activities underway across the Australian Government. </w:t>
      </w:r>
    </w:p>
    <w:p w14:paraId="62E37B6E" w14:textId="785EE0F0" w:rsidR="00912432" w:rsidRDefault="00263285" w:rsidP="0044523F">
      <w:r>
        <w:t>A</w:t>
      </w:r>
      <w:r w:rsidR="00740EC0">
        <w:t xml:space="preserve">round </w:t>
      </w:r>
      <w:r w:rsidR="00887492">
        <w:t>3</w:t>
      </w:r>
      <w:r w:rsidR="0010158E">
        <w:t>6</w:t>
      </w:r>
      <w:r w:rsidR="00887492">
        <w:t>%</w:t>
      </w:r>
      <w:r>
        <w:t xml:space="preserve"> of </w:t>
      </w:r>
      <w:r w:rsidR="005337CF">
        <w:t>evaluations</w:t>
      </w:r>
      <w:r w:rsidR="00F61135">
        <w:t xml:space="preserve"> </w:t>
      </w:r>
      <w:r w:rsidR="00887492" w:rsidRPr="006C4AC3">
        <w:t>(331, n=921</w:t>
      </w:r>
      <w:r w:rsidR="00887492" w:rsidRPr="00716DDF">
        <w:t>)</w:t>
      </w:r>
      <w:r w:rsidR="005337CF">
        <w:t xml:space="preserve"> </w:t>
      </w:r>
      <w:r w:rsidR="00B152DF">
        <w:t>were reported as completed, and the remaining 6</w:t>
      </w:r>
      <w:r w:rsidR="00783978">
        <w:t>4</w:t>
      </w:r>
      <w:r w:rsidR="00B152DF">
        <w:t>%</w:t>
      </w:r>
      <w:r w:rsidR="003B45CB">
        <w:t xml:space="preserve"> </w:t>
      </w:r>
      <w:r w:rsidR="00A13C1A" w:rsidRPr="00716DDF">
        <w:t xml:space="preserve">were reported to be </w:t>
      </w:r>
      <w:r w:rsidR="00B04DC7">
        <w:t>either</w:t>
      </w:r>
      <w:r w:rsidR="00A13C1A" w:rsidRPr="00716DDF">
        <w:t xml:space="preserve"> in the planning stage </w:t>
      </w:r>
      <w:r w:rsidR="005A1094" w:rsidRPr="00716DDF">
        <w:t>(</w:t>
      </w:r>
      <w:r w:rsidR="003203D6" w:rsidRPr="006C4AC3">
        <w:t>338</w:t>
      </w:r>
      <w:r w:rsidR="005A1094" w:rsidRPr="006C4AC3">
        <w:t xml:space="preserve"> evaluations</w:t>
      </w:r>
      <w:r w:rsidR="005A1094" w:rsidRPr="00716DDF">
        <w:t>)</w:t>
      </w:r>
      <w:r w:rsidR="00A13C1A" w:rsidRPr="00716DDF">
        <w:t xml:space="preserve"> or in progress</w:t>
      </w:r>
      <w:r w:rsidR="005A1094" w:rsidRPr="00716DDF">
        <w:t xml:space="preserve"> </w:t>
      </w:r>
      <w:r w:rsidR="005A1094" w:rsidRPr="006C4AC3">
        <w:t>(</w:t>
      </w:r>
      <w:r w:rsidR="00302D26" w:rsidRPr="006C4AC3">
        <w:t>252</w:t>
      </w:r>
      <w:r w:rsidR="005771B6">
        <w:t xml:space="preserve"> evaluations</w:t>
      </w:r>
      <w:r w:rsidR="00A04A7E">
        <w:t xml:space="preserve">; </w:t>
      </w:r>
      <w:proofErr w:type="gramStart"/>
      <w:r w:rsidR="00D25C68">
        <w:t>Figure</w:t>
      </w:r>
      <w:r w:rsidR="0087541F">
        <w:t>  </w:t>
      </w:r>
      <w:r w:rsidR="00D25C68">
        <w:t>3</w:t>
      </w:r>
      <w:proofErr w:type="gramEnd"/>
      <w:r w:rsidR="00D25C68">
        <w:t>).</w:t>
      </w:r>
      <w:r w:rsidR="0002542A" w:rsidRPr="00716DDF">
        <w:rPr>
          <w:rStyle w:val="FootnoteReference"/>
          <w:vertAlign w:val="superscript"/>
        </w:rPr>
        <w:footnoteReference w:id="4"/>
      </w:r>
      <w:r w:rsidR="0002542A" w:rsidRPr="00716DDF">
        <w:t xml:space="preserve"> </w:t>
      </w:r>
      <w:r w:rsidR="00F61135">
        <w:t>Of the completed evaluations</w:t>
      </w:r>
      <w:r w:rsidR="00A13C1A" w:rsidRPr="00716DDF">
        <w:t xml:space="preserve">, </w:t>
      </w:r>
      <w:r w:rsidR="00BB6325" w:rsidRPr="006C4AC3">
        <w:t>217</w:t>
      </w:r>
      <w:r w:rsidR="00A13C1A" w:rsidRPr="00716DDF">
        <w:t xml:space="preserve"> were completed in 2023–24</w:t>
      </w:r>
      <w:r w:rsidR="007632CE">
        <w:t>,</w:t>
      </w:r>
      <w:r w:rsidR="0092689C" w:rsidRPr="00716DDF">
        <w:t xml:space="preserve"> </w:t>
      </w:r>
      <w:r w:rsidR="007632CE">
        <w:t>according to the</w:t>
      </w:r>
      <w:r w:rsidR="0092689C" w:rsidRPr="00716DDF">
        <w:t xml:space="preserve"> </w:t>
      </w:r>
      <w:r w:rsidR="00D06D00" w:rsidRPr="00716DDF">
        <w:t xml:space="preserve">status and </w:t>
      </w:r>
      <w:r w:rsidR="0092689C" w:rsidRPr="00716DDF">
        <w:t>timefra</w:t>
      </w:r>
      <w:r w:rsidR="00EA2A19" w:rsidRPr="00716DDF">
        <w:t xml:space="preserve">mes </w:t>
      </w:r>
      <w:r w:rsidR="007717FC" w:rsidRPr="00716DDF">
        <w:t>entered by responding entities</w:t>
      </w:r>
      <w:r w:rsidR="0073037A" w:rsidRPr="00716DDF">
        <w:t>.</w:t>
      </w:r>
      <w:r w:rsidR="002343DC" w:rsidRPr="00716DDF">
        <w:rPr>
          <w:rStyle w:val="FootnoteReference"/>
          <w:vertAlign w:val="superscript"/>
        </w:rPr>
        <w:footnoteReference w:id="5"/>
      </w:r>
    </w:p>
    <w:p w14:paraId="77B965D4" w14:textId="29963394" w:rsidR="00A53C5D" w:rsidRPr="00A53C5D" w:rsidRDefault="0044523F" w:rsidP="00881308">
      <w:pPr>
        <w:pStyle w:val="ChartMainHeading"/>
      </w:pPr>
      <w:r>
        <w:t xml:space="preserve">Figure </w:t>
      </w:r>
      <w:r w:rsidR="008A0099">
        <w:t>3</w:t>
      </w:r>
      <w:r>
        <w:t>: Status of evaluation</w:t>
      </w:r>
      <w:r w:rsidR="00E11B19">
        <w:t>s</w:t>
      </w:r>
      <w:r>
        <w:t xml:space="preserve"> </w:t>
      </w:r>
      <w:r w:rsidR="00D70BEF">
        <w:t>identified across the Australian Government</w:t>
      </w:r>
      <w:r w:rsidR="00D70BEF" w:rsidRPr="0080690D">
        <w:rPr>
          <w:rStyle w:val="FootnoteReference"/>
          <w:vertAlign w:val="superscript"/>
        </w:rPr>
        <w:footnoteReference w:id="6"/>
      </w:r>
    </w:p>
    <w:p w14:paraId="7898AAB5" w14:textId="335B2E97" w:rsidR="003B45CB" w:rsidRDefault="00A53C5D" w:rsidP="00AD4DCC">
      <w:pPr>
        <w:pStyle w:val="ChartGraphic"/>
      </w:pPr>
      <w:r>
        <w:rPr>
          <w:noProof/>
        </w:rPr>
        <w:drawing>
          <wp:inline distT="0" distB="0" distL="0" distR="0" wp14:anchorId="149614AF" wp14:editId="35DFE405">
            <wp:extent cx="5759450" cy="2294890"/>
            <wp:effectExtent l="0" t="0" r="0" b="0"/>
            <wp:docPr id="1158879665" name="Picture 1" descr="Figure 3 shows the status of evaluations reported by entities in the State of Evaluation stocktake. 338 evaluations were identified as in the planning phase, 252 evaluations were reported as &quot;in progress&quot;, 331 evaluations were marked as completed, and 3 did not specify thei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79665" name="Picture 1" descr="Figure 3 shows the status of evaluations reported by entities in the State of Evaluation stocktake. 338 evaluations were identified as in the planning phase, 252 evaluations were reported as &quot;in progress&quot;, 331 evaluations were marked as completed, and 3 did not specify their statu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294890"/>
                    </a:xfrm>
                    <a:prstGeom prst="rect">
                      <a:avLst/>
                    </a:prstGeom>
                  </pic:spPr>
                </pic:pic>
              </a:graphicData>
            </a:graphic>
          </wp:inline>
        </w:drawing>
      </w:r>
    </w:p>
    <w:p w14:paraId="47DBE3AB" w14:textId="77777777" w:rsidR="00AD4DCC" w:rsidRPr="00AD4DCC" w:rsidRDefault="00AD4DCC" w:rsidP="00AD4DCC">
      <w:pPr>
        <w:pStyle w:val="SingleParagraph"/>
      </w:pPr>
    </w:p>
    <w:p w14:paraId="5BC3F2EC" w14:textId="7F74D11D" w:rsidR="002D185F" w:rsidRDefault="003B45CB">
      <w:pPr>
        <w:spacing w:before="0" w:after="160" w:line="259" w:lineRule="auto"/>
      </w:pPr>
      <w:r>
        <w:t>The characteristics of evaluations reported as completed varied across entities. F</w:t>
      </w:r>
      <w:r w:rsidR="00332CC9">
        <w:t xml:space="preserve">or example, </w:t>
      </w:r>
      <w:r>
        <w:t xml:space="preserve">reported timeframes associated </w:t>
      </w:r>
      <w:r w:rsidR="00DC315B">
        <w:t xml:space="preserve">with </w:t>
      </w:r>
      <w:r w:rsidR="00470C38">
        <w:t xml:space="preserve">each </w:t>
      </w:r>
      <w:r w:rsidR="00524067">
        <w:t>evaluation</w:t>
      </w:r>
      <w:r w:rsidR="00470C38">
        <w:t xml:space="preserve"> varied </w:t>
      </w:r>
      <w:r w:rsidR="00524067">
        <w:t xml:space="preserve">depending on </w:t>
      </w:r>
      <w:r w:rsidR="00D962DC">
        <w:t xml:space="preserve">when </w:t>
      </w:r>
      <w:r w:rsidR="00332CC9">
        <w:t>an evaluation was deemed complete</w:t>
      </w:r>
      <w:r w:rsidR="00524067">
        <w:t>:</w:t>
      </w:r>
      <w:r w:rsidR="00332CC9">
        <w:t xml:space="preserve"> </w:t>
      </w:r>
      <w:r w:rsidR="00524067">
        <w:t>at the time</w:t>
      </w:r>
      <w:r w:rsidR="00332CC9">
        <w:t xml:space="preserve"> an evaluation report was finalised</w:t>
      </w:r>
      <w:r w:rsidR="00524067">
        <w:t>;</w:t>
      </w:r>
      <w:r w:rsidR="00332CC9">
        <w:t xml:space="preserve"> or when findings were published, distributed to key stakeholders, or responded to by management.</w:t>
      </w:r>
    </w:p>
    <w:p w14:paraId="54D31829" w14:textId="40545495" w:rsidR="00524067" w:rsidRDefault="00524067">
      <w:pPr>
        <w:spacing w:before="0" w:after="160" w:line="259" w:lineRule="auto"/>
        <w:rPr>
          <w:rFonts w:ascii="Calibri" w:hAnsi="Calibri" w:cs="Arial"/>
          <w:iCs/>
          <w:color w:val="2C384A" w:themeColor="accent1"/>
          <w:kern w:val="32"/>
          <w:sz w:val="36"/>
          <w:szCs w:val="28"/>
        </w:rPr>
      </w:pPr>
      <w:r>
        <w:t xml:space="preserve">The ACE </w:t>
      </w:r>
      <w:r w:rsidR="00B17139">
        <w:t xml:space="preserve">will collaborate with entities to enhance the design of the Stocktake </w:t>
      </w:r>
      <w:r w:rsidR="00190F6C">
        <w:t xml:space="preserve">data </w:t>
      </w:r>
      <w:r w:rsidR="00B17139">
        <w:t xml:space="preserve">collection tool for future reporting </w:t>
      </w:r>
      <w:r w:rsidR="0090415C">
        <w:t xml:space="preserve">to improve consistency </w:t>
      </w:r>
      <w:r w:rsidR="00190F6C">
        <w:t xml:space="preserve">and comparability. </w:t>
      </w:r>
    </w:p>
    <w:p w14:paraId="0E2013A8" w14:textId="77777777" w:rsidR="00AD4DCC" w:rsidRDefault="00AD4DCC">
      <w:pPr>
        <w:spacing w:before="0" w:after="160" w:line="259" w:lineRule="auto"/>
        <w:rPr>
          <w:rFonts w:ascii="Calibri" w:hAnsi="Calibri" w:cs="Arial"/>
          <w:iCs/>
          <w:color w:val="2C384A" w:themeColor="accent1"/>
          <w:kern w:val="32"/>
          <w:sz w:val="36"/>
          <w:szCs w:val="28"/>
        </w:rPr>
      </w:pPr>
      <w:r>
        <w:br w:type="page"/>
      </w:r>
    </w:p>
    <w:p w14:paraId="15970B61" w14:textId="1A4CC4A1" w:rsidR="0044523F" w:rsidRDefault="0044523F" w:rsidP="0044523F">
      <w:pPr>
        <w:pStyle w:val="Heading2"/>
      </w:pPr>
      <w:bookmarkStart w:id="11" w:name="_Toc189820817"/>
      <w:r>
        <w:lastRenderedPageBreak/>
        <w:t xml:space="preserve">Evaluation </w:t>
      </w:r>
      <w:r w:rsidR="00E3371D">
        <w:t>d</w:t>
      </w:r>
      <w:r>
        <w:t>elivery</w:t>
      </w:r>
      <w:r w:rsidR="00DE4E59">
        <w:t xml:space="preserve"> and type</w:t>
      </w:r>
      <w:bookmarkEnd w:id="11"/>
    </w:p>
    <w:p w14:paraId="044D46D9" w14:textId="097DD615" w:rsidR="00A970C9" w:rsidRDefault="00D975E3" w:rsidP="0044523F">
      <w:pPr>
        <w:rPr>
          <w:rFonts w:eastAsia="+mj-ea"/>
        </w:rPr>
      </w:pPr>
      <w:r w:rsidRPr="006C4AC3">
        <w:rPr>
          <w:rFonts w:eastAsia="+mj-ea"/>
        </w:rPr>
        <w:t>463</w:t>
      </w:r>
      <w:r w:rsidR="0044523F" w:rsidRPr="006C4AC3">
        <w:rPr>
          <w:rFonts w:eastAsia="+mj-ea"/>
        </w:rPr>
        <w:t xml:space="preserve"> </w:t>
      </w:r>
      <w:r w:rsidR="003A26DE">
        <w:rPr>
          <w:rFonts w:eastAsia="+mj-ea"/>
        </w:rPr>
        <w:t xml:space="preserve">evaluations </w:t>
      </w:r>
      <w:r w:rsidR="0044523F" w:rsidRPr="006C4AC3">
        <w:rPr>
          <w:rFonts w:eastAsia="+mj-ea"/>
        </w:rPr>
        <w:t>(6</w:t>
      </w:r>
      <w:r w:rsidRPr="006C4AC3">
        <w:rPr>
          <w:rFonts w:eastAsia="+mj-ea"/>
        </w:rPr>
        <w:t>5</w:t>
      </w:r>
      <w:r w:rsidR="0044523F" w:rsidRPr="006C4AC3">
        <w:rPr>
          <w:rFonts w:eastAsia="+mj-ea"/>
        </w:rPr>
        <w:t>%</w:t>
      </w:r>
      <w:r w:rsidR="00A20A80" w:rsidRPr="006C4AC3">
        <w:rPr>
          <w:rFonts w:eastAsia="+mj-ea"/>
        </w:rPr>
        <w:t>, n=</w:t>
      </w:r>
      <w:r w:rsidRPr="006C4AC3">
        <w:rPr>
          <w:rFonts w:eastAsia="+mj-ea"/>
        </w:rPr>
        <w:t>712</w:t>
      </w:r>
      <w:r w:rsidR="0080690D" w:rsidRPr="0080690D">
        <w:rPr>
          <w:rStyle w:val="FootnoteReference"/>
          <w:vertAlign w:val="superscript"/>
        </w:rPr>
        <w:footnoteReference w:id="7"/>
      </w:r>
      <w:r w:rsidR="00895995">
        <w:rPr>
          <w:rFonts w:eastAsia="+mj-ea"/>
        </w:rPr>
        <w:t>)</w:t>
      </w:r>
      <w:r w:rsidR="007D65F5" w:rsidRPr="006C4AC3">
        <w:rPr>
          <w:rFonts w:eastAsia="+mj-ea"/>
        </w:rPr>
        <w:t xml:space="preserve"> </w:t>
      </w:r>
      <w:r w:rsidR="00A970C9">
        <w:rPr>
          <w:rFonts w:eastAsia="+mj-ea"/>
        </w:rPr>
        <w:t>were identified as being delivered partly or fully by external providers</w:t>
      </w:r>
      <w:r w:rsidR="00A17245">
        <w:rPr>
          <w:rFonts w:eastAsia="+mj-ea"/>
        </w:rPr>
        <w:t xml:space="preserve"> (Figure 4).</w:t>
      </w:r>
    </w:p>
    <w:p w14:paraId="3F0C6C3F" w14:textId="1120A91C" w:rsidR="00716B2A" w:rsidRDefault="003731DC" w:rsidP="007A42CE">
      <w:pPr>
        <w:ind w:right="-2"/>
      </w:pPr>
      <w:r w:rsidRPr="008A1A05">
        <w:t xml:space="preserve">The types of evaluation identified </w:t>
      </w:r>
      <w:r w:rsidR="00793DB1" w:rsidRPr="008A1A05">
        <w:t>(</w:t>
      </w:r>
      <w:r w:rsidR="00793DB1" w:rsidRPr="006C4AC3">
        <w:t>n=</w:t>
      </w:r>
      <w:r w:rsidR="00C13EC1" w:rsidRPr="006C4AC3">
        <w:t>650</w:t>
      </w:r>
      <w:r w:rsidR="007D65F5" w:rsidRPr="006C4AC3">
        <w:t xml:space="preserve"> evaluations</w:t>
      </w:r>
      <w:r w:rsidR="00793DB1" w:rsidRPr="008A1A05">
        <w:t xml:space="preserve">) </w:t>
      </w:r>
      <w:r w:rsidRPr="008A1A05">
        <w:t xml:space="preserve">included both: </w:t>
      </w:r>
      <w:r w:rsidR="00B101BB" w:rsidRPr="006C4AC3">
        <w:t>502 multifocal evaluations (77%)</w:t>
      </w:r>
      <w:r w:rsidR="00B101BB" w:rsidRPr="00BC10FE">
        <w:t xml:space="preserve"> where the evaluation included multiple approaches</w:t>
      </w:r>
      <w:r w:rsidR="00B101BB">
        <w:t xml:space="preserve">, and </w:t>
      </w:r>
      <w:r w:rsidR="00D10C94">
        <w:t>148</w:t>
      </w:r>
      <w:r w:rsidR="00B101BB" w:rsidRPr="008A1A05">
        <w:t xml:space="preserve"> </w:t>
      </w:r>
      <w:r w:rsidRPr="008A1A05">
        <w:t xml:space="preserve">single </w:t>
      </w:r>
      <w:r w:rsidR="005C57D0" w:rsidRPr="008A1A05">
        <w:t xml:space="preserve">approach </w:t>
      </w:r>
      <w:r w:rsidRPr="008A1A05">
        <w:t xml:space="preserve">evaluations </w:t>
      </w:r>
      <w:r w:rsidR="007764B6">
        <w:t>(Figure 5).</w:t>
      </w:r>
      <w:r w:rsidR="00F100A1">
        <w:t xml:space="preserve"> The latter group comprised: </w:t>
      </w:r>
      <w:r w:rsidR="00B13200" w:rsidRPr="006C4AC3">
        <w:t>5</w:t>
      </w:r>
      <w:r w:rsidR="001C23CC" w:rsidRPr="006C4AC3">
        <w:t>6</w:t>
      </w:r>
      <w:r w:rsidR="00B13200" w:rsidRPr="006C4AC3">
        <w:t xml:space="preserve"> </w:t>
      </w:r>
      <w:r w:rsidRPr="006C4AC3">
        <w:t>outcome evaluations (</w:t>
      </w:r>
      <w:r w:rsidR="003C259D" w:rsidRPr="006C4AC3">
        <w:t>9</w:t>
      </w:r>
      <w:r w:rsidRPr="006C4AC3">
        <w:t xml:space="preserve">%), </w:t>
      </w:r>
      <w:r w:rsidR="003C259D" w:rsidRPr="006C4AC3">
        <w:t>29</w:t>
      </w:r>
      <w:r w:rsidRPr="006C4AC3">
        <w:t xml:space="preserve"> process evaluations (</w:t>
      </w:r>
      <w:r w:rsidR="003C259D" w:rsidRPr="006C4AC3">
        <w:t>4</w:t>
      </w:r>
      <w:r w:rsidRPr="006C4AC3">
        <w:t xml:space="preserve">%), </w:t>
      </w:r>
      <w:r w:rsidR="00CC0A13" w:rsidRPr="006C4AC3">
        <w:t xml:space="preserve">22 impact evaluations (3%), </w:t>
      </w:r>
      <w:r w:rsidR="00D4595A" w:rsidRPr="006C4AC3">
        <w:t xml:space="preserve">4 </w:t>
      </w:r>
      <w:r w:rsidRPr="006C4AC3">
        <w:t>economic evaluations (1%)</w:t>
      </w:r>
      <w:r w:rsidR="000515DD" w:rsidRPr="006C4AC3">
        <w:t>,</w:t>
      </w:r>
      <w:r w:rsidRPr="006C4AC3">
        <w:t xml:space="preserve"> </w:t>
      </w:r>
      <w:r w:rsidR="000515DD" w:rsidRPr="006C4AC3">
        <w:t xml:space="preserve">and </w:t>
      </w:r>
      <w:r w:rsidR="0038069D" w:rsidRPr="006C4AC3">
        <w:t xml:space="preserve">37 </w:t>
      </w:r>
      <w:r w:rsidR="00AD4DCC">
        <w:t>‘</w:t>
      </w:r>
      <w:r w:rsidR="0038069D" w:rsidRPr="006C4AC3">
        <w:t>other</w:t>
      </w:r>
      <w:r w:rsidR="00AD4DCC">
        <w:t>’</w:t>
      </w:r>
      <w:r w:rsidR="0038069D" w:rsidRPr="006C4AC3">
        <w:t xml:space="preserve"> (</w:t>
      </w:r>
      <w:r w:rsidR="00BC10FE" w:rsidRPr="006C4AC3">
        <w:t>6%)</w:t>
      </w:r>
      <w:r w:rsidRPr="00BC10FE">
        <w:t>.</w:t>
      </w:r>
      <w:r w:rsidRPr="001E1FD8">
        <w:t xml:space="preserve"> </w:t>
      </w:r>
    </w:p>
    <w:p w14:paraId="7A520DC1" w14:textId="5FB212B8" w:rsidR="0044523F" w:rsidRDefault="00617994" w:rsidP="007A42CE">
      <w:pPr>
        <w:ind w:right="-2"/>
      </w:pPr>
      <w:r>
        <w:t>The</w:t>
      </w:r>
      <w:r w:rsidR="0000224F">
        <w:t xml:space="preserve"> 502 m</w:t>
      </w:r>
      <w:r w:rsidR="00B6376E">
        <w:t xml:space="preserve">ultifocal </w:t>
      </w:r>
      <w:r w:rsidR="003731DC" w:rsidRPr="001E1FD8">
        <w:t>evaluations</w:t>
      </w:r>
      <w:r w:rsidR="00861596">
        <w:t xml:space="preserve"> </w:t>
      </w:r>
      <w:r w:rsidR="0000224F">
        <w:t>had</w:t>
      </w:r>
      <w:r w:rsidR="00733D5C">
        <w:t xml:space="preserve"> a divers</w:t>
      </w:r>
      <w:r w:rsidR="0000224F">
        <w:t>e mix</w:t>
      </w:r>
      <w:r w:rsidR="00733D5C">
        <w:t xml:space="preserve"> of </w:t>
      </w:r>
      <w:r w:rsidR="006514D7">
        <w:t>approaches. T</w:t>
      </w:r>
      <w:r w:rsidR="003731DC" w:rsidRPr="001E1FD8">
        <w:t xml:space="preserve">he most common included: </w:t>
      </w:r>
      <w:r w:rsidR="00037204" w:rsidRPr="006C4AC3">
        <w:t>141</w:t>
      </w:r>
      <w:r w:rsidR="0087541F">
        <w:t> </w:t>
      </w:r>
      <w:r w:rsidR="003731DC" w:rsidRPr="006C4AC3">
        <w:t>process/outcome evaluations (</w:t>
      </w:r>
      <w:r w:rsidR="00960CD8" w:rsidRPr="006C4AC3">
        <w:t>28</w:t>
      </w:r>
      <w:r w:rsidR="003731DC" w:rsidRPr="006C4AC3">
        <w:t>%</w:t>
      </w:r>
      <w:r w:rsidR="00E24BD9" w:rsidRPr="006C4AC3">
        <w:t>, n=</w:t>
      </w:r>
      <w:r w:rsidR="00960CD8" w:rsidRPr="006C4AC3">
        <w:t>502</w:t>
      </w:r>
      <w:r w:rsidR="003731DC" w:rsidRPr="006C4AC3">
        <w:t xml:space="preserve">); </w:t>
      </w:r>
      <w:r w:rsidR="00C4256E" w:rsidRPr="006C4AC3">
        <w:t>7</w:t>
      </w:r>
      <w:r w:rsidR="00A50267">
        <w:t>4</w:t>
      </w:r>
      <w:r w:rsidR="0090550C" w:rsidRPr="006C4AC3">
        <w:t xml:space="preserve"> </w:t>
      </w:r>
      <w:r w:rsidR="003731DC" w:rsidRPr="006C4AC3">
        <w:t>process/outcome/economic/impact evaluations (</w:t>
      </w:r>
      <w:r w:rsidR="00C4256E" w:rsidRPr="008F159F">
        <w:t>1</w:t>
      </w:r>
      <w:r w:rsidR="7482C82F" w:rsidRPr="008F159F">
        <w:t>5</w:t>
      </w:r>
      <w:r w:rsidR="003731DC" w:rsidRPr="006C4AC3">
        <w:t>%</w:t>
      </w:r>
      <w:r w:rsidR="00E24BD9" w:rsidRPr="006C4AC3">
        <w:t>, n=</w:t>
      </w:r>
      <w:r w:rsidR="00C4256E" w:rsidRPr="006C4AC3">
        <w:t>502</w:t>
      </w:r>
      <w:r w:rsidR="003731DC" w:rsidRPr="006C4AC3">
        <w:t>)</w:t>
      </w:r>
      <w:r w:rsidR="0030317B">
        <w:t>; and</w:t>
      </w:r>
      <w:r w:rsidR="003731DC" w:rsidRPr="001E1FD8">
        <w:t xml:space="preserve"> </w:t>
      </w:r>
      <w:r w:rsidR="0066335D" w:rsidRPr="006C4AC3">
        <w:t>35 impact/outcome (7%, n=502</w:t>
      </w:r>
      <w:r w:rsidR="003731DC" w:rsidRPr="006C4AC3">
        <w:t>).</w:t>
      </w:r>
      <w:r w:rsidR="003731DC" w:rsidRPr="001E1FD8">
        <w:t xml:space="preserve"> </w:t>
      </w:r>
      <w:r w:rsidR="0030317B">
        <w:t xml:space="preserve">The remaining 50% were </w:t>
      </w:r>
      <w:r w:rsidR="00AD4DCC">
        <w:t>‘</w:t>
      </w:r>
      <w:r w:rsidR="0030317B">
        <w:t xml:space="preserve">other </w:t>
      </w:r>
      <w:proofErr w:type="gramStart"/>
      <w:r w:rsidR="0030317B">
        <w:t>combinations</w:t>
      </w:r>
      <w:r w:rsidR="00AD4DCC">
        <w:t>’</w:t>
      </w:r>
      <w:proofErr w:type="gramEnd"/>
      <w:r w:rsidR="0030317B">
        <w:t>.</w:t>
      </w:r>
    </w:p>
    <w:p w14:paraId="2FE9FFE6" w14:textId="77777777" w:rsidR="0080690D" w:rsidRDefault="0080690D" w:rsidP="00881308">
      <w:pPr>
        <w:pStyle w:val="ChartMainHeading"/>
      </w:pPr>
      <w:r>
        <w:t>Figure 4: Evaluation delivery approach</w:t>
      </w:r>
    </w:p>
    <w:p w14:paraId="3F0AE45C" w14:textId="77777777" w:rsidR="0080690D" w:rsidRDefault="0080690D" w:rsidP="00882227">
      <w:pPr>
        <w:pStyle w:val="ChartGraphic"/>
      </w:pPr>
      <w:r>
        <w:rPr>
          <w:noProof/>
        </w:rPr>
        <w:drawing>
          <wp:inline distT="0" distB="0" distL="0" distR="0" wp14:anchorId="1FE7740B" wp14:editId="209753E4">
            <wp:extent cx="5372100" cy="2009553"/>
            <wp:effectExtent l="0" t="0" r="0" b="0"/>
            <wp:docPr id="466379212" name="Chart 1" descr="Figure 4 illustrates the approaches used by entities to deliver evaluations, as reported in the stocktake. Most evaluations were delivered either wholly by external providers (43%), or internally (35%), with a smaller proportion (22%) delivered using a hybrid approach (partnership with external provider).">
              <a:extLst xmlns:a="http://schemas.openxmlformats.org/drawingml/2006/main">
                <a:ext uri="{FF2B5EF4-FFF2-40B4-BE49-F238E27FC236}">
                  <a16:creationId xmlns:a16="http://schemas.microsoft.com/office/drawing/2014/main" id="{72B34CE1-CECA-473F-832A-AA948BD66D5B}"/>
                </a:ext>
                <a:ext uri="{147F2762-F138-4A5C-976F-8EAC2B608ADB}">
                  <a16:predDERef xmlns:a16="http://schemas.microsoft.com/office/drawing/2014/main" pred="{786035E8-DEFE-4BC2-ABA9-CD2FAF21D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04F646" w14:textId="77777777" w:rsidR="009902F5" w:rsidRPr="009902F5" w:rsidRDefault="009902F5" w:rsidP="009902F5">
      <w:pPr>
        <w:pStyle w:val="SingleParagraph"/>
      </w:pPr>
    </w:p>
    <w:p w14:paraId="4F93D497" w14:textId="0A4A3EBF" w:rsidR="005A6736" w:rsidRDefault="005A6736" w:rsidP="00881308">
      <w:pPr>
        <w:pStyle w:val="ChartMainHeading"/>
      </w:pPr>
      <w:r>
        <w:t>Figure 5: Evaluation type</w:t>
      </w:r>
      <w:r w:rsidRPr="0071014D">
        <w:rPr>
          <w:rStyle w:val="FootnoteReference"/>
          <w:vertAlign w:val="superscript"/>
        </w:rPr>
        <w:footnoteReference w:id="8"/>
      </w:r>
    </w:p>
    <w:p w14:paraId="754F7553" w14:textId="24A47A43" w:rsidR="005A6736" w:rsidRDefault="00213052" w:rsidP="00882227">
      <w:pPr>
        <w:pStyle w:val="ChartGraphic"/>
        <w:rPr>
          <w:noProof/>
        </w:rPr>
      </w:pPr>
      <w:r>
        <w:rPr>
          <w:noProof/>
        </w:rPr>
        <w:drawing>
          <wp:inline distT="0" distB="0" distL="0" distR="0" wp14:anchorId="4C59402D" wp14:editId="687A25D2">
            <wp:extent cx="5480100" cy="2434275"/>
            <wp:effectExtent l="0" t="0" r="0" b="0"/>
            <wp:docPr id="542016296" name="Chart 1" descr="Figure five illustrates the diversity of evaluation types used by entities as reported in the stocktake. Most evaluations were multifocal, or those with multiple evaluation methods (77%), outcomes evaluations were the next most common type at 9%, followed by &quot;other&quot; or free text descriptors (6% each), and process evaluation (4%). Impact evaluation (3%) and economic evaluation (1%) were the least common.">
              <a:extLst xmlns:a="http://schemas.openxmlformats.org/drawingml/2006/main">
                <a:ext uri="{FF2B5EF4-FFF2-40B4-BE49-F238E27FC236}">
                  <a16:creationId xmlns:a16="http://schemas.microsoft.com/office/drawing/2014/main" id="{ADDCF263-3276-41B3-B756-C776FBBF4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3B05A4" w14:textId="77777777" w:rsidR="003E7155" w:rsidRDefault="003E7155" w:rsidP="009902F5">
      <w:pPr>
        <w:pStyle w:val="SingleParagraph"/>
        <w:rPr>
          <w:rFonts w:ascii="Calibri" w:hAnsi="Calibri" w:cs="Arial"/>
          <w:color w:val="2C384A" w:themeColor="accent1"/>
          <w:kern w:val="32"/>
          <w:sz w:val="44"/>
          <w:szCs w:val="36"/>
        </w:rPr>
      </w:pPr>
      <w:r>
        <w:br w:type="page"/>
      </w:r>
    </w:p>
    <w:p w14:paraId="0849AC6D" w14:textId="70DCF1F4" w:rsidR="0044523F" w:rsidRDefault="0044523F" w:rsidP="00746EB3">
      <w:pPr>
        <w:pStyle w:val="Heading1"/>
      </w:pPr>
      <w:bookmarkStart w:id="12" w:name="_Toc189820818"/>
      <w:r>
        <w:lastRenderedPageBreak/>
        <w:t>Evaluation design and planning</w:t>
      </w:r>
      <w:bookmarkEnd w:id="12"/>
    </w:p>
    <w:p w14:paraId="0D689663" w14:textId="77777777" w:rsidR="0044523F" w:rsidRPr="009E12FD" w:rsidRDefault="0044523F" w:rsidP="0044523F">
      <w:r>
        <w:t xml:space="preserve">Understanding how entities approach evaluation design and planning is helpful for identifying where targeted supports could help improve the number and quality of different types of evaluation. </w:t>
      </w:r>
    </w:p>
    <w:tbl>
      <w:tblPr>
        <w:tblW w:w="5000" w:type="pct"/>
        <w:shd w:val="clear" w:color="auto" w:fill="EEEEEE" w:themeFill="background2"/>
        <w:tblCellMar>
          <w:top w:w="227" w:type="dxa"/>
          <w:left w:w="227" w:type="dxa"/>
          <w:bottom w:w="227" w:type="dxa"/>
          <w:right w:w="227" w:type="dxa"/>
        </w:tblCellMar>
        <w:tblLook w:val="01E0" w:firstRow="1" w:lastRow="1" w:firstColumn="1" w:lastColumn="1" w:noHBand="0" w:noVBand="0"/>
      </w:tblPr>
      <w:tblGrid>
        <w:gridCol w:w="9070"/>
      </w:tblGrid>
      <w:tr w:rsidR="00415423" w14:paraId="331D6D99" w14:textId="77777777">
        <w:tc>
          <w:tcPr>
            <w:tcW w:w="5000" w:type="pct"/>
            <w:shd w:val="clear" w:color="auto" w:fill="EEEEEE" w:themeFill="background2"/>
          </w:tcPr>
          <w:p w14:paraId="13BC930A" w14:textId="77777777" w:rsidR="00415423" w:rsidRPr="00550511" w:rsidRDefault="00415423">
            <w:pPr>
              <w:pStyle w:val="BoxHeading"/>
            </w:pPr>
            <w:r>
              <w:t>Main findings</w:t>
            </w:r>
          </w:p>
          <w:p w14:paraId="6E764072" w14:textId="6CF4CB5A" w:rsidR="00415423" w:rsidRPr="000E3C26" w:rsidRDefault="008B1C2C" w:rsidP="00882227">
            <w:pPr>
              <w:pStyle w:val="Boxbullet"/>
            </w:pPr>
            <w:r>
              <w:t>2</w:t>
            </w:r>
            <w:r w:rsidR="00FC2A06">
              <w:t>8</w:t>
            </w:r>
            <w:r>
              <w:t xml:space="preserve"> entities </w:t>
            </w:r>
            <w:r w:rsidR="002F5DCE">
              <w:t xml:space="preserve">(30%, </w:t>
            </w:r>
            <w:r w:rsidR="00C36C87">
              <w:t>n=92)</w:t>
            </w:r>
            <w:r>
              <w:t xml:space="preserve"> reported having a dedicated evaluation unit or function in 2024, and another 7 reported plans to establish one by 2027</w:t>
            </w:r>
            <w:r w:rsidR="00E43573">
              <w:t>.</w:t>
            </w:r>
          </w:p>
          <w:p w14:paraId="4521AF01" w14:textId="5F1C5C92" w:rsidR="00E43573" w:rsidRPr="000E3C26" w:rsidRDefault="001125AF" w:rsidP="00882227">
            <w:pPr>
              <w:pStyle w:val="Boxbullet"/>
            </w:pPr>
            <w:r>
              <w:t xml:space="preserve">The </w:t>
            </w:r>
            <w:r w:rsidR="000E656D">
              <w:t>median</w:t>
            </w:r>
            <w:r>
              <w:t xml:space="preserve"> evaluation unit </w:t>
            </w:r>
            <w:r w:rsidR="000E656D">
              <w:t>staff</w:t>
            </w:r>
            <w:r w:rsidR="0053353F">
              <w:t>ing</w:t>
            </w:r>
            <w:r w:rsidR="000E656D">
              <w:t xml:space="preserve"> </w:t>
            </w:r>
            <w:r w:rsidR="0053353F">
              <w:t>level</w:t>
            </w:r>
            <w:r w:rsidR="000E656D">
              <w:t xml:space="preserve"> was 4.5 ASL</w:t>
            </w:r>
            <w:r w:rsidR="0053353F">
              <w:t xml:space="preserve"> (range: 1 – 45 ASL),</w:t>
            </w:r>
            <w:r w:rsidR="000E656D">
              <w:t xml:space="preserve"> </w:t>
            </w:r>
            <w:r w:rsidR="00A572A1">
              <w:t xml:space="preserve">and </w:t>
            </w:r>
            <w:r w:rsidR="000C6FE3">
              <w:t>staffing levels for these units increased substantially</w:t>
            </w:r>
            <w:r w:rsidR="00A572A1">
              <w:t xml:space="preserve"> between 2022</w:t>
            </w:r>
            <w:r w:rsidR="00B90176">
              <w:t>–</w:t>
            </w:r>
            <w:r w:rsidR="00A572A1">
              <w:t>23, and 2023</w:t>
            </w:r>
            <w:r w:rsidR="00B90176">
              <w:t>–</w:t>
            </w:r>
            <w:r w:rsidR="00A572A1">
              <w:t>24.</w:t>
            </w:r>
          </w:p>
          <w:p w14:paraId="2D454C6A" w14:textId="636AF441" w:rsidR="00A572A1" w:rsidRPr="000E3C26" w:rsidRDefault="007A56D8" w:rsidP="00882227">
            <w:pPr>
              <w:pStyle w:val="Boxbullet"/>
            </w:pPr>
            <w:r>
              <w:t>3</w:t>
            </w:r>
            <w:r w:rsidR="0005070A">
              <w:t>2</w:t>
            </w:r>
            <w:r>
              <w:t xml:space="preserve"> e</w:t>
            </w:r>
            <w:r w:rsidR="0005070A">
              <w:t xml:space="preserve">ntities </w:t>
            </w:r>
            <w:r w:rsidR="00323FE5">
              <w:t>(35%, n=92</w:t>
            </w:r>
            <w:r w:rsidR="006E036F">
              <w:t xml:space="preserve"> entities</w:t>
            </w:r>
            <w:r w:rsidR="00323FE5">
              <w:t>)</w:t>
            </w:r>
            <w:r w:rsidR="0005070A">
              <w:t xml:space="preserve"> reported having </w:t>
            </w:r>
            <w:r w:rsidR="0005070A" w:rsidRPr="0005070A">
              <w:t>an SES Band 1 (Assistant Secretary or equivalent) leader responsible for evaluation at an entity</w:t>
            </w:r>
            <w:r w:rsidR="00AD4DCC">
              <w:noBreakHyphen/>
            </w:r>
            <w:r w:rsidR="0005070A" w:rsidRPr="0005070A">
              <w:t>level</w:t>
            </w:r>
            <w:r w:rsidR="0005070A">
              <w:t xml:space="preserve">, of which </w:t>
            </w:r>
            <w:r w:rsidR="001E5B56">
              <w:t>18 were large entities</w:t>
            </w:r>
            <w:r w:rsidR="00825661">
              <w:t xml:space="preserve"> (</w:t>
            </w:r>
            <w:r w:rsidR="00BF00F8">
              <w:t>53%, n=34 large entities</w:t>
            </w:r>
            <w:r w:rsidR="00301129">
              <w:t xml:space="preserve"> with more than 1,000 employees</w:t>
            </w:r>
            <w:r w:rsidR="00BF00F8">
              <w:t>)</w:t>
            </w:r>
            <w:r w:rsidR="001E5B56">
              <w:t>.</w:t>
            </w:r>
          </w:p>
          <w:p w14:paraId="5920125E" w14:textId="120110B9" w:rsidR="001E5B56" w:rsidRPr="000E3C26" w:rsidRDefault="00B74CF8" w:rsidP="00882227">
            <w:pPr>
              <w:pStyle w:val="Boxbullet"/>
            </w:pPr>
            <w:r>
              <w:t>47</w:t>
            </w:r>
            <w:r w:rsidR="00FE061F">
              <w:t xml:space="preserve"> </w:t>
            </w:r>
            <w:r>
              <w:t xml:space="preserve">entities </w:t>
            </w:r>
            <w:r w:rsidR="00B35B6A">
              <w:t>(51%, n=92)</w:t>
            </w:r>
            <w:r>
              <w:t xml:space="preserve"> reported that they had central monitoring processes for evaluation activities</w:t>
            </w:r>
            <w:r w:rsidR="00231D76">
              <w:t>.</w:t>
            </w:r>
          </w:p>
          <w:p w14:paraId="49934DD3" w14:textId="6235F0A2" w:rsidR="00415423" w:rsidRPr="008465E4" w:rsidRDefault="008F7FB6" w:rsidP="00882227">
            <w:pPr>
              <w:pStyle w:val="Boxbullet"/>
            </w:pPr>
            <w:r>
              <w:t>Entity</w:t>
            </w:r>
            <w:r w:rsidR="00AD4DCC">
              <w:noBreakHyphen/>
            </w:r>
            <w:r>
              <w:t>level e</w:t>
            </w:r>
            <w:r w:rsidR="00D3738D">
              <w:t>valuation frameworks and</w:t>
            </w:r>
            <w:r>
              <w:t xml:space="preserve"> evaluation</w:t>
            </w:r>
            <w:r w:rsidR="00D3738D">
              <w:t xml:space="preserve"> strategies are </w:t>
            </w:r>
            <w:r w:rsidR="00175818">
              <w:t xml:space="preserve">an emerging </w:t>
            </w:r>
            <w:r>
              <w:t xml:space="preserve">priority for entities, with only 23 entities </w:t>
            </w:r>
            <w:r w:rsidR="00C32E3A">
              <w:t>(</w:t>
            </w:r>
            <w:r w:rsidR="00CE72FC">
              <w:t>25%, n=91)</w:t>
            </w:r>
            <w:r>
              <w:t xml:space="preserve"> reporting that they </w:t>
            </w:r>
            <w:r w:rsidR="00C64559">
              <w:t xml:space="preserve">had adopted </w:t>
            </w:r>
            <w:r w:rsidR="008465E4">
              <w:t xml:space="preserve">either </w:t>
            </w:r>
            <w:r w:rsidR="00C64559">
              <w:t>an evaluation framework</w:t>
            </w:r>
            <w:r w:rsidR="008465E4">
              <w:t>,</w:t>
            </w:r>
            <w:r w:rsidR="00C64559">
              <w:t xml:space="preserve"> or evaluation strategy</w:t>
            </w:r>
            <w:r w:rsidR="008465E4">
              <w:t>,</w:t>
            </w:r>
            <w:r w:rsidR="00C64559">
              <w:t xml:space="preserve"> or both.</w:t>
            </w:r>
          </w:p>
        </w:tc>
      </w:tr>
    </w:tbl>
    <w:p w14:paraId="005DFDB4" w14:textId="77777777" w:rsidR="0044523F" w:rsidRDefault="0044523F" w:rsidP="0044523F">
      <w:pPr>
        <w:pStyle w:val="Heading2"/>
      </w:pPr>
      <w:bookmarkStart w:id="13" w:name="_Toc189820819"/>
      <w:r w:rsidRPr="00923AE4">
        <w:t>Growth in the evaluation network</w:t>
      </w:r>
      <w:bookmarkEnd w:id="13"/>
    </w:p>
    <w:p w14:paraId="30DA9C89" w14:textId="77777777" w:rsidR="0044523F" w:rsidRDefault="0044523F" w:rsidP="0044523F">
      <w:r>
        <w:t xml:space="preserve">The survey revealed strong growth in the evaluation network across the Australian Government. </w:t>
      </w:r>
    </w:p>
    <w:p w14:paraId="4C157ECE" w14:textId="297E68D8" w:rsidR="0015122F" w:rsidRDefault="0015122F" w:rsidP="007A42CE">
      <w:pPr>
        <w:ind w:right="-2"/>
      </w:pPr>
      <w:r>
        <w:t>Embedding strong evaluation practices during early policy and program design is critical for establishing fit</w:t>
      </w:r>
      <w:r w:rsidR="00AD4DCC">
        <w:noBreakHyphen/>
      </w:r>
      <w:r>
        <w:t>for</w:t>
      </w:r>
      <w:r w:rsidR="00AD4DCC">
        <w:noBreakHyphen/>
      </w:r>
      <w:r>
        <w:t>purpose monitoring and evaluation arrangements across the policy cycle. In</w:t>
      </w:r>
      <w:r w:rsidR="00AD4DCC">
        <w:noBreakHyphen/>
      </w:r>
      <w:r>
        <w:t>house evaluation units can help support good evaluation practice. This expertise can help to clearly identify program objectives and outcomes, delivery timeframes and baseline data. In</w:t>
      </w:r>
      <w:r w:rsidR="00AD4DCC">
        <w:noBreakHyphen/>
      </w:r>
      <w:r>
        <w:t>house expertise can also help to establish robust performance monitoring from the outset to ensure programs are fit</w:t>
      </w:r>
      <w:r w:rsidR="00AD4DCC">
        <w:noBreakHyphen/>
      </w:r>
      <w:r>
        <w:t>to</w:t>
      </w:r>
      <w:r w:rsidR="00AD4DCC">
        <w:noBreakHyphen/>
      </w:r>
      <w:r>
        <w:t xml:space="preserve">evaluate at a future point. </w:t>
      </w:r>
    </w:p>
    <w:p w14:paraId="20E194ED" w14:textId="4270FA18" w:rsidR="009F0EDD" w:rsidRDefault="0044523F" w:rsidP="0044523F">
      <w:r w:rsidRPr="00882227">
        <w:rPr>
          <w:rStyle w:val="Strong"/>
        </w:rPr>
        <w:t>2</w:t>
      </w:r>
      <w:r w:rsidR="006404FE" w:rsidRPr="00882227">
        <w:rPr>
          <w:rStyle w:val="Strong"/>
        </w:rPr>
        <w:t>8</w:t>
      </w:r>
      <w:r>
        <w:t xml:space="preserve"> entities</w:t>
      </w:r>
      <w:r w:rsidR="003478E0">
        <w:t xml:space="preserve"> (30%, n=92)</w:t>
      </w:r>
      <w:r>
        <w:t xml:space="preserve"> reported that they had a </w:t>
      </w:r>
      <w:r w:rsidRPr="0081683E">
        <w:t>dedicated evaluation unit or function in 2024</w:t>
      </w:r>
      <w:r>
        <w:t xml:space="preserve">, with a further 7 </w:t>
      </w:r>
      <w:r w:rsidR="00C842E6">
        <w:t>(</w:t>
      </w:r>
      <w:r w:rsidR="003E2592">
        <w:t>11%, n=64)</w:t>
      </w:r>
      <w:r>
        <w:t xml:space="preserve"> reporting plans to establish one by 2027</w:t>
      </w:r>
      <w:r w:rsidR="00BF0BA4">
        <w:t xml:space="preserve"> (Figure 6)</w:t>
      </w:r>
      <w:r>
        <w:t xml:space="preserve">. </w:t>
      </w:r>
    </w:p>
    <w:p w14:paraId="311D6742" w14:textId="026ECD81" w:rsidR="00AE330C" w:rsidRDefault="0044523F" w:rsidP="007F3A8A">
      <w:r>
        <w:t>Marked growth in evaluation units can be noted following the Independent Review of the Australian Public Service, 2019 (</w:t>
      </w:r>
      <w:proofErr w:type="spellStart"/>
      <w:r>
        <w:t>Thodey</w:t>
      </w:r>
      <w:proofErr w:type="spellEnd"/>
      <w:r>
        <w:t xml:space="preserve"> Review).</w:t>
      </w:r>
    </w:p>
    <w:p w14:paraId="0F35FCD6" w14:textId="01394150" w:rsidR="0044523F" w:rsidRDefault="0044523F" w:rsidP="00881308">
      <w:pPr>
        <w:pStyle w:val="ChartMainHeading"/>
      </w:pPr>
      <w:r>
        <w:lastRenderedPageBreak/>
        <w:t xml:space="preserve">Figure </w:t>
      </w:r>
      <w:r w:rsidR="00D343EC">
        <w:t>6</w:t>
      </w:r>
      <w:r>
        <w:t xml:space="preserve">: </w:t>
      </w:r>
      <w:r w:rsidR="00465A21">
        <w:t>Reported number of central</w:t>
      </w:r>
      <w:r>
        <w:t xml:space="preserve"> evaluation </w:t>
      </w:r>
      <w:r w:rsidR="00465A21">
        <w:t>units</w:t>
      </w:r>
      <w:r>
        <w:t xml:space="preserve"> over time</w:t>
      </w:r>
    </w:p>
    <w:p w14:paraId="4B9DD3B7" w14:textId="53272215" w:rsidR="0044523F" w:rsidRDefault="00FC0B8F" w:rsidP="007436FA">
      <w:pPr>
        <w:pStyle w:val="ChartGraphic"/>
      </w:pPr>
      <w:r>
        <w:pict w14:anchorId="18D58A4B">
          <v:shape id="_x0000_i1026" type="#_x0000_t75" alt="Figure 6 illustrates the growth in evaluation units within the Australian government as reported by entities in the State of Evaluation survey, as a time series. This growth has been consistent since 2013, with the enactment of the Public Governance, Performance, and Accountability Act. Marked growth occured after the Thodey review in 2019, with 28 entities reporting that they had an evaluation unit in the State of Evaluation survey. A further 7 entities mondioned their plans to establish such unit(s) by 2027." style="width:379.5pt;height:220.5pt">
            <v:imagedata r:id="rId25" o:title=""/>
          </v:shape>
        </w:pict>
      </w:r>
    </w:p>
    <w:p w14:paraId="5EC38366" w14:textId="2ACD42B3" w:rsidR="00457A9D" w:rsidRPr="00457A9D" w:rsidRDefault="008C2131" w:rsidP="00882227">
      <w:pPr>
        <w:pStyle w:val="ChartorTableNote"/>
      </w:pPr>
      <w:r w:rsidRPr="009002C3">
        <w:t xml:space="preserve">Note: </w:t>
      </w:r>
      <w:r>
        <w:t xml:space="preserve">Recent figures are likely to be accurate, whereas past </w:t>
      </w:r>
      <w:r w:rsidRPr="009002C3">
        <w:t>figures likely underestimate the number of central evaluation units due to recall failure. For example, a stocktake conducted by the Productivity Commission in 2019 identified 18 central evaluation units, rather than the 12 identified in this stocktake (P</w:t>
      </w:r>
      <w:r>
        <w:t xml:space="preserve">roductivity Commission </w:t>
      </w:r>
      <w:r w:rsidRPr="009002C3">
        <w:t xml:space="preserve">2020, </w:t>
      </w:r>
      <w:r w:rsidRPr="00D4004D">
        <w:rPr>
          <w:i/>
          <w:iCs/>
        </w:rPr>
        <w:t>Indigenous Evaluation Strategy: Background Paper</w:t>
      </w:r>
      <w:r>
        <w:t xml:space="preserve">, </w:t>
      </w:r>
      <w:r w:rsidRPr="009002C3">
        <w:t>Appendix B</w:t>
      </w:r>
      <w:r>
        <w:t>, pp414</w:t>
      </w:r>
      <w:r w:rsidR="00AD4DCC">
        <w:noBreakHyphen/>
      </w:r>
      <w:r>
        <w:t>415</w:t>
      </w:r>
      <w:r w:rsidRPr="009002C3">
        <w:t>).</w:t>
      </w:r>
    </w:p>
    <w:p w14:paraId="00CFEF32" w14:textId="77777777" w:rsidR="0044523F" w:rsidRDefault="0044523F" w:rsidP="0044523F">
      <w:pPr>
        <w:pStyle w:val="Heading3"/>
      </w:pPr>
      <w:r>
        <w:t>Number and size of existing evaluation units</w:t>
      </w:r>
    </w:p>
    <w:p w14:paraId="4418113A" w14:textId="5BEC7F9D" w:rsidR="0044523F" w:rsidRDefault="0044523F" w:rsidP="0044523F">
      <w:r>
        <w:t>The average staffing levels (ASL) in evaluation units across the Australian Government varies across 2</w:t>
      </w:r>
      <w:r w:rsidR="00883197">
        <w:t>7</w:t>
      </w:r>
      <w:r w:rsidR="0087541F">
        <w:t> </w:t>
      </w:r>
      <w:r>
        <w:t xml:space="preserve">entities that reported having an evaluation unit or function. </w:t>
      </w:r>
    </w:p>
    <w:p w14:paraId="30B1672C" w14:textId="24C29591" w:rsidR="00770FD2" w:rsidRDefault="0044523F" w:rsidP="00A55984">
      <w:r>
        <w:t>Staffing levels ranged from 1 to 45 ASL, with a median ASL of 4.5 and an average of 8</w:t>
      </w:r>
      <w:r w:rsidR="00FD671B">
        <w:t xml:space="preserve"> (Figure 7)</w:t>
      </w:r>
      <w:r>
        <w:rPr>
          <w:noProof/>
        </w:rPr>
        <w:t>.</w:t>
      </w:r>
    </w:p>
    <w:p w14:paraId="333517BD" w14:textId="77777777" w:rsidR="00882227" w:rsidRDefault="0044523F" w:rsidP="00881308">
      <w:pPr>
        <w:pStyle w:val="ChartMainHeading"/>
      </w:pPr>
      <w:r>
        <w:t xml:space="preserve">Figure </w:t>
      </w:r>
      <w:r w:rsidR="009D03A5">
        <w:t>7</w:t>
      </w:r>
      <w:r>
        <w:t>: Evaluation unit size across the Australian Government</w:t>
      </w:r>
    </w:p>
    <w:p w14:paraId="1D3DE115" w14:textId="4574F703" w:rsidR="0044523F" w:rsidRDefault="00882227" w:rsidP="00882227">
      <w:pPr>
        <w:pStyle w:val="ChartGraphic"/>
      </w:pPr>
      <w:r w:rsidRPr="009D002F">
        <w:rPr>
          <w:noProof/>
          <w:shd w:val="clear" w:color="auto" w:fill="213657"/>
        </w:rPr>
        <w:drawing>
          <wp:inline distT="0" distB="0" distL="0" distR="0" wp14:anchorId="797AD7CA" wp14:editId="3109DAE2">
            <wp:extent cx="4572000" cy="2743200"/>
            <wp:effectExtent l="0" t="0" r="0" b="0"/>
            <wp:docPr id="1222707570" name="Chart 1" descr="Figure 7 illustrates the staffing strength of evaluation units identified through the survey. 9 units reported an average staffing level or ASL of 3 or less, while 7 units each reported 4-9 ASL, and 10-12 ASL respectively. Only 4 units reported an ASL of 13 or more, while one did not provide a response to this question.">
              <a:extLst xmlns:a="http://schemas.openxmlformats.org/drawingml/2006/main">
                <a:ext uri="{FF2B5EF4-FFF2-40B4-BE49-F238E27FC236}">
                  <a16:creationId xmlns:a16="http://schemas.microsoft.com/office/drawing/2014/main" id="{13979DE3-8576-7DA0-A944-140DD9DE3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F0B3D9" w14:textId="101EFA36" w:rsidR="0044523F" w:rsidRDefault="0044523F" w:rsidP="0044523F">
      <w:r w:rsidRPr="004A5996">
        <w:t xml:space="preserve">Survey results also indicated a substantial increase in ASL </w:t>
      </w:r>
      <w:r>
        <w:t>in both new and established</w:t>
      </w:r>
      <w:r w:rsidRPr="004A5996">
        <w:t xml:space="preserve"> evaluation units </w:t>
      </w:r>
      <w:r>
        <w:t>between 2022</w:t>
      </w:r>
      <w:r w:rsidR="00B90176">
        <w:t>–</w:t>
      </w:r>
      <w:r>
        <w:t xml:space="preserve">23 and </w:t>
      </w:r>
      <w:r w:rsidRPr="004A5996">
        <w:t>2023</w:t>
      </w:r>
      <w:r w:rsidR="00B90176">
        <w:t>–</w:t>
      </w:r>
      <w:r w:rsidRPr="004A5996">
        <w:t>24.</w:t>
      </w:r>
    </w:p>
    <w:p w14:paraId="2AE38DAB" w14:textId="4B8E3379" w:rsidR="0044523F" w:rsidRDefault="00B53C11" w:rsidP="0044523F">
      <w:r>
        <w:rPr>
          <w:noProof/>
        </w:rPr>
        <w:lastRenderedPageBreak/>
        <w:t xml:space="preserve">This growth in evaluation unit ASL was driven by large entities, </w:t>
      </w:r>
      <w:r w:rsidR="0044523F">
        <w:rPr>
          <w:noProof/>
        </w:rPr>
        <w:t xml:space="preserve">50% of </w:t>
      </w:r>
      <w:r>
        <w:rPr>
          <w:noProof/>
        </w:rPr>
        <w:t xml:space="preserve">which </w:t>
      </w:r>
      <w:r w:rsidR="00897892">
        <w:rPr>
          <w:noProof/>
        </w:rPr>
        <w:t>(</w:t>
      </w:r>
      <w:r w:rsidR="008E3BF7">
        <w:rPr>
          <w:noProof/>
        </w:rPr>
        <w:t>9</w:t>
      </w:r>
      <w:r>
        <w:rPr>
          <w:noProof/>
        </w:rPr>
        <w:t xml:space="preserve"> entities</w:t>
      </w:r>
      <w:r w:rsidR="008E3BF7">
        <w:rPr>
          <w:noProof/>
        </w:rPr>
        <w:t xml:space="preserve">, </w:t>
      </w:r>
      <w:r w:rsidR="00897892">
        <w:rPr>
          <w:noProof/>
        </w:rPr>
        <w:t>n=18)</w:t>
      </w:r>
      <w:r w:rsidR="0044523F">
        <w:rPr>
          <w:noProof/>
        </w:rPr>
        <w:t xml:space="preserve"> </w:t>
      </w:r>
      <w:r>
        <w:rPr>
          <w:noProof/>
        </w:rPr>
        <w:t>reported an increase. One medium</w:t>
      </w:r>
      <w:r w:rsidR="00AD4DCC">
        <w:rPr>
          <w:noProof/>
        </w:rPr>
        <w:noBreakHyphen/>
      </w:r>
      <w:r>
        <w:rPr>
          <w:noProof/>
        </w:rPr>
        <w:t>sized entity (n=4) and 2</w:t>
      </w:r>
      <w:r w:rsidR="0044523F">
        <w:rPr>
          <w:noProof/>
        </w:rPr>
        <w:t xml:space="preserve"> small entities </w:t>
      </w:r>
      <w:r w:rsidR="00897892">
        <w:rPr>
          <w:noProof/>
        </w:rPr>
        <w:t>(n=5)</w:t>
      </w:r>
      <w:r w:rsidR="0044523F">
        <w:rPr>
          <w:noProof/>
        </w:rPr>
        <w:t xml:space="preserve"> </w:t>
      </w:r>
      <w:r>
        <w:rPr>
          <w:noProof/>
        </w:rPr>
        <w:t xml:space="preserve">also </w:t>
      </w:r>
      <w:r w:rsidR="0044523F">
        <w:rPr>
          <w:noProof/>
        </w:rPr>
        <w:t xml:space="preserve">reported an increase in ASL. Micro entities reported no change in ASL levels. </w:t>
      </w:r>
    </w:p>
    <w:p w14:paraId="76BEA29F" w14:textId="77777777" w:rsidR="0044523F" w:rsidRDefault="0044523F" w:rsidP="0044523F">
      <w:pPr>
        <w:pStyle w:val="Heading3"/>
      </w:pPr>
      <w:r>
        <w:t>Role and function of existing evaluation units</w:t>
      </w:r>
    </w:p>
    <w:p w14:paraId="0A71B53C" w14:textId="5A06D18E" w:rsidR="0044523F" w:rsidRDefault="0044523F" w:rsidP="0044523F">
      <w:r>
        <w:t xml:space="preserve">Evaluation units provided a range of service types, with </w:t>
      </w:r>
      <w:r w:rsidR="00DA37BA">
        <w:t xml:space="preserve">the most common </w:t>
      </w:r>
      <w:proofErr w:type="gramStart"/>
      <w:r w:rsidR="00DA37BA">
        <w:t>being:</w:t>
      </w:r>
      <w:proofErr w:type="gramEnd"/>
      <w:r w:rsidR="00DA37BA">
        <w:t xml:space="preserve"> </w:t>
      </w:r>
      <w:r>
        <w:t>advisory and support services</w:t>
      </w:r>
      <w:r w:rsidR="00DA37BA" w:rsidDel="007250BA">
        <w:t>,</w:t>
      </w:r>
      <w:r w:rsidR="00DA37BA">
        <w:t xml:space="preserve"> capability building</w:t>
      </w:r>
      <w:r w:rsidR="00DA37BA" w:rsidDel="007250BA">
        <w:t>,</w:t>
      </w:r>
      <w:r w:rsidR="00DA37BA">
        <w:t xml:space="preserve"> and evaluation delivery (Figure 8).</w:t>
      </w:r>
      <w:r w:rsidRPr="006E1FBD">
        <w:t xml:space="preserve"> Entities </w:t>
      </w:r>
      <w:r>
        <w:t xml:space="preserve">also </w:t>
      </w:r>
      <w:r w:rsidRPr="006E1FBD">
        <w:t xml:space="preserve">reported on specific services provided by evaluation units or functions. </w:t>
      </w:r>
      <w:r w:rsidR="00DA37BA">
        <w:t xml:space="preserve">The most reported </w:t>
      </w:r>
      <w:r w:rsidR="00D97402">
        <w:t xml:space="preserve">specific </w:t>
      </w:r>
      <w:r w:rsidR="00DA37BA">
        <w:t>service</w:t>
      </w:r>
      <w:r w:rsidR="00D97402">
        <w:t>s</w:t>
      </w:r>
      <w:r w:rsidR="00D444DA">
        <w:t xml:space="preserve"> </w:t>
      </w:r>
      <w:r w:rsidR="00DA37BA">
        <w:t>were p</w:t>
      </w:r>
      <w:r w:rsidR="00DA37BA" w:rsidRPr="006E1FBD">
        <w:t>erformance</w:t>
      </w:r>
      <w:r w:rsidRPr="006E1FBD">
        <w:t xml:space="preserve"> measurement/monitoring support </w:t>
      </w:r>
      <w:r w:rsidR="00DA37BA">
        <w:t>(86%, n=27)</w:t>
      </w:r>
      <w:r w:rsidR="00DA37BA" w:rsidRPr="006E1FBD">
        <w:t xml:space="preserve">, </w:t>
      </w:r>
      <w:r w:rsidRPr="006E1FBD">
        <w:t xml:space="preserve">and evaluation planning and design </w:t>
      </w:r>
      <w:r w:rsidR="00DA37BA">
        <w:t>(86%, n=27)</w:t>
      </w:r>
      <w:r w:rsidR="00DA37BA" w:rsidRPr="006E1FBD">
        <w:t>.</w:t>
      </w:r>
    </w:p>
    <w:p w14:paraId="605A08C3" w14:textId="77777777" w:rsidR="00882227" w:rsidRDefault="0044523F" w:rsidP="00881308">
      <w:pPr>
        <w:pStyle w:val="ChartMainHeading"/>
      </w:pPr>
      <w:r>
        <w:t xml:space="preserve">Figure </w:t>
      </w:r>
      <w:r w:rsidR="009D03A5">
        <w:t>8</w:t>
      </w:r>
      <w:r>
        <w:t>: Types of services provided by evaluation units</w:t>
      </w:r>
    </w:p>
    <w:p w14:paraId="474281DC" w14:textId="72166628" w:rsidR="0044523F" w:rsidRDefault="00882227" w:rsidP="00882227">
      <w:pPr>
        <w:pStyle w:val="ChartGraphic"/>
      </w:pPr>
      <w:r>
        <w:rPr>
          <w:noProof/>
        </w:rPr>
        <w:drawing>
          <wp:inline distT="0" distB="0" distL="0" distR="0" wp14:anchorId="7D955D09" wp14:editId="621ED1A9">
            <wp:extent cx="5213400" cy="2737125"/>
            <wp:effectExtent l="0" t="0" r="0" b="0"/>
            <wp:docPr id="1199614789" name="Chart 1" descr="Figure 8 illustrates the types of services provided by evaluation units identified through the survey. Advisory and support types of services were reported most frequently, by 89% of the 27 respondents. Capability building (82%) and evaluation delivery (71%)  were second, and third most common, respectively.">
              <a:extLst xmlns:a="http://schemas.openxmlformats.org/drawingml/2006/main">
                <a:ext uri="{FF2B5EF4-FFF2-40B4-BE49-F238E27FC236}">
                  <a16:creationId xmlns:a16="http://schemas.microsoft.com/office/drawing/2014/main" id="{93466544-693A-47B6-8193-1F9F6F069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723E2C" w14:textId="2EDC0827" w:rsidR="00275DD2" w:rsidRDefault="0044523F" w:rsidP="00882227">
      <w:pPr>
        <w:pStyle w:val="ChartorTableNote"/>
        <w:jc w:val="left"/>
      </w:pPr>
      <w:r w:rsidRPr="00362316">
        <w:rPr>
          <w:rFonts w:eastAsiaTheme="minorEastAsia"/>
        </w:rPr>
        <w:t>Graph</w:t>
      </w:r>
      <w:r>
        <w:rPr>
          <w:rFonts w:eastAsiaTheme="minorEastAsia"/>
        </w:rPr>
        <w:t>ic</w:t>
      </w:r>
      <w:r w:rsidRPr="00362316">
        <w:rPr>
          <w:rFonts w:eastAsiaTheme="minorEastAsia"/>
        </w:rPr>
        <w:t xml:space="preserve"> represents the </w:t>
      </w:r>
      <w:r w:rsidR="0060636A">
        <w:rPr>
          <w:rFonts w:eastAsiaTheme="minorEastAsia"/>
        </w:rPr>
        <w:t xml:space="preserve">types of </w:t>
      </w:r>
      <w:r w:rsidRPr="00362316">
        <w:rPr>
          <w:rFonts w:eastAsiaTheme="minorEastAsia"/>
        </w:rPr>
        <w:t xml:space="preserve">services that evaluation units most commonly provide for their </w:t>
      </w:r>
      <w:r>
        <w:rPr>
          <w:rFonts w:eastAsiaTheme="minorEastAsia"/>
        </w:rPr>
        <w:t>entit</w:t>
      </w:r>
      <w:r w:rsidRPr="00362316">
        <w:rPr>
          <w:rFonts w:eastAsiaTheme="minorEastAsia"/>
        </w:rPr>
        <w:t xml:space="preserve">y, and </w:t>
      </w:r>
      <w:r>
        <w:rPr>
          <w:rFonts w:eastAsiaTheme="minorEastAsia"/>
        </w:rPr>
        <w:t>entit</w:t>
      </w:r>
      <w:r w:rsidRPr="00362316">
        <w:rPr>
          <w:rFonts w:eastAsiaTheme="minorEastAsia"/>
        </w:rPr>
        <w:t>ies could select multiple options (n: 2</w:t>
      </w:r>
      <w:r w:rsidR="005F05CA">
        <w:rPr>
          <w:rFonts w:eastAsiaTheme="minorEastAsia"/>
        </w:rPr>
        <w:t>7</w:t>
      </w:r>
      <w:r w:rsidRPr="00362316">
        <w:rPr>
          <w:rFonts w:eastAsiaTheme="minorEastAsia"/>
        </w:rPr>
        <w:t xml:space="preserve">). </w:t>
      </w:r>
    </w:p>
    <w:p w14:paraId="49735124" w14:textId="77777777" w:rsidR="0044523F" w:rsidRDefault="0044523F" w:rsidP="0044523F">
      <w:pPr>
        <w:pStyle w:val="Heading2"/>
      </w:pPr>
      <w:bookmarkStart w:id="14" w:name="_Toc189820820"/>
      <w:r w:rsidRPr="00923AE4">
        <w:t>Senior leadership oversight</w:t>
      </w:r>
      <w:bookmarkEnd w:id="14"/>
    </w:p>
    <w:p w14:paraId="67FCC098" w14:textId="6AADD5C3" w:rsidR="0044523F" w:rsidRDefault="0044523F" w:rsidP="0044523F">
      <w:r w:rsidRPr="00952109">
        <w:t>3</w:t>
      </w:r>
      <w:r w:rsidR="007B68D3">
        <w:t>2</w:t>
      </w:r>
      <w:r w:rsidRPr="00952109">
        <w:t xml:space="preserve"> </w:t>
      </w:r>
      <w:r>
        <w:t>entit</w:t>
      </w:r>
      <w:r w:rsidRPr="00952109">
        <w:t>ies (</w:t>
      </w:r>
      <w:r w:rsidR="007B68D3">
        <w:t xml:space="preserve">35%, </w:t>
      </w:r>
      <w:r>
        <w:t>n=</w:t>
      </w:r>
      <w:r w:rsidRPr="00952109">
        <w:t>92) reported having an SES Band 1 (</w:t>
      </w:r>
      <w:r>
        <w:t xml:space="preserve">Assistant Secretary </w:t>
      </w:r>
      <w:r w:rsidRPr="00952109">
        <w:t xml:space="preserve">or equivalent) leader responsible for evaluation at an </w:t>
      </w:r>
      <w:r>
        <w:t>entit</w:t>
      </w:r>
      <w:r w:rsidRPr="00952109">
        <w:t>y</w:t>
      </w:r>
      <w:r w:rsidR="00AD4DCC">
        <w:noBreakHyphen/>
      </w:r>
      <w:r w:rsidRPr="00952109">
        <w:t xml:space="preserve">level. </w:t>
      </w:r>
      <w:r w:rsidR="00BA6DAF">
        <w:t xml:space="preserve">This was true for </w:t>
      </w:r>
      <w:r w:rsidR="007B68D3">
        <w:t>18</w:t>
      </w:r>
      <w:r>
        <w:t xml:space="preserve"> </w:t>
      </w:r>
      <w:r w:rsidRPr="00952109">
        <w:t xml:space="preserve">large </w:t>
      </w:r>
      <w:r>
        <w:t>entit</w:t>
      </w:r>
      <w:r w:rsidRPr="00952109">
        <w:t>ies (</w:t>
      </w:r>
      <w:r w:rsidR="007B68D3" w:rsidRPr="00952109">
        <w:t>53%</w:t>
      </w:r>
      <w:r w:rsidR="007B68D3">
        <w:t>,</w:t>
      </w:r>
      <w:r w:rsidR="007B68D3" w:rsidRPr="00952109">
        <w:t xml:space="preserve"> </w:t>
      </w:r>
      <w:r w:rsidRPr="00952109">
        <w:t xml:space="preserve">n=34), while </w:t>
      </w:r>
      <w:r w:rsidR="00BA6DAF">
        <w:t>4</w:t>
      </w:r>
      <w:r w:rsidRPr="00952109">
        <w:t xml:space="preserve"> small </w:t>
      </w:r>
      <w:r>
        <w:t>entit</w:t>
      </w:r>
      <w:r w:rsidRPr="00952109">
        <w:t xml:space="preserve">ies </w:t>
      </w:r>
      <w:r>
        <w:t>(</w:t>
      </w:r>
      <w:r w:rsidR="00BA6DAF">
        <w:t xml:space="preserve">22%, </w:t>
      </w:r>
      <w:r>
        <w:t xml:space="preserve">n=18) </w:t>
      </w:r>
      <w:r w:rsidRPr="00952109">
        <w:t>reported that they had a senior leader responsible for evaluation</w:t>
      </w:r>
      <w:r w:rsidR="00730518">
        <w:t xml:space="preserve"> (</w:t>
      </w:r>
      <w:r w:rsidR="00B82E4E">
        <w:t xml:space="preserve">Figure </w:t>
      </w:r>
      <w:r w:rsidR="00730518">
        <w:t>9)</w:t>
      </w:r>
      <w:r w:rsidRPr="00952109">
        <w:t>.</w:t>
      </w:r>
      <w:r w:rsidRPr="0093722F">
        <w:t xml:space="preserve"> </w:t>
      </w:r>
    </w:p>
    <w:p w14:paraId="66758459" w14:textId="16ECEF9A" w:rsidR="0044523F" w:rsidRDefault="0044523F" w:rsidP="00881308">
      <w:pPr>
        <w:pStyle w:val="ChartMainHeading"/>
      </w:pPr>
      <w:r>
        <w:lastRenderedPageBreak/>
        <w:t xml:space="preserve">Figure </w:t>
      </w:r>
      <w:r w:rsidR="006747B4">
        <w:t>9</w:t>
      </w:r>
      <w:r>
        <w:t>: Senior leadership oversight of evaluation by entity size</w:t>
      </w:r>
    </w:p>
    <w:p w14:paraId="45633135" w14:textId="77777777" w:rsidR="0044523F" w:rsidRDefault="0044523F" w:rsidP="00882227">
      <w:pPr>
        <w:pStyle w:val="ChartGraphic"/>
      </w:pPr>
      <w:r>
        <w:rPr>
          <w:noProof/>
        </w:rPr>
        <w:drawing>
          <wp:inline distT="0" distB="0" distL="0" distR="0" wp14:anchorId="1048909D" wp14:editId="535E3E20">
            <wp:extent cx="4679950" cy="3036712"/>
            <wp:effectExtent l="0" t="0" r="6350" b="0"/>
            <wp:docPr id="877131595" name="Chart 1" descr="Figure 9 illustrates the extent to which senior leadership oversight of evaluation exists by entity size. 35% of all entities reported having senior leadership oversight, which was substantially higher for large entities, at 53%, and lower for medium, small and micro entities.">
              <a:extLst xmlns:a="http://schemas.openxmlformats.org/drawingml/2006/main">
                <a:ext uri="{FF2B5EF4-FFF2-40B4-BE49-F238E27FC236}">
                  <a16:creationId xmlns:a16="http://schemas.microsoft.com/office/drawing/2014/main" id="{E490D7AC-7B82-65D7-235D-F934235636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DCB625" w14:textId="1CB41011" w:rsidR="00CF09A3" w:rsidRPr="00457A9D" w:rsidRDefault="00CF09A3" w:rsidP="00882227">
      <w:pPr>
        <w:pStyle w:val="ChartorTableNote"/>
      </w:pPr>
      <w:r w:rsidRPr="009002C3">
        <w:t xml:space="preserve">Note: </w:t>
      </w:r>
      <w:r>
        <w:t>Micro: &lt;100 employees. Small: 101</w:t>
      </w:r>
      <w:r w:rsidR="00AD4DCC">
        <w:noBreakHyphen/>
      </w:r>
      <w:r>
        <w:t>250 employees. Medium: 251</w:t>
      </w:r>
      <w:r w:rsidR="00AD4DCC">
        <w:noBreakHyphen/>
      </w:r>
      <w:r>
        <w:t>1,000 employees. Large: &gt;1,001 employees</w:t>
      </w:r>
      <w:r w:rsidRPr="009002C3">
        <w:t>.</w:t>
      </w:r>
    </w:p>
    <w:p w14:paraId="0963A728" w14:textId="1D70BD60" w:rsidR="0044523F" w:rsidRDefault="0044523F" w:rsidP="0044523F">
      <w:pPr>
        <w:pStyle w:val="Heading2"/>
      </w:pPr>
      <w:bookmarkStart w:id="15" w:name="_Toc189820821"/>
      <w:r w:rsidRPr="00923AE4">
        <w:t>Enterprise</w:t>
      </w:r>
      <w:r w:rsidR="00AD4DCC">
        <w:noBreakHyphen/>
      </w:r>
      <w:r w:rsidRPr="00923AE4">
        <w:t xml:space="preserve">level </w:t>
      </w:r>
      <w:r>
        <w:t>governance</w:t>
      </w:r>
      <w:bookmarkEnd w:id="15"/>
    </w:p>
    <w:p w14:paraId="4F106865" w14:textId="6953D3D6" w:rsidR="0044523F" w:rsidRPr="00177AC3" w:rsidRDefault="0044523F" w:rsidP="0044523F">
      <w:pPr>
        <w:pStyle w:val="Heading3"/>
      </w:pPr>
      <w:r>
        <w:t>Enterprise</w:t>
      </w:r>
      <w:r w:rsidR="00AD4DCC">
        <w:noBreakHyphen/>
      </w:r>
      <w:r>
        <w:t>level evaluation strategy or framework</w:t>
      </w:r>
    </w:p>
    <w:p w14:paraId="66A4ECD3" w14:textId="6896DB46" w:rsidR="0044523F" w:rsidRDefault="0044523F" w:rsidP="0044523F">
      <w:r w:rsidRPr="00C267E5">
        <w:t xml:space="preserve">23 </w:t>
      </w:r>
      <w:r>
        <w:t>entit</w:t>
      </w:r>
      <w:r w:rsidRPr="00C267E5">
        <w:t xml:space="preserve">ies </w:t>
      </w:r>
      <w:r w:rsidR="00BD67B6">
        <w:t>(25%</w:t>
      </w:r>
      <w:r w:rsidR="00BA6DAF">
        <w:t>, n=91</w:t>
      </w:r>
      <w:r w:rsidR="00BD67B6">
        <w:t xml:space="preserve">) </w:t>
      </w:r>
      <w:r w:rsidRPr="00C267E5">
        <w:t>reported having an enterprise</w:t>
      </w:r>
      <w:r w:rsidR="00AD4DCC">
        <w:noBreakHyphen/>
      </w:r>
      <w:r w:rsidRPr="00C267E5">
        <w:t>level evaluation strategy or framework, or both</w:t>
      </w:r>
      <w:r>
        <w:t xml:space="preserve"> (Figure </w:t>
      </w:r>
      <w:r w:rsidR="009F7B40">
        <w:t>10</w:t>
      </w:r>
      <w:r>
        <w:t xml:space="preserve">). </w:t>
      </w:r>
      <w:r w:rsidRPr="00C267E5">
        <w:t xml:space="preserve">A further 28 </w:t>
      </w:r>
      <w:r>
        <w:t xml:space="preserve">entities </w:t>
      </w:r>
      <w:r w:rsidR="00205F68">
        <w:t>(</w:t>
      </w:r>
      <w:r w:rsidR="007D6A4B">
        <w:t>31%, n=91)</w:t>
      </w:r>
      <w:r>
        <w:t xml:space="preserve"> </w:t>
      </w:r>
      <w:r w:rsidRPr="00C267E5">
        <w:t>reported that</w:t>
      </w:r>
      <w:r>
        <w:t xml:space="preserve"> they are considering</w:t>
      </w:r>
      <w:r w:rsidRPr="00C267E5">
        <w:t xml:space="preserve"> develop</w:t>
      </w:r>
      <w:r>
        <w:t>ing</w:t>
      </w:r>
      <w:r w:rsidRPr="00C267E5">
        <w:t xml:space="preserve"> </w:t>
      </w:r>
      <w:r>
        <w:t xml:space="preserve">an </w:t>
      </w:r>
      <w:r w:rsidRPr="00C267E5">
        <w:t>enterprise</w:t>
      </w:r>
      <w:r w:rsidR="00AD4DCC">
        <w:noBreakHyphen/>
      </w:r>
      <w:r w:rsidRPr="00C267E5">
        <w:t xml:space="preserve">level strategy or framework </w:t>
      </w:r>
      <w:r>
        <w:t>by 2027</w:t>
      </w:r>
      <w:r w:rsidRPr="00C267E5">
        <w:t>.</w:t>
      </w:r>
    </w:p>
    <w:p w14:paraId="56A67DEB" w14:textId="4F939498" w:rsidR="00C35A54" w:rsidRDefault="0044523F" w:rsidP="00881308">
      <w:pPr>
        <w:pStyle w:val="ChartMainHeading"/>
      </w:pPr>
      <w:r>
        <w:t xml:space="preserve">Figure </w:t>
      </w:r>
      <w:r w:rsidR="006747B4">
        <w:t>10</w:t>
      </w:r>
      <w:r>
        <w:t>: Enterprise</w:t>
      </w:r>
      <w:r w:rsidR="00AD4DCC">
        <w:noBreakHyphen/>
      </w:r>
      <w:r>
        <w:rPr>
          <w:noProof/>
        </w:rPr>
        <w:t xml:space="preserve">level evaluation </w:t>
      </w:r>
      <w:r>
        <w:t>strategy or framework</w:t>
      </w:r>
    </w:p>
    <w:p w14:paraId="601E3B75" w14:textId="47A9C2E4" w:rsidR="0044523F" w:rsidRDefault="00C35A54" w:rsidP="00882227">
      <w:pPr>
        <w:pStyle w:val="ChartGraphic"/>
      </w:pPr>
      <w:r>
        <w:rPr>
          <w:noProof/>
        </w:rPr>
        <w:drawing>
          <wp:inline distT="0" distB="0" distL="0" distR="0" wp14:anchorId="4E13B1F1" wp14:editId="61822385">
            <wp:extent cx="2347595" cy="2866390"/>
            <wp:effectExtent l="0" t="0" r="0" b="0"/>
            <wp:docPr id="2043156991" name="Chart 1" descr="Figure 10 is a pie chart showing the presence of evaluation strategy or framework as reported by entities responding to the State of Evaluation survey. ">
              <a:extLst xmlns:a="http://schemas.openxmlformats.org/drawingml/2006/main">
                <a:ext uri="{FF2B5EF4-FFF2-40B4-BE49-F238E27FC236}">
                  <a16:creationId xmlns:a16="http://schemas.microsoft.com/office/drawing/2014/main" id="{7BAB31F7-8CE6-675B-82C9-5E4260AE8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506956" w14:textId="77777777" w:rsidR="009902F5" w:rsidRPr="009902F5" w:rsidRDefault="009902F5" w:rsidP="009902F5">
      <w:pPr>
        <w:pStyle w:val="SingleParagraph"/>
      </w:pPr>
    </w:p>
    <w:p w14:paraId="02DBEB6C" w14:textId="77777777" w:rsidR="0044523F" w:rsidRDefault="0044523F" w:rsidP="0044523F">
      <w:pPr>
        <w:pStyle w:val="Heading3"/>
      </w:pPr>
      <w:r w:rsidRPr="00923AE4">
        <w:lastRenderedPageBreak/>
        <w:t>Central monitoring</w:t>
      </w:r>
    </w:p>
    <w:p w14:paraId="00675B72" w14:textId="14339066" w:rsidR="0082290D" w:rsidRDefault="0082290D" w:rsidP="0082290D">
      <w:r>
        <w:t xml:space="preserve">47 entities </w:t>
      </w:r>
      <w:r w:rsidR="00F7232A">
        <w:t>(</w:t>
      </w:r>
      <w:r w:rsidR="000B3C4A">
        <w:t>51%, n=92)</w:t>
      </w:r>
      <w:r>
        <w:t xml:space="preserve"> reported the extent to which their entity centrally monitors the status and use of evaluation. Among those respondents, this monitoring </w:t>
      </w:r>
      <w:proofErr w:type="gramStart"/>
      <w:r w:rsidR="00F21B48">
        <w:t xml:space="preserve">most commonly </w:t>
      </w:r>
      <w:r>
        <w:t>covered</w:t>
      </w:r>
      <w:proofErr w:type="gramEnd"/>
      <w:r>
        <w:t>:</w:t>
      </w:r>
      <w:r w:rsidR="00F21B48">
        <w:t xml:space="preserve"> completed evaluations</w:t>
      </w:r>
      <w:r w:rsidR="00F21B48" w:rsidDel="00F017E6">
        <w:t>,</w:t>
      </w:r>
      <w:r w:rsidR="00F21B48">
        <w:t xml:space="preserve"> evaluations in progress and planned evaluations (Figure 11)</w:t>
      </w:r>
      <w:r w:rsidR="007A73B4">
        <w:t>.</w:t>
      </w:r>
    </w:p>
    <w:p w14:paraId="182BE54E" w14:textId="1FAD1839" w:rsidR="0082290D" w:rsidRDefault="0082290D" w:rsidP="00881308">
      <w:pPr>
        <w:pStyle w:val="ChartMainHeading"/>
      </w:pPr>
      <w:r>
        <w:t>Figure 1</w:t>
      </w:r>
      <w:r w:rsidR="006747B4">
        <w:t>1</w:t>
      </w:r>
      <w:r>
        <w:t>: Entity</w:t>
      </w:r>
      <w:r w:rsidR="00AD4DCC">
        <w:noBreakHyphen/>
      </w:r>
      <w:r>
        <w:t>level central monitoring of evaluation activities</w:t>
      </w:r>
    </w:p>
    <w:p w14:paraId="6708A05A" w14:textId="77777777" w:rsidR="0082290D" w:rsidRDefault="0082290D" w:rsidP="00A26745">
      <w:pPr>
        <w:pStyle w:val="ChartGraphic"/>
      </w:pPr>
      <w:r>
        <w:rPr>
          <w:noProof/>
        </w:rPr>
        <w:drawing>
          <wp:inline distT="0" distB="0" distL="0" distR="0" wp14:anchorId="50FC7BAF" wp14:editId="5899939C">
            <wp:extent cx="5580000" cy="2520000"/>
            <wp:effectExtent l="0" t="0" r="0" b="0"/>
            <wp:docPr id="1318493950" name="Chart 1" descr="Figure 11 illustrates the extent to which entities centrally monitor their evaluation activities. Completed evaluations were the most common, with 85% (n=47 for this question) reporting this was true, this was followed by evaluations that are in progress (74%), planned evaluations (70%), and management responses to completed evaluations (62%). Evaluation evidence use was the least monitored activity, with less than half (43%) reporting this.">
              <a:extLst xmlns:a="http://schemas.openxmlformats.org/drawingml/2006/main">
                <a:ext uri="{FF2B5EF4-FFF2-40B4-BE49-F238E27FC236}">
                  <a16:creationId xmlns:a16="http://schemas.microsoft.com/office/drawing/2014/main" id="{604CCA89-E06C-42C4-A8E4-8FE025E1C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E6ECAC" w14:textId="77777777" w:rsidR="00415423" w:rsidRDefault="00415423">
      <w:pPr>
        <w:spacing w:before="0" w:after="160" w:line="259" w:lineRule="auto"/>
        <w:rPr>
          <w:rFonts w:ascii="Calibri" w:hAnsi="Calibri" w:cs="Arial"/>
          <w:b/>
          <w:color w:val="2C384A" w:themeColor="accent1"/>
          <w:kern w:val="32"/>
          <w:sz w:val="44"/>
          <w:szCs w:val="36"/>
        </w:rPr>
      </w:pPr>
      <w:r>
        <w:br w:type="page"/>
      </w:r>
    </w:p>
    <w:p w14:paraId="041BDC41" w14:textId="0FE46834" w:rsidR="0044523F" w:rsidRDefault="0044523F" w:rsidP="0044523F">
      <w:pPr>
        <w:pStyle w:val="Heading1"/>
      </w:pPr>
      <w:bookmarkStart w:id="16" w:name="_Toc189820822"/>
      <w:r>
        <w:lastRenderedPageBreak/>
        <w:t xml:space="preserve">Evaluation </w:t>
      </w:r>
      <w:r w:rsidR="00734B7E">
        <w:t>e</w:t>
      </w:r>
      <w:r>
        <w:t xml:space="preserve">vidence </w:t>
      </w:r>
      <w:r w:rsidR="00734B7E">
        <w:t>u</w:t>
      </w:r>
      <w:r>
        <w:t>se</w:t>
      </w:r>
      <w:bookmarkEnd w:id="16"/>
    </w:p>
    <w:p w14:paraId="34D35DD7" w14:textId="20843198" w:rsidR="0044523F" w:rsidRPr="009E12FD" w:rsidRDefault="009A3D51" w:rsidP="0044523F">
      <w:r>
        <w:t xml:space="preserve">Evaluation evidence is only helpful if it is used to inform decisions and enhance program design and delivery. </w:t>
      </w:r>
      <w:r w:rsidR="0044523F">
        <w:t>Understanding how and why entities use evaluation evidence is essential for fostering consistent practice and embedding a culture of evaluation.</w:t>
      </w:r>
    </w:p>
    <w:tbl>
      <w:tblPr>
        <w:tblW w:w="5000" w:type="pct"/>
        <w:shd w:val="clear" w:color="auto" w:fill="EEEEEE" w:themeFill="background2"/>
        <w:tblCellMar>
          <w:top w:w="227" w:type="dxa"/>
          <w:left w:w="227" w:type="dxa"/>
          <w:bottom w:w="227" w:type="dxa"/>
          <w:right w:w="227" w:type="dxa"/>
        </w:tblCellMar>
        <w:tblLook w:val="01E0" w:firstRow="1" w:lastRow="1" w:firstColumn="1" w:lastColumn="1" w:noHBand="0" w:noVBand="0"/>
      </w:tblPr>
      <w:tblGrid>
        <w:gridCol w:w="9070"/>
      </w:tblGrid>
      <w:tr w:rsidR="008004AD" w14:paraId="444DBDA7" w14:textId="77777777">
        <w:tc>
          <w:tcPr>
            <w:tcW w:w="5000" w:type="pct"/>
            <w:shd w:val="clear" w:color="auto" w:fill="EEEEEE" w:themeFill="background2"/>
          </w:tcPr>
          <w:p w14:paraId="473CF7E1" w14:textId="77777777" w:rsidR="008004AD" w:rsidRPr="00550511" w:rsidRDefault="008004AD">
            <w:pPr>
              <w:pStyle w:val="BoxHeading"/>
            </w:pPr>
            <w:r>
              <w:t>Main findings</w:t>
            </w:r>
          </w:p>
          <w:p w14:paraId="2866DFF8" w14:textId="2BB32E55" w:rsidR="008004AD" w:rsidRPr="008004AD" w:rsidRDefault="008004AD" w:rsidP="00A26745">
            <w:pPr>
              <w:pStyle w:val="Boxbullet"/>
            </w:pPr>
            <w:r w:rsidRPr="008004AD">
              <w:t xml:space="preserve">Entities </w:t>
            </w:r>
            <w:proofErr w:type="gramStart"/>
            <w:r w:rsidRPr="008004AD">
              <w:t>most commonly reported</w:t>
            </w:r>
            <w:proofErr w:type="gramEnd"/>
            <w:r w:rsidRPr="008004AD">
              <w:t xml:space="preserve"> using evaluations to inform policy and program design and decision</w:t>
            </w:r>
            <w:r w:rsidR="00AD4DCC">
              <w:noBreakHyphen/>
            </w:r>
            <w:r w:rsidRPr="008004AD">
              <w:t>making (68%). The same proportion reported using outcome or impact evaluations to assess whether policies and programs are achieving their objectives.</w:t>
            </w:r>
          </w:p>
          <w:p w14:paraId="0DAAE6F1" w14:textId="287FD5FC" w:rsidR="008004AD" w:rsidRPr="008004AD" w:rsidRDefault="008004AD" w:rsidP="00A26745">
            <w:pPr>
              <w:pStyle w:val="Boxbullet"/>
            </w:pPr>
            <w:r w:rsidRPr="008004AD">
              <w:t xml:space="preserve">The </w:t>
            </w:r>
            <w:proofErr w:type="gramStart"/>
            <w:r w:rsidRPr="008004AD">
              <w:t>most commonly reported</w:t>
            </w:r>
            <w:proofErr w:type="gramEnd"/>
            <w:r w:rsidRPr="008004AD">
              <w:t xml:space="preserve"> motivation for evaluation at the entity</w:t>
            </w:r>
            <w:r w:rsidR="00AD4DCC">
              <w:noBreakHyphen/>
            </w:r>
            <w:r w:rsidRPr="008004AD">
              <w:t>level was to improve the implementation (68 entities or 77%, n=88), followed by accountability, transparency, and knowledge building.</w:t>
            </w:r>
          </w:p>
          <w:p w14:paraId="706A67B7" w14:textId="1663798A" w:rsidR="008004AD" w:rsidRPr="008004AD" w:rsidRDefault="008004AD" w:rsidP="00A26745">
            <w:pPr>
              <w:pStyle w:val="Boxbullet"/>
            </w:pPr>
            <w:r w:rsidRPr="008004AD">
              <w:t>83 entities (90%, n=92) reported that they consider evaluation evidence in the context of various entity</w:t>
            </w:r>
            <w:r w:rsidR="00AD4DCC">
              <w:noBreakHyphen/>
            </w:r>
            <w:r w:rsidRPr="008004AD">
              <w:t>level business planning processes, including 32 large entities (94%, n=34).</w:t>
            </w:r>
          </w:p>
          <w:p w14:paraId="3D19D237" w14:textId="6679B9E0" w:rsidR="008004AD" w:rsidRPr="008004AD" w:rsidRDefault="008004AD" w:rsidP="00A26745">
            <w:pPr>
              <w:pStyle w:val="Boxbullet"/>
            </w:pPr>
            <w:r w:rsidRPr="008004AD">
              <w:t>Evaluation evidence sharing emerged as an area for improvement, with only 27 entities (31%,</w:t>
            </w:r>
            <w:r w:rsidR="0087541F">
              <w:t> </w:t>
            </w:r>
            <w:r w:rsidRPr="008004AD">
              <w:t>n=87) reporting that they routinely and publicly disseminate evaluation findings or reports.</w:t>
            </w:r>
          </w:p>
          <w:p w14:paraId="65DF585C" w14:textId="00E4159A" w:rsidR="008004AD" w:rsidRPr="008465E4" w:rsidRDefault="008004AD" w:rsidP="00A26745">
            <w:pPr>
              <w:pStyle w:val="Boxbullet"/>
            </w:pPr>
            <w:r w:rsidRPr="008004AD">
              <w:t>49 entities (69%, n=71) reported that support from entity leadership was the biggest enabler that helped to embed a culture of evaluation within their entity.</w:t>
            </w:r>
          </w:p>
        </w:tc>
      </w:tr>
    </w:tbl>
    <w:p w14:paraId="44244572" w14:textId="77777777" w:rsidR="009A3D51" w:rsidRDefault="009A3D51" w:rsidP="009A3D51">
      <w:pPr>
        <w:pStyle w:val="Heading2"/>
      </w:pPr>
      <w:bookmarkStart w:id="17" w:name="_Toc188632188"/>
      <w:bookmarkStart w:id="18" w:name="_Toc189820823"/>
      <w:r>
        <w:t>Use of evaluation evidence</w:t>
      </w:r>
      <w:bookmarkEnd w:id="17"/>
      <w:bookmarkEnd w:id="18"/>
    </w:p>
    <w:p w14:paraId="3E88F7F0" w14:textId="355BB8E1" w:rsidR="009A3D51" w:rsidRDefault="009A3D51" w:rsidP="009A3D51">
      <w:r>
        <w:t xml:space="preserve">The most common use of evaluations </w:t>
      </w:r>
      <w:r w:rsidRPr="00A26745">
        <w:rPr>
          <w:rStyle w:val="Emphasis"/>
        </w:rPr>
        <w:t>generally</w:t>
      </w:r>
      <w:r>
        <w:t xml:space="preserve"> was to </w:t>
      </w:r>
      <w:r w:rsidRPr="00BF7DAD">
        <w:t>inform policy and program design and decision</w:t>
      </w:r>
      <w:r w:rsidR="00AD4DCC">
        <w:noBreakHyphen/>
      </w:r>
      <w:r w:rsidRPr="00BF7DAD">
        <w:t>making (68%</w:t>
      </w:r>
      <w:r>
        <w:t>, n=92</w:t>
      </w:r>
      <w:r w:rsidRPr="00BF7DAD">
        <w:t>)</w:t>
      </w:r>
      <w:r>
        <w:t xml:space="preserve">. The same proportion used </w:t>
      </w:r>
      <w:r w:rsidRPr="00A26745">
        <w:rPr>
          <w:rStyle w:val="Emphasis"/>
        </w:rPr>
        <w:t>outcome or impact</w:t>
      </w:r>
      <w:r w:rsidRPr="00BF7DAD">
        <w:t xml:space="preserve"> evaluations to assess whether policies and programs are achieving their objectives.</w:t>
      </w:r>
      <w:r>
        <w:t xml:space="preserve"> Other uses of evaluation evidence are shown in Figure 12.</w:t>
      </w:r>
    </w:p>
    <w:p w14:paraId="74671A92" w14:textId="67E6930F" w:rsidR="00ED25B5" w:rsidRPr="003F6CCD" w:rsidRDefault="00ED25B5" w:rsidP="00881308">
      <w:pPr>
        <w:pStyle w:val="ChartMainHeading"/>
      </w:pPr>
      <w:r w:rsidRPr="003F6CCD">
        <w:lastRenderedPageBreak/>
        <w:t xml:space="preserve">Figure </w:t>
      </w:r>
      <w:r w:rsidR="00697B03">
        <w:t>12</w:t>
      </w:r>
      <w:r w:rsidRPr="003F6CCD">
        <w:t xml:space="preserve">: </w:t>
      </w:r>
      <w:r w:rsidR="00817589">
        <w:t>U</w:t>
      </w:r>
      <w:r w:rsidRPr="003F6CCD">
        <w:t xml:space="preserve">se </w:t>
      </w:r>
      <w:r w:rsidR="00817589">
        <w:t>of</w:t>
      </w:r>
      <w:r w:rsidRPr="003F6CCD">
        <w:t xml:space="preserve"> evaluation</w:t>
      </w:r>
      <w:r>
        <w:t xml:space="preserve"> </w:t>
      </w:r>
      <w:r w:rsidR="00817589">
        <w:t>evidence by entities</w:t>
      </w:r>
    </w:p>
    <w:p w14:paraId="0A61E4E6" w14:textId="2E29BF7D" w:rsidR="00ED25B5" w:rsidRDefault="00AC0F17" w:rsidP="00A26745">
      <w:pPr>
        <w:pStyle w:val="ChartGraphic"/>
      </w:pPr>
      <w:r>
        <w:rPr>
          <w:noProof/>
        </w:rPr>
        <w:drawing>
          <wp:inline distT="0" distB="0" distL="0" distR="0" wp14:anchorId="1DC202C0" wp14:editId="16C0AFE6">
            <wp:extent cx="5759450" cy="3905956"/>
            <wp:effectExtent l="0" t="0" r="0" b="0"/>
            <wp:docPr id="1442536830" name="Chart 1" descr="Figure 12 illustrates the ways in which entities use evaluation evidence. Design and decision making was reported by most agencies (68%), closely followed by understanding the extent to which policy and program objectives were met (67%). The lowest proportion of entities mentioned that they did not use evaluation evidence as it wasn't often linked to their performance measures (22%), followed by its use to inform agency direction (34%).">
              <a:extLst xmlns:a="http://schemas.openxmlformats.org/drawingml/2006/main">
                <a:ext uri="{FF2B5EF4-FFF2-40B4-BE49-F238E27FC236}">
                  <a16:creationId xmlns:a16="http://schemas.microsoft.com/office/drawing/2014/main" id="{8D886891-7348-425D-8D09-D9D87F95C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E56463" w14:textId="77777777" w:rsidR="00ED25B5" w:rsidRDefault="00ED25B5" w:rsidP="00A26745">
      <w:pPr>
        <w:pStyle w:val="SingleParagraph"/>
      </w:pPr>
    </w:p>
    <w:p w14:paraId="2BC3D926" w14:textId="77777777" w:rsidR="0044523F" w:rsidRDefault="0044523F" w:rsidP="0044523F">
      <w:pPr>
        <w:pStyle w:val="Heading2"/>
      </w:pPr>
      <w:bookmarkStart w:id="19" w:name="_Toc189820824"/>
      <w:r>
        <w:t>Motivations</w:t>
      </w:r>
      <w:bookmarkEnd w:id="19"/>
    </w:p>
    <w:p w14:paraId="758CC33F" w14:textId="17164272" w:rsidR="009A3D51" w:rsidRDefault="009A3D51" w:rsidP="007A42CE">
      <w:pPr>
        <w:ind w:right="-2"/>
      </w:pPr>
      <w:r>
        <w:t xml:space="preserve">Almost all entities (88 out of 92, or 96%) reported on the motivations driving evaluation evidence within their organisation. The most frequently reported motivation was </w:t>
      </w:r>
      <w:r w:rsidR="00AD4DCC">
        <w:t>“</w:t>
      </w:r>
      <w:r>
        <w:t>to improve implementation</w:t>
      </w:r>
      <w:r w:rsidR="00AD4DCC">
        <w:t>”</w:t>
      </w:r>
      <w:r>
        <w:t xml:space="preserve"> of policies, programs, and services. This was followed by: enhance accountability; promote transparency; and build greater knowledge (Figure 13). </w:t>
      </w:r>
    </w:p>
    <w:p w14:paraId="325C0D76" w14:textId="6AA4BE35" w:rsidR="0044523F" w:rsidRDefault="0044523F" w:rsidP="00881308">
      <w:pPr>
        <w:pStyle w:val="ChartMainHeading"/>
        <w:rPr>
          <w:noProof/>
        </w:rPr>
      </w:pPr>
      <w:r>
        <w:lastRenderedPageBreak/>
        <w:t>Figure 1</w:t>
      </w:r>
      <w:r w:rsidR="00697B03">
        <w:t>3</w:t>
      </w:r>
      <w:r>
        <w:t>: Motivations for evaluation activities across entities</w:t>
      </w:r>
      <w:r w:rsidDel="00920218">
        <w:rPr>
          <w:noProof/>
        </w:rPr>
        <w:t xml:space="preserve"> </w:t>
      </w:r>
    </w:p>
    <w:p w14:paraId="107D3B6A" w14:textId="77777777" w:rsidR="0044523F" w:rsidRDefault="0044523F" w:rsidP="00A26745">
      <w:pPr>
        <w:pStyle w:val="ChartGraphic"/>
        <w:rPr>
          <w:noProof/>
        </w:rPr>
      </w:pPr>
      <w:r>
        <w:rPr>
          <w:noProof/>
        </w:rPr>
        <w:drawing>
          <wp:inline distT="0" distB="0" distL="0" distR="0" wp14:anchorId="42C6D570" wp14:editId="7928D76E">
            <wp:extent cx="6341165" cy="5041265"/>
            <wp:effectExtent l="0" t="0" r="0" b="0"/>
            <wp:docPr id="642984693" name="Chart 1" descr="Figure 13 illustrates the 11 motivations for evaluation activities reported by entities. &quot;To improve implementation&quot;(77%), &quot;To enhance accountability&quot; (67%), and &quot;To promote transparency&quot; (63%). The three least reported motivations were, &quot;To reduce waste&quot; (23%), &quot;To consider service expansion&quot; (31%), &quot;To seek funding renewal&quot; (40%).">
              <a:extLst xmlns:a="http://schemas.openxmlformats.org/drawingml/2006/main">
                <a:ext uri="{FF2B5EF4-FFF2-40B4-BE49-F238E27FC236}">
                  <a16:creationId xmlns:a16="http://schemas.microsoft.com/office/drawing/2014/main" id="{F720D464-8170-953E-C789-60775C19A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5D194A" w14:textId="77777777" w:rsidR="0044523F" w:rsidRDefault="0044523F" w:rsidP="0044523F">
      <w:pPr>
        <w:pStyle w:val="Heading2"/>
      </w:pPr>
      <w:bookmarkStart w:id="20" w:name="_Toc189820825"/>
      <w:r>
        <w:t>Embedding evaluation into everyday practice</w:t>
      </w:r>
      <w:bookmarkEnd w:id="20"/>
    </w:p>
    <w:p w14:paraId="21A0062C" w14:textId="48E22AC4" w:rsidR="0044523F" w:rsidRPr="007A2B8E" w:rsidRDefault="0061480C" w:rsidP="0044523F">
      <w:r>
        <w:t>83</w:t>
      </w:r>
      <w:r w:rsidR="0044523F" w:rsidRPr="004D52D8">
        <w:t xml:space="preserve"> entities (</w:t>
      </w:r>
      <w:r w:rsidR="00653037">
        <w:t xml:space="preserve">90%, </w:t>
      </w:r>
      <w:r w:rsidR="0044523F" w:rsidRPr="004D52D8">
        <w:t>n=</w:t>
      </w:r>
      <w:r w:rsidR="002A4EBA">
        <w:t>92</w:t>
      </w:r>
      <w:r w:rsidR="0044523F" w:rsidRPr="004D52D8">
        <w:t xml:space="preserve">) reported that evaluation evidence is considered in the context of </w:t>
      </w:r>
      <w:r w:rsidR="009A3D51">
        <w:t xml:space="preserve">various </w:t>
      </w:r>
      <w:r w:rsidR="0044523F" w:rsidRPr="004D52D8">
        <w:t>entity</w:t>
      </w:r>
      <w:r w:rsidR="00AD4DCC">
        <w:noBreakHyphen/>
      </w:r>
      <w:r w:rsidR="0044523F" w:rsidRPr="004D52D8">
        <w:t>level business planning processes</w:t>
      </w:r>
      <w:r w:rsidR="00B442C1">
        <w:t xml:space="preserve">, </w:t>
      </w:r>
      <w:r w:rsidR="006D1104">
        <w:t>w</w:t>
      </w:r>
      <w:r w:rsidR="001F5413">
        <w:t xml:space="preserve">ith </w:t>
      </w:r>
      <w:r w:rsidR="00653037">
        <w:t>32</w:t>
      </w:r>
      <w:r w:rsidR="001222FD">
        <w:t xml:space="preserve"> </w:t>
      </w:r>
      <w:r w:rsidR="00AA7E96">
        <w:t xml:space="preserve">large entities </w:t>
      </w:r>
      <w:r w:rsidR="00653037">
        <w:t>(94%, n=34)</w:t>
      </w:r>
      <w:r w:rsidR="00AA7E96">
        <w:t xml:space="preserve"> </w:t>
      </w:r>
      <w:r w:rsidR="00342053">
        <w:t>reporting this to be the case</w:t>
      </w:r>
      <w:r w:rsidR="0044523F" w:rsidRPr="004D52D8">
        <w:t xml:space="preserve">. </w:t>
      </w:r>
      <w:r w:rsidR="009A3D51">
        <w:t xml:space="preserve">The business planning processes where evaluation evidence was </w:t>
      </w:r>
      <w:proofErr w:type="gramStart"/>
      <w:r w:rsidR="009A3D51">
        <w:t>most commonly used</w:t>
      </w:r>
      <w:proofErr w:type="gramEnd"/>
      <w:r w:rsidR="009A3D51">
        <w:t xml:space="preserve"> were c</w:t>
      </w:r>
      <w:r w:rsidR="009A3D51" w:rsidRPr="004D52D8">
        <w:t>orporate performance reporting</w:t>
      </w:r>
      <w:r w:rsidR="009A3D51">
        <w:t>, and program management (Figure 14).</w:t>
      </w:r>
    </w:p>
    <w:p w14:paraId="13199B1B" w14:textId="2368984F" w:rsidR="0044523F" w:rsidRDefault="0044523F" w:rsidP="00881308">
      <w:pPr>
        <w:pStyle w:val="ChartMainHeading"/>
      </w:pPr>
      <w:r>
        <w:lastRenderedPageBreak/>
        <w:t>Figure 1</w:t>
      </w:r>
      <w:r w:rsidR="00205E47">
        <w:t>4</w:t>
      </w:r>
      <w:r>
        <w:t xml:space="preserve">: Evaluation </w:t>
      </w:r>
      <w:r w:rsidR="008627E3">
        <w:t>considera</w:t>
      </w:r>
      <w:r w:rsidR="008C565E">
        <w:t>tion in the context of</w:t>
      </w:r>
      <w:r w:rsidR="00032CAE">
        <w:t xml:space="preserve"> </w:t>
      </w:r>
      <w:r>
        <w:t>everyday practice</w:t>
      </w:r>
      <w:r w:rsidR="00653037">
        <w:t xml:space="preserve"> (n=83, large entities</w:t>
      </w:r>
      <w:r w:rsidR="00183931">
        <w:t xml:space="preserve"> n</w:t>
      </w:r>
      <w:r w:rsidR="00B61402">
        <w:t>=3</w:t>
      </w:r>
      <w:r w:rsidR="003911C1">
        <w:t>2</w:t>
      </w:r>
      <w:r w:rsidR="00B61402">
        <w:t>)</w:t>
      </w:r>
    </w:p>
    <w:p w14:paraId="7A0AC16D" w14:textId="779C5A05" w:rsidR="0044523F" w:rsidRDefault="0044523F" w:rsidP="00A26745">
      <w:pPr>
        <w:pStyle w:val="ChartGraphic"/>
      </w:pPr>
      <w:r>
        <w:rPr>
          <w:noProof/>
        </w:rPr>
        <w:drawing>
          <wp:inline distT="0" distB="0" distL="0" distR="0" wp14:anchorId="7E550EF6" wp14:editId="2EDD7EBD">
            <wp:extent cx="4680000" cy="2880000"/>
            <wp:effectExtent l="0" t="0" r="6350" b="0"/>
            <wp:docPr id="129207484" name="Chart 1" descr="Figure 14 illustrates the ways in which evaluation is considered in everyday practice across the survey sample, comparing it with a subset, large entities. Corporate performance reporting was the most common business planning process reported (76% for all entities, and 88% for large entities). This is followed by program management (64% for all entities, 78% for large entities), enterprise-level risk management (48% for all entities, 64% for large entities), budget prioritisation process (47% for all entities, 72% for large entities), and finally internal audit (45% for all entities, 63% for large entities).">
              <a:extLst xmlns:a="http://schemas.openxmlformats.org/drawingml/2006/main">
                <a:ext uri="{FF2B5EF4-FFF2-40B4-BE49-F238E27FC236}">
                  <a16:creationId xmlns:a16="http://schemas.microsoft.com/office/drawing/2014/main" id="{D1EC5EC6-EE99-4795-BCCD-A59871B1EA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E66A58" w14:textId="77777777" w:rsidR="009902F5" w:rsidRPr="009902F5" w:rsidRDefault="009902F5" w:rsidP="009902F5">
      <w:pPr>
        <w:pStyle w:val="SingleParagraph"/>
      </w:pPr>
    </w:p>
    <w:p w14:paraId="09AB75F3" w14:textId="77777777" w:rsidR="0044523F" w:rsidRPr="00115BBF" w:rsidRDefault="0044523F" w:rsidP="0044523F">
      <w:pPr>
        <w:pStyle w:val="Heading2"/>
      </w:pPr>
      <w:bookmarkStart w:id="21" w:name="_Toc189820826"/>
      <w:r>
        <w:t>Evaluation evidence sharing</w:t>
      </w:r>
      <w:bookmarkEnd w:id="21"/>
    </w:p>
    <w:p w14:paraId="11EAB724" w14:textId="58C969D6" w:rsidR="009A3D51" w:rsidRDefault="009A3D51" w:rsidP="009A3D51">
      <w:r>
        <w:t>27 entities (31%, n=87) report</w:t>
      </w:r>
      <w:r w:rsidRPr="002B0068">
        <w:t xml:space="preserve"> that they routinely and publicly disseminate evaluation findings or reports</w:t>
      </w:r>
      <w:r>
        <w:t xml:space="preserve"> (Figure 15)</w:t>
      </w:r>
      <w:r w:rsidRPr="002B0068">
        <w:t>.</w:t>
      </w:r>
    </w:p>
    <w:p w14:paraId="0EFA70AF" w14:textId="77777777" w:rsidR="00A26745" w:rsidRDefault="0044523F" w:rsidP="0044523F">
      <w:pPr>
        <w:rPr>
          <w:rFonts w:ascii="Calibri" w:hAnsi="Calibri" w:cs="Arial"/>
          <w:color w:val="2C384A" w:themeColor="accent1"/>
          <w:kern w:val="32"/>
          <w:sz w:val="26"/>
          <w:szCs w:val="26"/>
        </w:rPr>
      </w:pPr>
      <w:r w:rsidRPr="00701C9D">
        <w:rPr>
          <w:rFonts w:ascii="Calibri" w:hAnsi="Calibri" w:cs="Arial"/>
          <w:color w:val="2C384A" w:themeColor="accent1"/>
          <w:kern w:val="32"/>
          <w:sz w:val="26"/>
          <w:szCs w:val="26"/>
        </w:rPr>
        <w:t>Figure 1</w:t>
      </w:r>
      <w:r w:rsidR="00FE43C3">
        <w:rPr>
          <w:rFonts w:ascii="Calibri" w:hAnsi="Calibri" w:cs="Arial"/>
          <w:color w:val="2C384A" w:themeColor="accent1"/>
          <w:kern w:val="32"/>
          <w:sz w:val="26"/>
          <w:szCs w:val="26"/>
        </w:rPr>
        <w:t>5</w:t>
      </w:r>
      <w:r w:rsidRPr="00701C9D">
        <w:rPr>
          <w:rFonts w:ascii="Calibri" w:hAnsi="Calibri" w:cs="Arial"/>
          <w:color w:val="2C384A" w:themeColor="accent1"/>
          <w:kern w:val="32"/>
          <w:sz w:val="26"/>
          <w:szCs w:val="26"/>
        </w:rPr>
        <w:t xml:space="preserve">: Routine and public dissemination of evaluation findings </w:t>
      </w:r>
    </w:p>
    <w:p w14:paraId="40B6481C" w14:textId="7CE24192" w:rsidR="0044523F" w:rsidRDefault="0044523F" w:rsidP="00A26745">
      <w:pPr>
        <w:pStyle w:val="ChartGraphic"/>
      </w:pPr>
      <w:r w:rsidRPr="00A26745">
        <w:rPr>
          <w:noProof/>
        </w:rPr>
        <w:drawing>
          <wp:inline distT="0" distB="0" distL="0" distR="0" wp14:anchorId="531783BF" wp14:editId="0253E22B">
            <wp:extent cx="5734878" cy="2879090"/>
            <wp:effectExtent l="0" t="0" r="0" b="0"/>
            <wp:docPr id="1383716077" name="Chart 1" descr="Figure 15 shows the extent to which entities routinely and publicly share evaluation findings. 31% or 27 entities reported that this was true for them (of 87 entities responding to the question).">
              <a:extLst xmlns:a="http://schemas.openxmlformats.org/drawingml/2006/main">
                <a:ext uri="{FF2B5EF4-FFF2-40B4-BE49-F238E27FC236}">
                  <a16:creationId xmlns:a16="http://schemas.microsoft.com/office/drawing/2014/main" id="{2B2648E9-074E-2F79-8C9A-E590CB5BE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0FA7D5" w14:textId="77777777" w:rsidR="009902F5" w:rsidRPr="009902F5" w:rsidRDefault="009902F5" w:rsidP="009902F5"/>
    <w:p w14:paraId="124D28C4" w14:textId="4617243A" w:rsidR="0044523F" w:rsidRDefault="0044523F" w:rsidP="0044523F">
      <w:pPr>
        <w:pStyle w:val="Heading2"/>
      </w:pPr>
      <w:bookmarkStart w:id="22" w:name="_Toc189820827"/>
      <w:r>
        <w:lastRenderedPageBreak/>
        <w:t xml:space="preserve">Barriers and </w:t>
      </w:r>
      <w:r w:rsidR="00734B7E">
        <w:t>e</w:t>
      </w:r>
      <w:r>
        <w:t>nablers</w:t>
      </w:r>
      <w:bookmarkEnd w:id="22"/>
      <w:r>
        <w:t xml:space="preserve"> </w:t>
      </w:r>
    </w:p>
    <w:p w14:paraId="1D243405" w14:textId="3F6A8A1F" w:rsidR="009A3D51" w:rsidRDefault="0044523F" w:rsidP="009A3D51">
      <w:r>
        <w:t>7</w:t>
      </w:r>
      <w:r w:rsidR="002C2149">
        <w:t>1</w:t>
      </w:r>
      <w:r>
        <w:t xml:space="preserve"> entities</w:t>
      </w:r>
      <w:r w:rsidR="00197684">
        <w:t xml:space="preserve"> (</w:t>
      </w:r>
      <w:r w:rsidR="00C118FC">
        <w:t>77</w:t>
      </w:r>
      <w:r w:rsidR="00197684">
        <w:t>%, n=92)</w:t>
      </w:r>
      <w:r>
        <w:t xml:space="preserve"> shared insights into key supports or enablers that helped their entity in embedding a culture of evaluation since the Commonwealth </w:t>
      </w:r>
      <w:r w:rsidR="009A3D51">
        <w:t>E</w:t>
      </w:r>
      <w:r>
        <w:t xml:space="preserve">valuation </w:t>
      </w:r>
      <w:r w:rsidR="009A3D51">
        <w:t>P</w:t>
      </w:r>
      <w:r>
        <w:t>olicy came into effect in 2021</w:t>
      </w:r>
      <w:r w:rsidRPr="00115BBF">
        <w:rPr>
          <w:color w:val="404040" w:themeColor="text1" w:themeTint="BF"/>
        </w:rPr>
        <w:t>.</w:t>
      </w:r>
      <w:r w:rsidRPr="00115BBF">
        <w:rPr>
          <w:b/>
          <w:color w:val="404040" w:themeColor="text1" w:themeTint="BF"/>
        </w:rPr>
        <w:t xml:space="preserve"> Support from entity leadership</w:t>
      </w:r>
      <w:r w:rsidR="00F92103">
        <w:rPr>
          <w:b/>
          <w:color w:val="404040" w:themeColor="text1" w:themeTint="BF"/>
        </w:rPr>
        <w:t xml:space="preserve"> (</w:t>
      </w:r>
      <w:r w:rsidR="00C00E6A">
        <w:rPr>
          <w:b/>
          <w:color w:val="404040" w:themeColor="text1" w:themeTint="BF"/>
        </w:rPr>
        <w:t>69%)</w:t>
      </w:r>
      <w:r w:rsidRPr="00115BBF">
        <w:rPr>
          <w:b/>
          <w:color w:val="404040" w:themeColor="text1" w:themeTint="BF"/>
        </w:rPr>
        <w:t>, and support for evaluation amongst decision</w:t>
      </w:r>
      <w:r w:rsidR="00AD4DCC">
        <w:rPr>
          <w:b/>
          <w:color w:val="404040" w:themeColor="text1" w:themeTint="BF"/>
        </w:rPr>
        <w:noBreakHyphen/>
      </w:r>
      <w:r w:rsidRPr="00115BBF">
        <w:rPr>
          <w:b/>
          <w:color w:val="404040" w:themeColor="text1" w:themeTint="BF"/>
        </w:rPr>
        <w:t>makers</w:t>
      </w:r>
      <w:r>
        <w:rPr>
          <w:b/>
          <w:color w:val="404040" w:themeColor="text1" w:themeTint="BF"/>
        </w:rPr>
        <w:t xml:space="preserve"> </w:t>
      </w:r>
      <w:r w:rsidR="00C00E6A">
        <w:rPr>
          <w:b/>
          <w:color w:val="404040" w:themeColor="text1" w:themeTint="BF"/>
        </w:rPr>
        <w:t>(</w:t>
      </w:r>
      <w:r w:rsidR="00162E86">
        <w:rPr>
          <w:b/>
          <w:color w:val="404040" w:themeColor="text1" w:themeTint="BF"/>
        </w:rPr>
        <w:t>68%)</w:t>
      </w:r>
      <w:r w:rsidRPr="00115BBF">
        <w:rPr>
          <w:b/>
          <w:bCs/>
        </w:rPr>
        <w:t xml:space="preserve"> </w:t>
      </w:r>
      <w:r w:rsidRPr="006F4AE1">
        <w:t>were the most reported enablers, each selected by more than two</w:t>
      </w:r>
      <w:r w:rsidR="00AD4DCC">
        <w:noBreakHyphen/>
      </w:r>
      <w:r w:rsidRPr="006F4AE1">
        <w:t xml:space="preserve">thirds of responding </w:t>
      </w:r>
      <w:r>
        <w:t>entit</w:t>
      </w:r>
      <w:r w:rsidRPr="006F4AE1">
        <w:t>ies</w:t>
      </w:r>
      <w:r w:rsidR="00BE1EEB">
        <w:t>.</w:t>
      </w:r>
      <w:r w:rsidR="009A3D51">
        <w:t xml:space="preserve"> 27 entities (31%, n=87) report</w:t>
      </w:r>
      <w:r w:rsidR="009A3D51" w:rsidRPr="002B0068">
        <w:t xml:space="preserve"> that they routinely and publicly disseminate evaluation findings or reports</w:t>
      </w:r>
      <w:r w:rsidR="009A3D51">
        <w:t xml:space="preserve"> (Figure 16)</w:t>
      </w:r>
      <w:r w:rsidR="009A3D51" w:rsidRPr="002B0068">
        <w:t>.</w:t>
      </w:r>
    </w:p>
    <w:p w14:paraId="652697A8" w14:textId="2FD4ABF2" w:rsidR="0044523F" w:rsidRDefault="0044523F" w:rsidP="0044523F">
      <w:pPr>
        <w:rPr>
          <w:rFonts w:asciiTheme="majorHAnsi" w:hAnsiTheme="majorHAnsi" w:cs="Arial"/>
          <w:b/>
          <w:iCs/>
          <w:color w:val="000000" w:themeColor="text1"/>
          <w:kern w:val="32"/>
          <w:szCs w:val="36"/>
        </w:rPr>
      </w:pPr>
      <w:r w:rsidRPr="006F4AE1">
        <w:t xml:space="preserve">The survey also attempted to identify major barriers to embedding a culture of evaluation since the introduction of the Commonwealth Evaluation Policy, with 79 </w:t>
      </w:r>
      <w:r>
        <w:t>entit</w:t>
      </w:r>
      <w:r w:rsidRPr="006F4AE1">
        <w:t xml:space="preserve">ies </w:t>
      </w:r>
      <w:r w:rsidR="00BA55DA">
        <w:t>(86%, n=92)</w:t>
      </w:r>
      <w:r w:rsidRPr="006F4AE1">
        <w:t xml:space="preserve"> providing a response. </w:t>
      </w:r>
      <w:r w:rsidRPr="00115BBF">
        <w:rPr>
          <w:b/>
          <w:color w:val="404040" w:themeColor="text1" w:themeTint="BF"/>
        </w:rPr>
        <w:t>Limited staff time</w:t>
      </w:r>
      <w:r w:rsidRPr="006F4AE1">
        <w:t xml:space="preserve"> was the most common barrier identified</w:t>
      </w:r>
      <w:r w:rsidR="008B5BBE">
        <w:t xml:space="preserve"> (</w:t>
      </w:r>
      <w:r w:rsidR="00C061DF">
        <w:t>56%, n=</w:t>
      </w:r>
      <w:r w:rsidR="00F92103">
        <w:t>79)</w:t>
      </w:r>
      <w:r w:rsidRPr="006F4AE1">
        <w:t xml:space="preserve">, </w:t>
      </w:r>
      <w:r w:rsidR="009A3D51">
        <w:t>followed</w:t>
      </w:r>
      <w:r w:rsidRPr="006F4AE1">
        <w:t xml:space="preserve"> by </w:t>
      </w:r>
      <w:r w:rsidR="009A3D51">
        <w:t>limited knowledge and skills, and insufficient financial resources</w:t>
      </w:r>
      <w:r w:rsidRPr="006F4AE1">
        <w:t>.</w:t>
      </w:r>
    </w:p>
    <w:p w14:paraId="39AD15BC" w14:textId="77777777" w:rsidR="00A26745" w:rsidRDefault="0044523F" w:rsidP="00881308">
      <w:pPr>
        <w:pStyle w:val="ChartMainHeading"/>
      </w:pPr>
      <w:r>
        <w:t>Figure 1</w:t>
      </w:r>
      <w:r w:rsidR="00FE43C3">
        <w:t>6</w:t>
      </w:r>
      <w:r>
        <w:t>: Key barriers and enablers to embedding a culture of evaluation</w:t>
      </w:r>
    </w:p>
    <w:p w14:paraId="7BBB2DFA" w14:textId="6A670B0F" w:rsidR="0073759A" w:rsidRPr="0073759A" w:rsidRDefault="0028157C" w:rsidP="0028157C">
      <w:pPr>
        <w:pStyle w:val="ChartGraphic"/>
      </w:pPr>
      <w:r>
        <w:rPr>
          <w:noProof/>
        </w:rPr>
        <w:drawing>
          <wp:inline distT="0" distB="0" distL="0" distR="0" wp14:anchorId="0E2033B7" wp14:editId="5311EA80">
            <wp:extent cx="5778241" cy="5076825"/>
            <wp:effectExtent l="0" t="0" r="0" b="0"/>
            <wp:docPr id="1888441322" name="Picture 2" descr="Figure 16 illustrates the key enablers and barriers as reported by entities responding to this question. The two least reported enablers are sufficient funding for evaluation (27%), and the existence of in-house evaluation units (34%). The two least reported barriers are access to external evaluators (3%), and evaluation not being linked to agency performance measur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41322" name="Picture 2" descr="Figure 16 illustrates the key enablers and barriers as reported by entities responding to this question. The two least reported enablers are sufficient funding for evaluation (27%), and the existence of in-house evaluation units (34%). The two least reported barriers are access to external evaluators (3%), and evaluation not being linked to agency performance measures (6%)."/>
                    <pic:cNvPicPr/>
                  </pic:nvPicPr>
                  <pic:blipFill>
                    <a:blip r:embed="rId35">
                      <a:extLst>
                        <a:ext uri="{28A0092B-C50C-407E-A947-70E740481C1C}">
                          <a14:useLocalDpi xmlns:a14="http://schemas.microsoft.com/office/drawing/2010/main" val="0"/>
                        </a:ext>
                      </a:extLst>
                    </a:blip>
                    <a:stretch>
                      <a:fillRect/>
                    </a:stretch>
                  </pic:blipFill>
                  <pic:spPr>
                    <a:xfrm>
                      <a:off x="0" y="0"/>
                      <a:ext cx="5786707" cy="5084263"/>
                    </a:xfrm>
                    <a:prstGeom prst="rect">
                      <a:avLst/>
                    </a:prstGeom>
                  </pic:spPr>
                </pic:pic>
              </a:graphicData>
            </a:graphic>
          </wp:inline>
        </w:drawing>
      </w:r>
    </w:p>
    <w:p w14:paraId="1494FA26" w14:textId="7A96D1F8" w:rsidR="0044523F" w:rsidRDefault="0044523F" w:rsidP="00A26745">
      <w:pPr>
        <w:pStyle w:val="ChartGraphic"/>
      </w:pPr>
    </w:p>
    <w:p w14:paraId="070F8225" w14:textId="71DE2B3C" w:rsidR="0044523F" w:rsidRPr="00E73E33" w:rsidRDefault="0044523F" w:rsidP="009B5113">
      <w:pPr>
        <w:spacing w:before="0" w:after="160" w:line="259" w:lineRule="auto"/>
        <w:ind w:left="1440"/>
        <w:rPr>
          <w:rFonts w:ascii="Calibri" w:hAnsi="Calibri" w:cs="Arial"/>
          <w:b/>
          <w:bCs/>
          <w:color w:val="4D7861" w:themeColor="accent2"/>
          <w:kern w:val="32"/>
          <w:sz w:val="44"/>
          <w:szCs w:val="44"/>
        </w:rPr>
        <w:sectPr w:rsidR="0044523F" w:rsidRPr="00E73E33" w:rsidSect="007A42CE">
          <w:headerReference w:type="even" r:id="rId36"/>
          <w:headerReference w:type="default" r:id="rId37"/>
          <w:footerReference w:type="even" r:id="rId38"/>
          <w:footerReference w:type="default" r:id="rId39"/>
          <w:headerReference w:type="first" r:id="rId40"/>
          <w:footerReference w:type="first" r:id="rId41"/>
          <w:pgSz w:w="11906" w:h="16838" w:code="9"/>
          <w:pgMar w:top="1843" w:right="1418" w:bottom="1418" w:left="1418" w:header="709" w:footer="709" w:gutter="0"/>
          <w:pgNumType w:start="1"/>
          <w:cols w:space="708"/>
          <w:docGrid w:linePitch="360"/>
        </w:sectPr>
      </w:pPr>
      <w:r w:rsidRPr="00B52AA7">
        <w:rPr>
          <w:noProof/>
        </w:rPr>
        <w:t xml:space="preserve"> </w:t>
      </w:r>
    </w:p>
    <w:p w14:paraId="79007910" w14:textId="0085BE98" w:rsidR="0044523F" w:rsidRDefault="0044523F" w:rsidP="0044523F">
      <w:pPr>
        <w:pStyle w:val="Heading1"/>
      </w:pPr>
      <w:bookmarkStart w:id="23" w:name="_Toc189820828"/>
      <w:r>
        <w:lastRenderedPageBreak/>
        <w:t xml:space="preserve">Evaluation </w:t>
      </w:r>
      <w:r w:rsidR="00E9648C">
        <w:t>c</w:t>
      </w:r>
      <w:r>
        <w:t xml:space="preserve">apability </w:t>
      </w:r>
      <w:r w:rsidR="00E9648C">
        <w:t>b</w:t>
      </w:r>
      <w:r>
        <w:t>uilding</w:t>
      </w:r>
      <w:bookmarkEnd w:id="23"/>
    </w:p>
    <w:p w14:paraId="775D7870" w14:textId="77777777" w:rsidR="005E3806" w:rsidRDefault="0044523F" w:rsidP="005E3806">
      <w:r>
        <w:t xml:space="preserve">Understanding how entities build evaluation capability and identifying opportunities for improvement at a system level </w:t>
      </w:r>
      <w:r w:rsidR="00E419AA">
        <w:t>are</w:t>
      </w:r>
      <w:r>
        <w:t xml:space="preserve"> essential for ensuring evaluation efforts are sustainable. </w:t>
      </w:r>
    </w:p>
    <w:p w14:paraId="5B5AD02A" w14:textId="53B58FE0" w:rsidR="0044523F" w:rsidRPr="009E12FD" w:rsidRDefault="0044523F" w:rsidP="005E3806">
      <w:r>
        <w:t>Identifying priority areas for the ACE to provide additional support was a key objective of the Survey.</w:t>
      </w:r>
    </w:p>
    <w:tbl>
      <w:tblPr>
        <w:tblW w:w="5000" w:type="pct"/>
        <w:shd w:val="clear" w:color="auto" w:fill="EEEEEE" w:themeFill="background2"/>
        <w:tblCellMar>
          <w:top w:w="227" w:type="dxa"/>
          <w:left w:w="227" w:type="dxa"/>
          <w:bottom w:w="227" w:type="dxa"/>
          <w:right w:w="227" w:type="dxa"/>
        </w:tblCellMar>
        <w:tblLook w:val="01E0" w:firstRow="1" w:lastRow="1" w:firstColumn="1" w:lastColumn="1" w:noHBand="0" w:noVBand="0"/>
      </w:tblPr>
      <w:tblGrid>
        <w:gridCol w:w="9072"/>
      </w:tblGrid>
      <w:tr w:rsidR="00415423" w14:paraId="56AFDF90" w14:textId="77777777">
        <w:tc>
          <w:tcPr>
            <w:tcW w:w="5000" w:type="pct"/>
            <w:shd w:val="clear" w:color="auto" w:fill="EEEEEE" w:themeFill="background2"/>
          </w:tcPr>
          <w:p w14:paraId="6114CB3B" w14:textId="77777777" w:rsidR="00415423" w:rsidRPr="00550511" w:rsidRDefault="00415423">
            <w:pPr>
              <w:pStyle w:val="BoxHeading"/>
            </w:pPr>
            <w:r>
              <w:t>Main findings</w:t>
            </w:r>
          </w:p>
          <w:p w14:paraId="75C58D58" w14:textId="16067600" w:rsidR="00415423" w:rsidRPr="000E3C26" w:rsidRDefault="000F08CF" w:rsidP="005E3806">
            <w:pPr>
              <w:pStyle w:val="Boxbullet"/>
            </w:pPr>
            <w:r>
              <w:t xml:space="preserve">54 </w:t>
            </w:r>
            <w:r w:rsidR="007264C9">
              <w:t xml:space="preserve">entities </w:t>
            </w:r>
            <w:r>
              <w:t>(6</w:t>
            </w:r>
            <w:r w:rsidR="00443C95">
              <w:t>1</w:t>
            </w:r>
            <w:r>
              <w:t>%, n=8</w:t>
            </w:r>
            <w:r w:rsidR="00437F56">
              <w:t>9</w:t>
            </w:r>
            <w:r>
              <w:t>)</w:t>
            </w:r>
            <w:r w:rsidR="007264C9">
              <w:t xml:space="preserve"> indicated that they had engaged in some form of evaluation capability building.</w:t>
            </w:r>
          </w:p>
          <w:p w14:paraId="2209FBE8" w14:textId="3C6ACA6E" w:rsidR="007264C9" w:rsidRPr="000E3C26" w:rsidRDefault="007264C9" w:rsidP="005E3806">
            <w:pPr>
              <w:pStyle w:val="Boxbullet"/>
            </w:pPr>
            <w:r>
              <w:t>A smaller proportion</w:t>
            </w:r>
            <w:r w:rsidR="004412D9">
              <w:t>,</w:t>
            </w:r>
            <w:r>
              <w:t xml:space="preserve"> </w:t>
            </w:r>
            <w:r w:rsidR="004412D9">
              <w:t>19 entities</w:t>
            </w:r>
            <w:r>
              <w:t xml:space="preserve"> (2</w:t>
            </w:r>
            <w:r w:rsidR="00865840">
              <w:t>2</w:t>
            </w:r>
            <w:r>
              <w:t>%</w:t>
            </w:r>
            <w:r w:rsidR="004412D9">
              <w:t>, n=</w:t>
            </w:r>
            <w:r w:rsidR="006777F1">
              <w:t>88</w:t>
            </w:r>
            <w:r>
              <w:t>) indicated that they had engaged in capability building specific to i</w:t>
            </w:r>
            <w:r w:rsidR="0051605F">
              <w:t>mpact evaluation</w:t>
            </w:r>
            <w:r w:rsidR="00250A64">
              <w:t>.</w:t>
            </w:r>
            <w:r w:rsidR="00E419AA">
              <w:t xml:space="preserve"> These were predominantly large entities.</w:t>
            </w:r>
          </w:p>
          <w:p w14:paraId="14561911" w14:textId="1480882B" w:rsidR="00250A64" w:rsidRPr="000E3C26" w:rsidRDefault="00E32FD8" w:rsidP="005E3806">
            <w:pPr>
              <w:pStyle w:val="Boxbullet"/>
            </w:pPr>
            <w:r>
              <w:t>31 entities</w:t>
            </w:r>
            <w:r w:rsidR="00802BE0">
              <w:t xml:space="preserve"> (</w:t>
            </w:r>
            <w:r w:rsidR="008B553D">
              <w:t>35%, n=89</w:t>
            </w:r>
            <w:r>
              <w:t>) indicated that they had established processes</w:t>
            </w:r>
            <w:r w:rsidR="00512F94">
              <w:t xml:space="preserve"> </w:t>
            </w:r>
            <w:r w:rsidR="00512F94" w:rsidRPr="00512F94">
              <w:t>to ensure evaluations are culturally appropriate with respect to Aboriginal and Torres Strait Islander people and communities</w:t>
            </w:r>
            <w:r w:rsidR="00512F94">
              <w:t>. This was higher</w:t>
            </w:r>
            <w:r w:rsidR="000A6369">
              <w:t xml:space="preserve">, </w:t>
            </w:r>
            <w:r w:rsidR="001439EF">
              <w:t xml:space="preserve">closer to </w:t>
            </w:r>
            <w:r w:rsidR="00417CED">
              <w:t>50%</w:t>
            </w:r>
            <w:r w:rsidR="00512F94">
              <w:t xml:space="preserve"> for large entities (</w:t>
            </w:r>
            <w:r w:rsidR="001439EF">
              <w:t>16</w:t>
            </w:r>
            <w:r w:rsidR="00DE2AB6">
              <w:t>, n=34</w:t>
            </w:r>
            <w:r w:rsidR="00512F94">
              <w:t>)</w:t>
            </w:r>
          </w:p>
          <w:p w14:paraId="29C81B57" w14:textId="5900842C" w:rsidR="00415423" w:rsidRPr="007B34A2" w:rsidRDefault="00AB1B4D" w:rsidP="005E3806">
            <w:pPr>
              <w:pStyle w:val="Boxbullet"/>
            </w:pPr>
            <w:r>
              <w:t>19</w:t>
            </w:r>
            <w:r w:rsidR="003747C1">
              <w:t xml:space="preserve"> </w:t>
            </w:r>
            <w:r w:rsidR="003E06A5">
              <w:t xml:space="preserve">entities </w:t>
            </w:r>
            <w:r>
              <w:t>(21%, n=</w:t>
            </w:r>
            <w:r w:rsidR="00806668">
              <w:t>90)</w:t>
            </w:r>
            <w:r w:rsidR="003E06A5">
              <w:t xml:space="preserve"> reported having </w:t>
            </w:r>
            <w:r w:rsidR="00817B7B">
              <w:t>an</w:t>
            </w:r>
            <w:r w:rsidR="007B34A2">
              <w:t xml:space="preserve"> established ethics review process.</w:t>
            </w:r>
          </w:p>
          <w:p w14:paraId="36CC4CED" w14:textId="60F8304A" w:rsidR="00415423" w:rsidRPr="00BA123B" w:rsidRDefault="00F240C9" w:rsidP="005E3806">
            <w:pPr>
              <w:pStyle w:val="Boxbullet"/>
            </w:pPr>
            <w:r>
              <w:t>4</w:t>
            </w:r>
            <w:r w:rsidR="00E911EE">
              <w:t>8</w:t>
            </w:r>
            <w:r w:rsidRPr="009A399B">
              <w:t xml:space="preserve"> </w:t>
            </w:r>
            <w:r w:rsidR="00A238CB" w:rsidRPr="009A399B">
              <w:t>entities (62%</w:t>
            </w:r>
            <w:r>
              <w:t>, n=</w:t>
            </w:r>
            <w:r w:rsidR="00E911EE">
              <w:t>77</w:t>
            </w:r>
            <w:r w:rsidR="00A238CB" w:rsidRPr="009A399B">
              <w:t>) indicated that enhanced guidance and tools</w:t>
            </w:r>
            <w:r w:rsidR="00D202C9" w:rsidRPr="009A399B">
              <w:t xml:space="preserve"> </w:t>
            </w:r>
            <w:r w:rsidR="009A399B" w:rsidRPr="009A399B">
              <w:t>from the ACE would assist them in delivering on the intent of the Commonwealth Evaluation Policy.</w:t>
            </w:r>
          </w:p>
        </w:tc>
      </w:tr>
    </w:tbl>
    <w:p w14:paraId="45F0D098" w14:textId="77777777" w:rsidR="0044523F" w:rsidRDefault="0044523F" w:rsidP="0044523F">
      <w:pPr>
        <w:pStyle w:val="Heading2"/>
      </w:pPr>
      <w:bookmarkStart w:id="24" w:name="_Toc189820829"/>
      <w:r w:rsidRPr="00923AE4">
        <w:t>Capa</w:t>
      </w:r>
      <w:r>
        <w:t>bil</w:t>
      </w:r>
      <w:r w:rsidRPr="00923AE4">
        <w:t>ity building</w:t>
      </w:r>
      <w:bookmarkEnd w:id="24"/>
    </w:p>
    <w:p w14:paraId="31691E92" w14:textId="1FD2B30E" w:rsidR="00E73435" w:rsidRDefault="00086726" w:rsidP="007A42CE">
      <w:r>
        <w:t>Most</w:t>
      </w:r>
      <w:r w:rsidR="00101F92" w:rsidRPr="00101F92">
        <w:t xml:space="preserve"> </w:t>
      </w:r>
      <w:r w:rsidR="00101F92" w:rsidRPr="005E3806">
        <w:rPr>
          <w:rStyle w:val="Strong"/>
        </w:rPr>
        <w:t>in</w:t>
      </w:r>
      <w:r w:rsidR="00AD4DCC" w:rsidRPr="005E3806">
        <w:rPr>
          <w:rStyle w:val="Strong"/>
        </w:rPr>
        <w:noBreakHyphen/>
      </w:r>
      <w:r w:rsidR="00101F92" w:rsidRPr="005E3806">
        <w:rPr>
          <w:rStyle w:val="Strong"/>
        </w:rPr>
        <w:t xml:space="preserve">house </w:t>
      </w:r>
      <w:r w:rsidR="00DE7A95" w:rsidRPr="005E3806">
        <w:rPr>
          <w:rStyle w:val="Strong"/>
        </w:rPr>
        <w:t xml:space="preserve">evaluation </w:t>
      </w:r>
      <w:r w:rsidR="00101F92" w:rsidRPr="005E3806">
        <w:rPr>
          <w:rStyle w:val="Strong"/>
        </w:rPr>
        <w:t>units</w:t>
      </w:r>
      <w:r w:rsidR="00101F92" w:rsidRPr="00101F92">
        <w:t xml:space="preserve"> </w:t>
      </w:r>
      <w:r w:rsidR="00101F92">
        <w:t>(</w:t>
      </w:r>
      <w:r w:rsidR="00CD4F11">
        <w:t>23 entities</w:t>
      </w:r>
      <w:r w:rsidR="00DE7A95">
        <w:t xml:space="preserve">, 82%, </w:t>
      </w:r>
      <w:r w:rsidR="00101F92">
        <w:t xml:space="preserve">n=28) </w:t>
      </w:r>
      <w:r w:rsidR="00101F92" w:rsidRPr="00101F92">
        <w:t xml:space="preserve">reported </w:t>
      </w:r>
      <w:r w:rsidR="00DE7A95">
        <w:t>delivering</w:t>
      </w:r>
      <w:r w:rsidR="00101F92" w:rsidRPr="00101F92">
        <w:t xml:space="preserve"> evaluation capability building</w:t>
      </w:r>
      <w:r w:rsidR="00DE7A95">
        <w:t xml:space="preserve"> initiatives within their organisation. </w:t>
      </w:r>
      <w:r w:rsidR="00E73435">
        <w:t>Other services provided by in</w:t>
      </w:r>
      <w:r w:rsidR="00AD4DCC">
        <w:noBreakHyphen/>
      </w:r>
      <w:r w:rsidR="00E73435">
        <w:t>house evaluation units to help build evaluation capability and good practice at an entity</w:t>
      </w:r>
      <w:r w:rsidR="00AD4DCC">
        <w:noBreakHyphen/>
      </w:r>
      <w:r w:rsidR="00E73435">
        <w:t>level included: advisory services (89%)</w:t>
      </w:r>
      <w:r w:rsidR="00E73435" w:rsidDel="00BE1EEB">
        <w:t>,</w:t>
      </w:r>
      <w:r w:rsidR="00E73435">
        <w:t xml:space="preserve"> </w:t>
      </w:r>
      <w:r w:rsidR="00E30788">
        <w:t xml:space="preserve">delivering evaluations </w:t>
      </w:r>
      <w:r w:rsidR="00225421">
        <w:t>(7</w:t>
      </w:r>
      <w:r w:rsidR="006B403D">
        <w:t>1</w:t>
      </w:r>
      <w:r w:rsidR="00225421">
        <w:t>%)</w:t>
      </w:r>
      <w:r w:rsidR="00225421" w:rsidDel="00BE1EEB">
        <w:t>,</w:t>
      </w:r>
      <w:r w:rsidR="00225421">
        <w:t xml:space="preserve"> </w:t>
      </w:r>
      <w:r w:rsidR="00E73435">
        <w:t>commissioning (71%)</w:t>
      </w:r>
      <w:r w:rsidR="00E73435" w:rsidDel="00BE1EEB">
        <w:t>,</w:t>
      </w:r>
      <w:r w:rsidR="00E73435">
        <w:t xml:space="preserve"> and evidence synthesis and translation (64%).</w:t>
      </w:r>
    </w:p>
    <w:p w14:paraId="260F270E" w14:textId="2B162264" w:rsidR="00B17B03" w:rsidRDefault="0044523F" w:rsidP="0044523F">
      <w:r>
        <w:t>Among the</w:t>
      </w:r>
      <w:r w:rsidRPr="00992271">
        <w:t xml:space="preserve"> </w:t>
      </w:r>
      <w:r w:rsidRPr="005E3806">
        <w:rPr>
          <w:rStyle w:val="Strong"/>
        </w:rPr>
        <w:t>entities</w:t>
      </w:r>
      <w:r w:rsidRPr="00992271">
        <w:t xml:space="preserve"> </w:t>
      </w:r>
      <w:r>
        <w:t>who responded to</w:t>
      </w:r>
      <w:r w:rsidR="00086726">
        <w:t xml:space="preserve"> </w:t>
      </w:r>
      <w:r>
        <w:t xml:space="preserve">questions about capability building, </w:t>
      </w:r>
      <w:r w:rsidR="00F144DF">
        <w:t xml:space="preserve">more than half </w:t>
      </w:r>
      <w:r w:rsidRPr="00992271">
        <w:t xml:space="preserve">indicated that they had engaged in some form of </w:t>
      </w:r>
      <w:r>
        <w:t xml:space="preserve">evaluation </w:t>
      </w:r>
      <w:r w:rsidRPr="00992271">
        <w:t>capability building</w:t>
      </w:r>
      <w:r w:rsidR="001B48AA">
        <w:t xml:space="preserve"> </w:t>
      </w:r>
      <w:r w:rsidR="00F91CFF">
        <w:t xml:space="preserve">in 2023–24 </w:t>
      </w:r>
      <w:r w:rsidR="001B48AA">
        <w:t>(</w:t>
      </w:r>
      <w:r w:rsidR="001A10CD">
        <w:t>5</w:t>
      </w:r>
      <w:r w:rsidR="00437F56">
        <w:t>4</w:t>
      </w:r>
      <w:r w:rsidR="001A10CD">
        <w:t xml:space="preserve"> entities</w:t>
      </w:r>
      <w:r w:rsidR="008A1228">
        <w:t>, 6</w:t>
      </w:r>
      <w:r w:rsidR="00437F56">
        <w:t>1</w:t>
      </w:r>
      <w:r w:rsidR="008A1228">
        <w:t>%</w:t>
      </w:r>
      <w:r w:rsidR="00F144DF">
        <w:t>,</w:t>
      </w:r>
      <w:r w:rsidR="0087541F">
        <w:t> </w:t>
      </w:r>
      <w:r w:rsidR="00F144DF">
        <w:t>n=8</w:t>
      </w:r>
      <w:r w:rsidR="00437F56">
        <w:t>9</w:t>
      </w:r>
      <w:r w:rsidR="00F144DF">
        <w:t>)</w:t>
      </w:r>
      <w:r w:rsidR="00F91CFF">
        <w:t>.</w:t>
      </w:r>
      <w:r w:rsidR="00C955EE">
        <w:t xml:space="preserve"> </w:t>
      </w:r>
      <w:r w:rsidR="00322CAC">
        <w:t>I</w:t>
      </w:r>
      <w:r>
        <w:t>nter</w:t>
      </w:r>
      <w:r w:rsidR="00AD4DCC">
        <w:noBreakHyphen/>
      </w:r>
      <w:r>
        <w:t xml:space="preserve">entity knowledge exchange </w:t>
      </w:r>
      <w:r w:rsidR="00E02B0A">
        <w:t>was</w:t>
      </w:r>
      <w:r>
        <w:t xml:space="preserve"> the most common </w:t>
      </w:r>
      <w:r w:rsidR="00E02B0A">
        <w:t xml:space="preserve">capability building </w:t>
      </w:r>
      <w:r>
        <w:t>approach</w:t>
      </w:r>
      <w:r w:rsidR="004F111B">
        <w:t xml:space="preserve"> </w:t>
      </w:r>
      <w:r w:rsidR="00E02B0A">
        <w:t xml:space="preserve">reported </w:t>
      </w:r>
      <w:r w:rsidR="00497BD1">
        <w:t>(42 entities</w:t>
      </w:r>
      <w:r w:rsidR="00C64B1A">
        <w:t xml:space="preserve">, </w:t>
      </w:r>
      <w:r w:rsidR="004B2F64">
        <w:t>47%, n=</w:t>
      </w:r>
      <w:r w:rsidR="00E552BD">
        <w:t>88</w:t>
      </w:r>
      <w:r w:rsidR="00497BD1">
        <w:t>)</w:t>
      </w:r>
      <w:r>
        <w:t xml:space="preserve">. </w:t>
      </w:r>
      <w:r w:rsidR="00B17B03">
        <w:t>Other approaches included engaging with written guidance materials</w:t>
      </w:r>
      <w:r w:rsidR="00B17B03" w:rsidDel="00C36862">
        <w:t>,</w:t>
      </w:r>
      <w:r w:rsidR="00B17B03">
        <w:t xml:space="preserve"> practical learning</w:t>
      </w:r>
      <w:r w:rsidR="00B17B03" w:rsidDel="00C36862">
        <w:t>,</w:t>
      </w:r>
      <w:r w:rsidR="00B17B03">
        <w:t xml:space="preserve"> attending Commonwealth Evaluation Community of Practice events</w:t>
      </w:r>
      <w:r w:rsidR="006A7D09">
        <w:t xml:space="preserve"> delivered by the ACE</w:t>
      </w:r>
      <w:r w:rsidR="00B17B03" w:rsidDel="00C36862">
        <w:t>,</w:t>
      </w:r>
      <w:r w:rsidR="00B17B03">
        <w:t xml:space="preserve"> and training (all identified by around 30% of entities</w:t>
      </w:r>
      <w:r w:rsidR="001714E3">
        <w:t>; Figure 17)</w:t>
      </w:r>
      <w:r w:rsidR="00B17B03">
        <w:t>. 2</w:t>
      </w:r>
      <w:r w:rsidR="00865840">
        <w:t>2</w:t>
      </w:r>
      <w:r w:rsidR="00B17B03">
        <w:t xml:space="preserve">% of entities reported engaging in capability building initiatives specific to impact evaluation during 2023–24. </w:t>
      </w:r>
    </w:p>
    <w:p w14:paraId="271F0061" w14:textId="312033D5" w:rsidR="0044523F" w:rsidRDefault="0044523F" w:rsidP="00881308">
      <w:pPr>
        <w:pStyle w:val="ChartMainHeading"/>
      </w:pPr>
      <w:r>
        <w:lastRenderedPageBreak/>
        <w:t>Figure 1</w:t>
      </w:r>
      <w:r w:rsidR="00FE43C3">
        <w:t>7</w:t>
      </w:r>
      <w:r>
        <w:t>: Key evaluation capability building activities</w:t>
      </w:r>
    </w:p>
    <w:p w14:paraId="6B5E4780" w14:textId="77777777" w:rsidR="0044523F" w:rsidRPr="00923AE4" w:rsidRDefault="0044523F" w:rsidP="005E3806">
      <w:pPr>
        <w:pStyle w:val="ChartGraphic"/>
      </w:pPr>
      <w:r>
        <w:rPr>
          <w:noProof/>
        </w:rPr>
        <w:drawing>
          <wp:inline distT="0" distB="0" distL="0" distR="0" wp14:anchorId="56A19AFE" wp14:editId="6718465D">
            <wp:extent cx="5760720" cy="4987636"/>
            <wp:effectExtent l="0" t="0" r="0" b="0"/>
            <wp:docPr id="1438582774" name="Chart 1" descr="Figure 17 shows the capability building activities that entities engaged in 2023-24. ">
              <a:extLst xmlns:a="http://schemas.openxmlformats.org/drawingml/2006/main">
                <a:ext uri="{FF2B5EF4-FFF2-40B4-BE49-F238E27FC236}">
                  <a16:creationId xmlns:a16="http://schemas.microsoft.com/office/drawing/2014/main" id="{5AD200F8-5F99-40D1-B547-1DF068BA9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E9F788" w14:textId="77777777" w:rsidR="0044523F" w:rsidRDefault="0044523F" w:rsidP="0044523F">
      <w:pPr>
        <w:pStyle w:val="Heading2"/>
      </w:pPr>
      <w:bookmarkStart w:id="25" w:name="_Toc189820830"/>
      <w:r>
        <w:t>Culturally appropriate and ethical evaluation</w:t>
      </w:r>
      <w:bookmarkEnd w:id="25"/>
    </w:p>
    <w:p w14:paraId="1CC9E3F7" w14:textId="7F45070C" w:rsidR="0044523F" w:rsidRDefault="0044523F" w:rsidP="0044523F">
      <w:r>
        <w:t xml:space="preserve">31 entities reported that they had established </w:t>
      </w:r>
      <w:r w:rsidRPr="00181831">
        <w:t xml:space="preserve">processes to ensure </w:t>
      </w:r>
      <w:r>
        <w:t xml:space="preserve">that </w:t>
      </w:r>
      <w:r w:rsidRPr="00181831">
        <w:t>evaluations are culturally appropriate with respect to Aboriginal and Torres Strait Islander people and communities</w:t>
      </w:r>
      <w:r w:rsidR="00C07F21">
        <w:t xml:space="preserve"> (</w:t>
      </w:r>
      <w:r w:rsidR="000037AC">
        <w:t>35%, n=</w:t>
      </w:r>
      <w:r w:rsidR="00E34B26">
        <w:t>89</w:t>
      </w:r>
      <w:r w:rsidR="001714E3">
        <w:t>; Figure 18</w:t>
      </w:r>
      <w:r w:rsidR="00E34B26">
        <w:t>)</w:t>
      </w:r>
      <w:r>
        <w:t xml:space="preserve">. </w:t>
      </w:r>
      <w:r w:rsidR="00781617">
        <w:t>16</w:t>
      </w:r>
      <w:r>
        <w:t xml:space="preserve"> large entities</w:t>
      </w:r>
      <w:r w:rsidR="006819C3">
        <w:t xml:space="preserve"> </w:t>
      </w:r>
      <w:r w:rsidR="006A62D8">
        <w:t xml:space="preserve">reported </w:t>
      </w:r>
      <w:r w:rsidR="001714E3">
        <w:t xml:space="preserve">having such </w:t>
      </w:r>
      <w:r w:rsidR="006A62D8">
        <w:t>processes</w:t>
      </w:r>
      <w:r w:rsidR="00BD3BBA">
        <w:t xml:space="preserve"> (</w:t>
      </w:r>
      <w:r w:rsidR="007406EC">
        <w:t>4</w:t>
      </w:r>
      <w:r w:rsidR="001E530E">
        <w:t>8</w:t>
      </w:r>
      <w:r w:rsidR="007406EC">
        <w:t>%, n=</w:t>
      </w:r>
      <w:r w:rsidR="00C90226">
        <w:t>33)</w:t>
      </w:r>
      <w:r>
        <w:t>.</w:t>
      </w:r>
      <w:r w:rsidRPr="00246AD1">
        <w:rPr>
          <w:noProof/>
        </w:rPr>
        <w:t xml:space="preserve"> </w:t>
      </w:r>
      <w:r w:rsidR="00542810" w:rsidRPr="00AB5AF4">
        <w:t xml:space="preserve">The most common processes that agencies identified </w:t>
      </w:r>
      <w:r w:rsidR="00933B50">
        <w:t>for this purpose</w:t>
      </w:r>
      <w:r w:rsidR="00542810" w:rsidRPr="00AB5AF4">
        <w:t xml:space="preserve"> included: centring Aboriginal and Torres Strait Islander people, perspectives, priorities, and knowledges in all stages of evaluation; and working in partnership with Aboriginal and Torres Strait Islander people on evaluation.</w:t>
      </w:r>
    </w:p>
    <w:p w14:paraId="1FDE7731" w14:textId="50388DFB" w:rsidR="00BA2808" w:rsidRDefault="00945DB1" w:rsidP="0044523F">
      <w:r>
        <w:t xml:space="preserve">Where entities provided additional information </w:t>
      </w:r>
      <w:r w:rsidR="00816749">
        <w:t xml:space="preserve">(in open text fields) </w:t>
      </w:r>
      <w:r>
        <w:t xml:space="preserve">in relation to </w:t>
      </w:r>
      <w:r w:rsidR="00E11A98">
        <w:t>why established processes were not in place at an entity</w:t>
      </w:r>
      <w:r w:rsidR="00AD4DCC">
        <w:noBreakHyphen/>
      </w:r>
      <w:r w:rsidR="00E11A98">
        <w:t xml:space="preserve">level, some </w:t>
      </w:r>
      <w:r w:rsidR="00816749">
        <w:t xml:space="preserve">cited </w:t>
      </w:r>
      <w:r w:rsidR="006A4E9B" w:rsidRPr="00BC5C94">
        <w:t>adherence</w:t>
      </w:r>
      <w:r w:rsidR="006A4E9B">
        <w:t xml:space="preserve"> to related whole</w:t>
      </w:r>
      <w:r w:rsidR="00AD4DCC">
        <w:noBreakHyphen/>
      </w:r>
      <w:r w:rsidR="006A4E9B">
        <w:t>of</w:t>
      </w:r>
      <w:r w:rsidR="00AD4DCC">
        <w:noBreakHyphen/>
      </w:r>
      <w:r w:rsidR="006A4E9B">
        <w:t>government frameworks in place of entity</w:t>
      </w:r>
      <w:r w:rsidR="00AD4DCC">
        <w:noBreakHyphen/>
      </w:r>
      <w:r w:rsidR="006A4E9B">
        <w:t>specific processes.</w:t>
      </w:r>
    </w:p>
    <w:p w14:paraId="5131E4ED" w14:textId="1D98D87D" w:rsidR="00417637" w:rsidRDefault="00423337" w:rsidP="00C65007">
      <w:pPr>
        <w:pStyle w:val="Dash"/>
        <w:numPr>
          <w:ilvl w:val="0"/>
          <w:numId w:val="0"/>
        </w:numPr>
      </w:pPr>
      <w:r>
        <w:t>Entities</w:t>
      </w:r>
      <w:r w:rsidR="000A1229" w:rsidRPr="00AB5AF4">
        <w:t xml:space="preserve"> reported </w:t>
      </w:r>
      <w:r>
        <w:t>that it would be helpful if the Commonwealth Evaluation Toolkit</w:t>
      </w:r>
      <w:r w:rsidR="000A1229" w:rsidRPr="00AB5AF4">
        <w:t xml:space="preserve"> included</w:t>
      </w:r>
      <w:r w:rsidR="000A1229">
        <w:t xml:space="preserve"> </w:t>
      </w:r>
      <w:r w:rsidR="00C65007" w:rsidRPr="00EB4E9D">
        <w:t>practical advice and guidance about key considerations for culturally appropriate evaluation</w:t>
      </w:r>
      <w:r w:rsidR="00C65007">
        <w:t xml:space="preserve"> in the evaluation toolkit</w:t>
      </w:r>
      <w:r w:rsidR="008B14B8">
        <w:t xml:space="preserve">. </w:t>
      </w:r>
    </w:p>
    <w:p w14:paraId="37BB40B1" w14:textId="33592912" w:rsidR="000A1229" w:rsidRDefault="00694749" w:rsidP="00230A68">
      <w:pPr>
        <w:pStyle w:val="Dash"/>
        <w:numPr>
          <w:ilvl w:val="0"/>
          <w:numId w:val="0"/>
        </w:numPr>
      </w:pPr>
      <w:r>
        <w:t xml:space="preserve">The most frequently used resources to support </w:t>
      </w:r>
      <w:r w:rsidRPr="00445D7D">
        <w:t xml:space="preserve">culturally appropriate </w:t>
      </w:r>
      <w:r w:rsidR="00423337">
        <w:t xml:space="preserve">evaluations </w:t>
      </w:r>
      <w:proofErr w:type="gramStart"/>
      <w:r>
        <w:t>were</w:t>
      </w:r>
      <w:r w:rsidR="00230A68">
        <w:t>:</w:t>
      </w:r>
      <w:proofErr w:type="gramEnd"/>
      <w:r>
        <w:t xml:space="preserve"> </w:t>
      </w:r>
      <w:r w:rsidR="00C45EFF">
        <w:t xml:space="preserve">the </w:t>
      </w:r>
      <w:r w:rsidR="00522A0E">
        <w:t>National</w:t>
      </w:r>
      <w:r w:rsidR="005E3806">
        <w:t> </w:t>
      </w:r>
      <w:r w:rsidR="00522A0E">
        <w:t>Agreement on Closing the Gap Priority Reforms</w:t>
      </w:r>
      <w:r w:rsidR="00230A68" w:rsidDel="00C36862">
        <w:t>,</w:t>
      </w:r>
      <w:r w:rsidR="00522A0E">
        <w:t xml:space="preserve"> and </w:t>
      </w:r>
      <w:r w:rsidR="00AE34FD">
        <w:t>the AIATSIS Code of Ethics for Aboriginal and Torres Strait Islander Research.</w:t>
      </w:r>
    </w:p>
    <w:p w14:paraId="544647AA" w14:textId="549B33D0" w:rsidR="005E3806" w:rsidRDefault="0044523F" w:rsidP="00881308">
      <w:pPr>
        <w:pStyle w:val="ChartMainHeading"/>
      </w:pPr>
      <w:r>
        <w:lastRenderedPageBreak/>
        <w:t xml:space="preserve">Figure </w:t>
      </w:r>
      <w:r w:rsidR="006747B4">
        <w:t>1</w:t>
      </w:r>
      <w:r w:rsidR="00FE43C3">
        <w:t>8</w:t>
      </w:r>
      <w:r>
        <w:t xml:space="preserve">: Processes </w:t>
      </w:r>
      <w:r w:rsidR="007E0744">
        <w:t xml:space="preserve">established </w:t>
      </w:r>
      <w:r>
        <w:t>to ensure culturally appropriate evaluation</w:t>
      </w:r>
      <w:r w:rsidR="00CD25DC">
        <w:t>s</w:t>
      </w:r>
      <w:r w:rsidR="007E0744">
        <w:t xml:space="preserve"> with respect to Aboriginal and Torres Strait Islander people and communities</w:t>
      </w:r>
    </w:p>
    <w:p w14:paraId="22357B0A" w14:textId="52B34E13" w:rsidR="0071202C" w:rsidRPr="0071202C" w:rsidRDefault="003D0D65" w:rsidP="003D0D65">
      <w:r w:rsidRPr="003D0D65">
        <w:rPr>
          <w:noProof/>
        </w:rPr>
        <w:drawing>
          <wp:inline distT="0" distB="0" distL="0" distR="0" wp14:anchorId="56D8CB65" wp14:editId="20D50EEA">
            <wp:extent cx="5833745" cy="3980180"/>
            <wp:effectExtent l="0" t="0" r="0" b="1270"/>
            <wp:docPr id="51645230" name="Picture 1" descr="Figure 18 shows the proportion of entities with established processes to ensure culturally appropriate evaluations, and breaks it up by entity size. 35% entities which responded to this question indicated that they have an established process. This proportion was higher for large entities (48%), but lower for medium entities (31%), small entities (29%) and micro entiti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5230" name="Picture 1" descr="Figure 18 shows the proportion of entities with established processes to ensure culturally appropriate evaluations, and breaks it up by entity size. 35% entities which responded to this question indicated that they have an established process. This proportion was higher for large entities (48%), but lower for medium entities (31%), small entities (29%) and micro entities (2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968" t="7524"/>
                    <a:stretch/>
                  </pic:blipFill>
                  <pic:spPr bwMode="auto">
                    <a:xfrm>
                      <a:off x="0" y="0"/>
                      <a:ext cx="5833745" cy="3980180"/>
                    </a:xfrm>
                    <a:prstGeom prst="rect">
                      <a:avLst/>
                    </a:prstGeom>
                    <a:noFill/>
                    <a:ln>
                      <a:noFill/>
                    </a:ln>
                    <a:extLst>
                      <a:ext uri="{53640926-AAD7-44D8-BBD7-CCE9431645EC}">
                        <a14:shadowObscured xmlns:a14="http://schemas.microsoft.com/office/drawing/2010/main"/>
                      </a:ext>
                    </a:extLst>
                  </pic:spPr>
                </pic:pic>
              </a:graphicData>
            </a:graphic>
          </wp:inline>
        </w:drawing>
      </w:r>
    </w:p>
    <w:p w14:paraId="4B07ECCE" w14:textId="77777777" w:rsidR="0044523F" w:rsidRDefault="0044523F" w:rsidP="0044523F">
      <w:pPr>
        <w:pStyle w:val="Heading3"/>
      </w:pPr>
      <w:r>
        <w:t>Ethical evaluation</w:t>
      </w:r>
    </w:p>
    <w:p w14:paraId="50454611" w14:textId="6BC5CE3E" w:rsidR="0044523F" w:rsidRPr="00054C33" w:rsidRDefault="0044523F" w:rsidP="0044523F">
      <w:r>
        <w:t xml:space="preserve">21% </w:t>
      </w:r>
      <w:r w:rsidRPr="000C4A70">
        <w:t xml:space="preserve">entities reported </w:t>
      </w:r>
      <w:r>
        <w:t>having an established ethics review process (</w:t>
      </w:r>
      <w:r w:rsidR="001F470D">
        <w:t>19 entities,</w:t>
      </w:r>
      <w:r w:rsidR="00F752A9">
        <w:t xml:space="preserve"> </w:t>
      </w:r>
      <w:r>
        <w:t>n=90)</w:t>
      </w:r>
      <w:r w:rsidRPr="000C4A70">
        <w:t xml:space="preserve">. </w:t>
      </w:r>
      <w:r w:rsidR="00D96E91">
        <w:t xml:space="preserve">This </w:t>
      </w:r>
      <w:r>
        <w:t xml:space="preserve">proportion </w:t>
      </w:r>
      <w:r w:rsidR="00D96E91">
        <w:t xml:space="preserve">was higher among </w:t>
      </w:r>
      <w:r>
        <w:t>large entities</w:t>
      </w:r>
      <w:r w:rsidR="00D96E91">
        <w:t xml:space="preserve">, with </w:t>
      </w:r>
      <w:r w:rsidR="00D6065A">
        <w:t>33</w:t>
      </w:r>
      <w:r w:rsidR="00D96E91">
        <w:t>%</w:t>
      </w:r>
      <w:r>
        <w:t xml:space="preserve"> report</w:t>
      </w:r>
      <w:r w:rsidR="00D96E91">
        <w:t>ing</w:t>
      </w:r>
      <w:r>
        <w:t xml:space="preserve"> ethics review processes</w:t>
      </w:r>
      <w:r w:rsidR="00F752A9">
        <w:t xml:space="preserve"> </w:t>
      </w:r>
      <w:r w:rsidR="00C45EFE">
        <w:t>(1</w:t>
      </w:r>
      <w:r w:rsidR="00D6065A">
        <w:t>1</w:t>
      </w:r>
      <w:r w:rsidR="00C45EFE">
        <w:t xml:space="preserve"> entities, n=3</w:t>
      </w:r>
      <w:r w:rsidR="00F5670F">
        <w:t>3)</w:t>
      </w:r>
      <w:r>
        <w:t xml:space="preserve">, </w:t>
      </w:r>
      <w:r w:rsidR="00632C62">
        <w:t xml:space="preserve">while </w:t>
      </w:r>
      <w:r w:rsidR="00F164B5">
        <w:t>only one</w:t>
      </w:r>
      <w:r>
        <w:t xml:space="preserve"> micro</w:t>
      </w:r>
      <w:r w:rsidR="00AD4DCC">
        <w:noBreakHyphen/>
      </w:r>
      <w:r>
        <w:t>sized entit</w:t>
      </w:r>
      <w:r w:rsidR="00F164B5">
        <w:t>y</w:t>
      </w:r>
      <w:r>
        <w:t xml:space="preserve"> report</w:t>
      </w:r>
      <w:r w:rsidR="00632C62">
        <w:t>ed</w:t>
      </w:r>
      <w:r>
        <w:t xml:space="preserve"> that they had </w:t>
      </w:r>
      <w:r w:rsidR="007E0744">
        <w:t xml:space="preserve">an </w:t>
      </w:r>
      <w:r>
        <w:t>ethics review process in place</w:t>
      </w:r>
      <w:r w:rsidR="00907410">
        <w:t xml:space="preserve"> (</w:t>
      </w:r>
      <w:r w:rsidR="004E0AF9">
        <w:t>n=</w:t>
      </w:r>
      <w:r w:rsidR="00C07F21">
        <w:t>23</w:t>
      </w:r>
      <w:r w:rsidR="007E0744">
        <w:t>; Figure 19</w:t>
      </w:r>
      <w:r w:rsidR="00C07F21">
        <w:t>)</w:t>
      </w:r>
      <w:r>
        <w:t>.</w:t>
      </w:r>
    </w:p>
    <w:p w14:paraId="35760FC2" w14:textId="190463F1" w:rsidR="0067351D" w:rsidRPr="00054C33" w:rsidRDefault="007E0744" w:rsidP="0044523F">
      <w:r>
        <w:t>There were 71 responding ent</w:t>
      </w:r>
      <w:r w:rsidR="00B8623C">
        <w:t xml:space="preserve">ities </w:t>
      </w:r>
      <w:r w:rsidR="00783F6D">
        <w:t>without</w:t>
      </w:r>
      <w:r w:rsidR="00B8623C">
        <w:t xml:space="preserve"> an established ethics review process</w:t>
      </w:r>
      <w:r w:rsidR="00577352">
        <w:t>. Of these, 59 res</w:t>
      </w:r>
      <w:r w:rsidR="00367984">
        <w:t>ponded to the follow</w:t>
      </w:r>
      <w:r w:rsidR="00AD4DCC">
        <w:noBreakHyphen/>
      </w:r>
      <w:r w:rsidR="00367984">
        <w:t xml:space="preserve">up question </w:t>
      </w:r>
      <w:r w:rsidR="008937FC">
        <w:t>about</w:t>
      </w:r>
      <w:r w:rsidR="00217665">
        <w:t xml:space="preserve"> the</w:t>
      </w:r>
      <w:r w:rsidR="001A3DBA">
        <w:t>ir</w:t>
      </w:r>
      <w:r w:rsidR="00217665">
        <w:t xml:space="preserve"> appro</w:t>
      </w:r>
      <w:r w:rsidR="00783F6D">
        <w:t xml:space="preserve">aches to </w:t>
      </w:r>
      <w:r w:rsidR="001A3DBA">
        <w:t>as</w:t>
      </w:r>
      <w:r w:rsidR="005E66D7">
        <w:t>sure ethical evaluation</w:t>
      </w:r>
      <w:r w:rsidR="001A3DBA">
        <w:t xml:space="preserve"> practice</w:t>
      </w:r>
      <w:r w:rsidR="005E66D7">
        <w:t xml:space="preserve">. </w:t>
      </w:r>
      <w:r w:rsidR="003A30AC">
        <w:t xml:space="preserve">20 entities </w:t>
      </w:r>
      <w:r w:rsidR="0059045A">
        <w:t>reported that</w:t>
      </w:r>
      <w:r w:rsidR="00140748">
        <w:t xml:space="preserve"> while they</w:t>
      </w:r>
      <w:r w:rsidR="00140748" w:rsidRPr="00140748">
        <w:t xml:space="preserve"> </w:t>
      </w:r>
      <w:r w:rsidR="00140748">
        <w:t xml:space="preserve">did not have a </w:t>
      </w:r>
      <w:r w:rsidR="00140748" w:rsidRPr="00140748">
        <w:t xml:space="preserve">formal process, </w:t>
      </w:r>
      <w:r w:rsidR="001A3DBA">
        <w:t>their</w:t>
      </w:r>
      <w:r w:rsidR="00140748" w:rsidRPr="00140748">
        <w:t xml:space="preserve"> evaluation strategy and/or policy provide</w:t>
      </w:r>
      <w:r w:rsidR="001A3DBA">
        <w:t>d</w:t>
      </w:r>
      <w:r w:rsidR="00140748" w:rsidRPr="00140748">
        <w:t xml:space="preserve"> ethical practice guidance</w:t>
      </w:r>
      <w:r w:rsidR="009849E6">
        <w:t>. A</w:t>
      </w:r>
      <w:r w:rsidR="005212EC">
        <w:t xml:space="preserve">nother </w:t>
      </w:r>
      <w:r w:rsidR="00EF44BF">
        <w:t>8 entities</w:t>
      </w:r>
      <w:r w:rsidR="009849E6">
        <w:t xml:space="preserve"> reported that a formal process was u</w:t>
      </w:r>
      <w:r w:rsidR="009849E6" w:rsidRPr="009849E6">
        <w:t>nder consideration or review</w:t>
      </w:r>
      <w:r w:rsidR="009849E6">
        <w:t>.</w:t>
      </w:r>
    </w:p>
    <w:p w14:paraId="14CDED5A" w14:textId="77777777" w:rsidR="007D458D" w:rsidRDefault="007D458D">
      <w:pPr>
        <w:spacing w:before="0" w:after="160" w:line="259" w:lineRule="auto"/>
        <w:rPr>
          <w:rFonts w:ascii="Calibri" w:hAnsi="Calibri" w:cs="Arial"/>
          <w:color w:val="2C384A" w:themeColor="accent1"/>
          <w:kern w:val="32"/>
          <w:sz w:val="26"/>
          <w:szCs w:val="26"/>
        </w:rPr>
      </w:pPr>
      <w:r>
        <w:br w:type="page"/>
      </w:r>
    </w:p>
    <w:p w14:paraId="44CBBEA9" w14:textId="01886946" w:rsidR="009902F5" w:rsidRDefault="0044523F" w:rsidP="00881308">
      <w:pPr>
        <w:pStyle w:val="ChartMainHeading"/>
        <w:rPr>
          <w:noProof/>
        </w:rPr>
      </w:pPr>
      <w:r>
        <w:lastRenderedPageBreak/>
        <w:t xml:space="preserve">Figure </w:t>
      </w:r>
      <w:r w:rsidR="006747B4">
        <w:t>1</w:t>
      </w:r>
      <w:r w:rsidR="00FE43C3">
        <w:t>9</w:t>
      </w:r>
      <w:r>
        <w:t>: Entities with established</w:t>
      </w:r>
      <w:r>
        <w:rPr>
          <w:noProof/>
        </w:rPr>
        <w:t xml:space="preserve"> ethics review processes for evaluations</w:t>
      </w:r>
    </w:p>
    <w:p w14:paraId="0C9DE1A8" w14:textId="7B16A4AB" w:rsidR="00CC52A5" w:rsidRPr="00CC52A5" w:rsidRDefault="00F750C4" w:rsidP="009902F5">
      <w:pPr>
        <w:pStyle w:val="ChartGraphic"/>
        <w:rPr>
          <w:noProof/>
        </w:rPr>
      </w:pPr>
      <w:r w:rsidRPr="00F750C4">
        <w:rPr>
          <w:noProof/>
        </w:rPr>
        <w:drawing>
          <wp:inline distT="0" distB="0" distL="0" distR="0" wp14:anchorId="22C82F86" wp14:editId="3AB8B715">
            <wp:extent cx="5799910" cy="3731895"/>
            <wp:effectExtent l="0" t="0" r="0" b="1905"/>
            <wp:docPr id="706869305" name="Picture 2" descr="Figure 19 shows the proportion of entities with established ethics review processes for evaluations, and breaks it up by entity size. 21% entities which responded to this question indicated that they have an established ethics review process. This proportion was substantially higher for large entities (33%), and medium entities (31%), and much lower for small and micro entities (11% and 4%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69305" name="Picture 2" descr="Figure 19 shows the proportion of entities with established ethics review processes for evaluations, and breaks it up by entity size. 21% entities which responded to this question indicated that they have an established ethics review process. This proportion was substantially higher for large entities (33%), and medium entities (31%), and much lower for small and micro entities (11% and 4% respectively)."/>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134" t="7672"/>
                    <a:stretch/>
                  </pic:blipFill>
                  <pic:spPr bwMode="auto">
                    <a:xfrm>
                      <a:off x="0" y="0"/>
                      <a:ext cx="5824418" cy="3747664"/>
                    </a:xfrm>
                    <a:prstGeom prst="rect">
                      <a:avLst/>
                    </a:prstGeom>
                    <a:noFill/>
                    <a:ln>
                      <a:noFill/>
                    </a:ln>
                    <a:extLst>
                      <a:ext uri="{53640926-AAD7-44D8-BBD7-CCE9431645EC}">
                        <a14:shadowObscured xmlns:a14="http://schemas.microsoft.com/office/drawing/2010/main"/>
                      </a:ext>
                    </a:extLst>
                  </pic:spPr>
                </pic:pic>
              </a:graphicData>
            </a:graphic>
          </wp:inline>
        </w:drawing>
      </w:r>
    </w:p>
    <w:p w14:paraId="6C52401D" w14:textId="4CB76D96" w:rsidR="0044523F" w:rsidRDefault="0044523F" w:rsidP="0044523F">
      <w:pPr>
        <w:pStyle w:val="Heading2"/>
      </w:pPr>
      <w:bookmarkStart w:id="26" w:name="_Toc189820831"/>
      <w:r>
        <w:t>Future priorities</w:t>
      </w:r>
      <w:bookmarkEnd w:id="26"/>
    </w:p>
    <w:p w14:paraId="2A728495" w14:textId="6B1DAE05" w:rsidR="0044523F" w:rsidRDefault="0044523F" w:rsidP="0044523F">
      <w:r>
        <w:t xml:space="preserve">Entities were asked </w:t>
      </w:r>
      <w:r w:rsidR="00AA67CF">
        <w:t xml:space="preserve">to select </w:t>
      </w:r>
      <w:r w:rsidR="00C118DB">
        <w:t>the</w:t>
      </w:r>
      <w:r w:rsidR="00AA67CF">
        <w:t xml:space="preserve"> </w:t>
      </w:r>
      <w:r>
        <w:t xml:space="preserve">actions or activities </w:t>
      </w:r>
      <w:r w:rsidR="00C118DB">
        <w:t>(multiple)</w:t>
      </w:r>
      <w:r>
        <w:t xml:space="preserve"> that c</w:t>
      </w:r>
      <w:r w:rsidRPr="001E5D2C">
        <w:t xml:space="preserve">ould help support </w:t>
      </w:r>
      <w:r>
        <w:t xml:space="preserve">them </w:t>
      </w:r>
      <w:r w:rsidRPr="001E5D2C">
        <w:t>to deliver on the policy in</w:t>
      </w:r>
      <w:r w:rsidRPr="00486A54">
        <w:t xml:space="preserve">tent of the Commonwealth Evaluation Policy. Most entities indicated that </w:t>
      </w:r>
      <w:r w:rsidR="00025F66">
        <w:t xml:space="preserve">they would </w:t>
      </w:r>
      <w:proofErr w:type="gramStart"/>
      <w:r w:rsidR="00025F66">
        <w:t>value:</w:t>
      </w:r>
      <w:proofErr w:type="gramEnd"/>
      <w:r w:rsidR="00025F66">
        <w:t xml:space="preserve"> </w:t>
      </w:r>
      <w:r w:rsidRPr="00486A54">
        <w:t>enhanced guidance and tools (</w:t>
      </w:r>
      <w:r w:rsidR="00B322B2">
        <w:t>4</w:t>
      </w:r>
      <w:r w:rsidR="00633A11">
        <w:t>8</w:t>
      </w:r>
      <w:r w:rsidR="00B322B2">
        <w:t xml:space="preserve"> entities, </w:t>
      </w:r>
      <w:r w:rsidRPr="00486A54">
        <w:t>62%</w:t>
      </w:r>
      <w:r w:rsidR="00805DF7">
        <w:t>, n=</w:t>
      </w:r>
      <w:r w:rsidR="00A5504F">
        <w:t>77</w:t>
      </w:r>
      <w:r w:rsidRPr="00486A54">
        <w:t>)</w:t>
      </w:r>
      <w:r w:rsidRPr="00486A54" w:rsidDel="00CD27A4">
        <w:t>,</w:t>
      </w:r>
      <w:r w:rsidRPr="00486A54">
        <w:t xml:space="preserve"> </w:t>
      </w:r>
      <w:r w:rsidR="00025F66">
        <w:t>and</w:t>
      </w:r>
      <w:r w:rsidRPr="00486A54">
        <w:t xml:space="preserve"> tailored information sessions about the Commonwealth Evaluation Policy and topics related to evaluation (</w:t>
      </w:r>
      <w:r w:rsidR="00633A11">
        <w:t xml:space="preserve">41 entities, </w:t>
      </w:r>
      <w:r w:rsidRPr="00486A54">
        <w:t>53%</w:t>
      </w:r>
      <w:r w:rsidR="00633A11">
        <w:t>, n=</w:t>
      </w:r>
      <w:r w:rsidR="00A5504F">
        <w:t>77</w:t>
      </w:r>
      <w:r w:rsidR="00025F66">
        <w:t>; Figure</w:t>
      </w:r>
      <w:r w:rsidR="0087541F">
        <w:t> </w:t>
      </w:r>
      <w:r w:rsidR="00025F66">
        <w:t>20)</w:t>
      </w:r>
      <w:r>
        <w:t>.</w:t>
      </w:r>
    </w:p>
    <w:p w14:paraId="6BE8A716" w14:textId="77777777" w:rsidR="005E3806" w:rsidRDefault="000A1D5F" w:rsidP="00881308">
      <w:pPr>
        <w:pStyle w:val="ChartMainHeading"/>
      </w:pPr>
      <w:r>
        <w:lastRenderedPageBreak/>
        <w:t>Figure 20: Central support to implement the Commonwealth Evaluation Policy</w:t>
      </w:r>
    </w:p>
    <w:p w14:paraId="45969C43" w14:textId="1543FA5E" w:rsidR="000A1D5F" w:rsidRDefault="005E3806" w:rsidP="005E3806">
      <w:pPr>
        <w:pStyle w:val="ChartGraphic"/>
      </w:pPr>
      <w:r>
        <w:rPr>
          <w:noProof/>
        </w:rPr>
        <w:drawing>
          <wp:inline distT="0" distB="0" distL="0" distR="0" wp14:anchorId="355333DC" wp14:editId="29504737">
            <wp:extent cx="6176645" cy="2931795"/>
            <wp:effectExtent l="0" t="0" r="0" b="0"/>
            <wp:docPr id="1513329524" name="Chart 1" descr="Figure 20 shows the actions or activities which could help entities in implementing the Commonwealth Evaluation Policy within their entity. ">
              <a:extLst xmlns:a="http://schemas.openxmlformats.org/drawingml/2006/main">
                <a:ext uri="{FF2B5EF4-FFF2-40B4-BE49-F238E27FC236}">
                  <a16:creationId xmlns:a16="http://schemas.microsoft.com/office/drawing/2014/main" id="{6D350D1A-93C5-41A8-B2ED-197AA21C9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DD55C9" w14:textId="77777777" w:rsidR="009902F5" w:rsidRPr="009902F5" w:rsidRDefault="009902F5" w:rsidP="009902F5">
      <w:pPr>
        <w:pStyle w:val="SingleParagraph"/>
      </w:pPr>
    </w:p>
    <w:p w14:paraId="59D6F140" w14:textId="682A6302" w:rsidR="00372AC2" w:rsidRDefault="00372AC2" w:rsidP="00372AC2">
      <w:pPr>
        <w:pStyle w:val="Heading2"/>
      </w:pPr>
      <w:bookmarkStart w:id="27" w:name="_Toc189820832"/>
      <w:r>
        <w:t>The ACE</w:t>
      </w:r>
      <w:r w:rsidR="00AD4DCC">
        <w:t>’</w:t>
      </w:r>
      <w:r>
        <w:t>s role in capability building</w:t>
      </w:r>
      <w:bookmarkEnd w:id="27"/>
    </w:p>
    <w:p w14:paraId="25F20536" w14:textId="62B43A05" w:rsidR="00372AC2" w:rsidRDefault="00372AC2" w:rsidP="00372AC2">
      <w:pPr>
        <w:widowControl w:val="0"/>
      </w:pPr>
      <w:r w:rsidRPr="001F5BF4">
        <w:t xml:space="preserve">Entities were asked </w:t>
      </w:r>
      <w:r>
        <w:t xml:space="preserve">to select </w:t>
      </w:r>
      <w:r w:rsidRPr="001F5BF4">
        <w:t xml:space="preserve">actions or activities that </w:t>
      </w:r>
      <w:r>
        <w:t>ACE could deliver, which c</w:t>
      </w:r>
      <w:r w:rsidRPr="001F5BF4">
        <w:t xml:space="preserve">ould help </w:t>
      </w:r>
      <w:r>
        <w:t>them</w:t>
      </w:r>
      <w:r w:rsidRPr="004E52AE">
        <w:t xml:space="preserve"> build evaluation capability and embed an enduring culture of evaluation</w:t>
      </w:r>
      <w:r w:rsidRPr="001F5BF4">
        <w:t xml:space="preserve">. </w:t>
      </w:r>
      <w:r>
        <w:t>Entities could select multiple activities. From the 75 responding entities, the most popular activities included: online training through APS Le</w:t>
      </w:r>
      <w:r w:rsidRPr="00486A54">
        <w:t xml:space="preserve">arn </w:t>
      </w:r>
      <w:r>
        <w:t xml:space="preserve">(46 entities </w:t>
      </w:r>
      <w:r w:rsidR="00AB0A86">
        <w:t xml:space="preserve">or </w:t>
      </w:r>
      <w:r w:rsidRPr="00486A54">
        <w:t>61%),</w:t>
      </w:r>
      <w:r>
        <w:t xml:space="preserve"> ACE</w:t>
      </w:r>
      <w:r w:rsidR="00AD4DCC">
        <w:noBreakHyphen/>
      </w:r>
      <w:r>
        <w:t>developed evaluation training resource</w:t>
      </w:r>
      <w:r w:rsidRPr="00486A54">
        <w:t>s</w:t>
      </w:r>
      <w:r w:rsidR="00AB0A86">
        <w:t xml:space="preserve"> (</w:t>
      </w:r>
      <w:r>
        <w:t>43</w:t>
      </w:r>
      <w:r w:rsidRPr="00486A54">
        <w:t xml:space="preserve"> </w:t>
      </w:r>
      <w:r w:rsidR="00AB0A86">
        <w:t>entities or</w:t>
      </w:r>
      <w:r w:rsidR="0087541F">
        <w:t> </w:t>
      </w:r>
      <w:r w:rsidRPr="00486A54">
        <w:t>57%)</w:t>
      </w:r>
      <w:r w:rsidRPr="00486A54" w:rsidDel="00056520">
        <w:t>,</w:t>
      </w:r>
      <w:r w:rsidRPr="00486A54">
        <w:t xml:space="preserve"> and</w:t>
      </w:r>
      <w:r>
        <w:t xml:space="preserve"> an expanded Commonwealth Evaluation Toolkit</w:t>
      </w:r>
      <w:r w:rsidR="00AB0A86">
        <w:t xml:space="preserve"> (</w:t>
      </w:r>
      <w:r>
        <w:t xml:space="preserve">39 </w:t>
      </w:r>
      <w:r w:rsidR="00AB0A86">
        <w:t xml:space="preserve">entities or </w:t>
      </w:r>
      <w:r w:rsidRPr="00486A54">
        <w:t>52%</w:t>
      </w:r>
      <w:r w:rsidR="004F3FD7">
        <w:t>)</w:t>
      </w:r>
      <w:r w:rsidR="00AB0A86">
        <w:t xml:space="preserve"> </w:t>
      </w:r>
      <w:r w:rsidR="004F3FD7">
        <w:t>(</w:t>
      </w:r>
      <w:r w:rsidR="00AB0A86">
        <w:t>Figure 21</w:t>
      </w:r>
      <w:r w:rsidRPr="00486A54">
        <w:t>)</w:t>
      </w:r>
      <w:r>
        <w:t>.</w:t>
      </w:r>
    </w:p>
    <w:p w14:paraId="3B4789F2" w14:textId="6E1AE4DE" w:rsidR="00AB0A86" w:rsidRDefault="00372AC2" w:rsidP="0044523F">
      <w:r>
        <w:t>The ACE</w:t>
      </w:r>
      <w:r w:rsidR="00AD4DCC">
        <w:t>’</w:t>
      </w:r>
      <w:r>
        <w:t xml:space="preserve">s forward work program reflects the priorities identified by entities, with a strong focus on: </w:t>
      </w:r>
    </w:p>
    <w:p w14:paraId="4BD0C164" w14:textId="77777777" w:rsidR="00AB0A86" w:rsidRDefault="00372AC2" w:rsidP="005E3806">
      <w:pPr>
        <w:pStyle w:val="Bullet"/>
      </w:pPr>
      <w:r>
        <w:t xml:space="preserve">refreshing the Commonwealth Evaluation </w:t>
      </w:r>
      <w:proofErr w:type="gramStart"/>
      <w:r>
        <w:t>Toolkit;</w:t>
      </w:r>
      <w:proofErr w:type="gramEnd"/>
      <w:r>
        <w:t xml:space="preserve"> </w:t>
      </w:r>
    </w:p>
    <w:p w14:paraId="244C5CFE" w14:textId="284DBDE5" w:rsidR="00AB0A86" w:rsidRDefault="00372AC2" w:rsidP="005E3806">
      <w:pPr>
        <w:pStyle w:val="Bullet"/>
      </w:pPr>
      <w:r>
        <w:t>developing a comprehensive suite of training resources and train</w:t>
      </w:r>
      <w:r w:rsidR="00AD4DCC">
        <w:noBreakHyphen/>
      </w:r>
      <w:r>
        <w:t>the</w:t>
      </w:r>
      <w:r w:rsidR="00AD4DCC">
        <w:noBreakHyphen/>
      </w:r>
      <w:r>
        <w:t xml:space="preserve">trainer supports for use by entity evaluation </w:t>
      </w:r>
      <w:proofErr w:type="gramStart"/>
      <w:r>
        <w:t>units;</w:t>
      </w:r>
      <w:proofErr w:type="gramEnd"/>
      <w:r>
        <w:t xml:space="preserve"> </w:t>
      </w:r>
    </w:p>
    <w:p w14:paraId="6A973924" w14:textId="77777777" w:rsidR="00AB0A86" w:rsidRDefault="00372AC2" w:rsidP="005E3806">
      <w:pPr>
        <w:pStyle w:val="Bullet"/>
      </w:pPr>
      <w:r>
        <w:t xml:space="preserve">expanding the set of online learning resources on APS </w:t>
      </w:r>
      <w:proofErr w:type="gramStart"/>
      <w:r>
        <w:t>Learn;</w:t>
      </w:r>
      <w:proofErr w:type="gramEnd"/>
      <w:r>
        <w:t xml:space="preserve"> </w:t>
      </w:r>
    </w:p>
    <w:p w14:paraId="23453C66" w14:textId="77777777" w:rsidR="00AB0A86" w:rsidRDefault="00372AC2" w:rsidP="005E3806">
      <w:pPr>
        <w:pStyle w:val="Bullet"/>
      </w:pPr>
      <w:r>
        <w:t xml:space="preserve">collaboratively designing an online evaluation maturity assessment tool; and </w:t>
      </w:r>
    </w:p>
    <w:p w14:paraId="7A72D7DF" w14:textId="44343E42" w:rsidR="00372AC2" w:rsidRDefault="00372AC2" w:rsidP="005E3806">
      <w:pPr>
        <w:pStyle w:val="Bullet"/>
      </w:pPr>
      <w:r>
        <w:t>supporting the launch of an APS Evaluation Profession.</w:t>
      </w:r>
    </w:p>
    <w:p w14:paraId="1E7B02B0" w14:textId="0342A0D7" w:rsidR="00025F66" w:rsidRDefault="00025F66" w:rsidP="007A42CE">
      <w:r>
        <w:t>Providing opportunities for cross</w:t>
      </w:r>
      <w:r w:rsidR="00AD4DCC">
        <w:noBreakHyphen/>
      </w:r>
      <w:r>
        <w:t>agency partnerships and collaboration continues to be a high priority for the ACE. The APS Evaluation Profession will launch in 2025. This will allow entities with technical expertise in diverse evaluation methodologies and related fields to help build evaluation skills across the service.</w:t>
      </w:r>
    </w:p>
    <w:p w14:paraId="5497782D" w14:textId="3A847F25" w:rsidR="00025F66" w:rsidRDefault="00BA1E39" w:rsidP="007A42CE">
      <w:r>
        <w:t>The ACE will also deliver t</w:t>
      </w:r>
      <w:r w:rsidR="00025F66">
        <w:t xml:space="preserve">argeted support for rigorous impact evaluation </w:t>
      </w:r>
      <w:proofErr w:type="gramStart"/>
      <w:r w:rsidR="00025F66">
        <w:t>through</w:t>
      </w:r>
      <w:r w:rsidR="00056520">
        <w:t>:</w:t>
      </w:r>
      <w:proofErr w:type="gramEnd"/>
      <w:r w:rsidR="00025F66">
        <w:t xml:space="preserve"> formal evaluation partnerships; technical advice on impact evaluations; and ACE</w:t>
      </w:r>
      <w:r w:rsidR="00AD4DCC">
        <w:noBreakHyphen/>
      </w:r>
      <w:r w:rsidR="00025F66">
        <w:t>delivered impact evaluation training for practitioners. The ACE also partner</w:t>
      </w:r>
      <w:r w:rsidR="00806429">
        <w:t>s</w:t>
      </w:r>
      <w:r w:rsidR="00025F66">
        <w:t xml:space="preserve"> with the Australian Education Research Organisation (AERO) </w:t>
      </w:r>
      <w:r w:rsidR="00806429">
        <w:t xml:space="preserve">and others </w:t>
      </w:r>
      <w:r w:rsidR="00025F66">
        <w:t xml:space="preserve">to </w:t>
      </w:r>
      <w:r w:rsidR="00806429">
        <w:t>lead</w:t>
      </w:r>
      <w:r w:rsidR="00025F66">
        <w:t xml:space="preserve"> the Impact Evaluation Practitioners Network, which is open to academics and impact evaluation practitioners from all Australian jurisdictions</w:t>
      </w:r>
      <w:r w:rsidR="00806429">
        <w:t>. The Network</w:t>
      </w:r>
      <w:r w:rsidR="00AD4DCC">
        <w:t>’</w:t>
      </w:r>
      <w:r w:rsidR="00806429">
        <w:t>s</w:t>
      </w:r>
      <w:r w:rsidR="00025F66">
        <w:t xml:space="preserve"> objective</w:t>
      </w:r>
      <w:r w:rsidR="00025F66" w:rsidDel="00056520">
        <w:t xml:space="preserve"> </w:t>
      </w:r>
      <w:r w:rsidR="00806429">
        <w:t xml:space="preserve">is to </w:t>
      </w:r>
      <w:r w:rsidR="00025F66">
        <w:t>support knowledge sharing, capability uplift and professional networking</w:t>
      </w:r>
      <w:r w:rsidR="00806429">
        <w:t xml:space="preserve"> amongst impact evaluators</w:t>
      </w:r>
      <w:r w:rsidR="00025F66">
        <w:t>.</w:t>
      </w:r>
    </w:p>
    <w:p w14:paraId="7F30A085" w14:textId="77777777" w:rsidR="005E3806" w:rsidRDefault="0044523F" w:rsidP="00881308">
      <w:pPr>
        <w:pStyle w:val="ChartMainHeading"/>
      </w:pPr>
      <w:r>
        <w:lastRenderedPageBreak/>
        <w:t xml:space="preserve">Figure </w:t>
      </w:r>
      <w:r w:rsidR="006747B4">
        <w:t>2</w:t>
      </w:r>
      <w:r w:rsidR="00FE43C3">
        <w:t>1</w:t>
      </w:r>
      <w:r>
        <w:t>: Support from ACE to build evaluation capability</w:t>
      </w:r>
    </w:p>
    <w:p w14:paraId="4A332D84" w14:textId="16D4DD0B" w:rsidR="0044523F" w:rsidRDefault="0044523F" w:rsidP="005E3806">
      <w:pPr>
        <w:pStyle w:val="ChartGraphic"/>
      </w:pPr>
      <w:r>
        <w:rPr>
          <w:noProof/>
        </w:rPr>
        <w:drawing>
          <wp:inline distT="0" distB="0" distL="0" distR="0" wp14:anchorId="4AC9A78E" wp14:editId="07C8C2E7">
            <wp:extent cx="6684645" cy="5931243"/>
            <wp:effectExtent l="0" t="0" r="0" b="0"/>
            <wp:docPr id="270449438" name="Chart 1" descr="Figure 21 shows the 11 broad actions that entities sought from ACE to help build their evaluation capability. The most common three actions were Online training through APS Learn (61%), provision of training resources (57%), expanded Commonwealth Evaluation Toolkit (52%). The three least reported actions were, external training provider panel (25%), technical support for impact evaluations (37%), centrally supported ethics review arrangements (39%).">
              <a:extLst xmlns:a="http://schemas.openxmlformats.org/drawingml/2006/main">
                <a:ext uri="{FF2B5EF4-FFF2-40B4-BE49-F238E27FC236}">
                  <a16:creationId xmlns:a16="http://schemas.microsoft.com/office/drawing/2014/main" id="{48BFE6FB-38A1-4D33-A8CF-17842281B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6610AC" w14:textId="77777777" w:rsidR="0044523F" w:rsidRDefault="0044523F" w:rsidP="005E3806">
      <w:pPr>
        <w:rPr>
          <w:rFonts w:ascii="Calibri" w:hAnsi="Calibri" w:cs="Arial"/>
          <w:color w:val="4D7861" w:themeColor="accent2"/>
          <w:kern w:val="32"/>
          <w:sz w:val="44"/>
          <w:szCs w:val="36"/>
        </w:rPr>
      </w:pPr>
      <w:r>
        <w:br w:type="page"/>
      </w:r>
    </w:p>
    <w:p w14:paraId="6E9A69A7" w14:textId="6445B297" w:rsidR="0044523F" w:rsidRPr="005E3806" w:rsidRDefault="0044523F" w:rsidP="005E3806">
      <w:pPr>
        <w:pStyle w:val="Heading1"/>
      </w:pPr>
      <w:bookmarkStart w:id="28" w:name="_Toc189820833"/>
      <w:r w:rsidRPr="005E3806">
        <w:lastRenderedPageBreak/>
        <w:t>Appendix 1</w:t>
      </w:r>
      <w:r w:rsidR="009902F5">
        <w:t xml:space="preserve">: </w:t>
      </w:r>
      <w:r w:rsidRPr="005E3806">
        <w:t xml:space="preserve">Evaluation </w:t>
      </w:r>
      <w:r w:rsidR="00F50701" w:rsidRPr="005E3806">
        <w:t>r</w:t>
      </w:r>
      <w:r w:rsidRPr="005E3806">
        <w:t>eforms in the Australian Government</w:t>
      </w:r>
      <w:bookmarkEnd w:id="28"/>
      <w:r w:rsidRPr="005E3806">
        <w:t xml:space="preserve"> </w:t>
      </w:r>
    </w:p>
    <w:p w14:paraId="34D41D56" w14:textId="77777777" w:rsidR="0044523F" w:rsidRDefault="0044523F" w:rsidP="0044523F">
      <w:pPr>
        <w:keepNext/>
        <w:keepLines/>
      </w:pPr>
      <w:r w:rsidRPr="00D74D3D">
        <w:t xml:space="preserve">The Australian Government has an ambitious plan </w:t>
      </w:r>
      <w:r>
        <w:t xml:space="preserve">to </w:t>
      </w:r>
      <w:r w:rsidRPr="00A42325">
        <w:t>embed an enduring culture of evaluation</w:t>
      </w:r>
      <w:r>
        <w:t xml:space="preserve"> across the </w:t>
      </w:r>
      <w:r w:rsidRPr="00D74D3D">
        <w:t>APS</w:t>
      </w:r>
      <w:r>
        <w:t xml:space="preserve"> and beyond. </w:t>
      </w:r>
      <w:r w:rsidRPr="00D74D3D">
        <w:t xml:space="preserve">This APS reform priority reflects findings in the 2019 Independent Review of the APS that evaluation practices across the APS had declined considerably over the past few decades, with recommendations aimed at building good practice (Recommendation 26 refers). </w:t>
      </w:r>
    </w:p>
    <w:p w14:paraId="487634D9" w14:textId="7D5362C2" w:rsidR="0044523F" w:rsidRDefault="0044523F" w:rsidP="0044523F">
      <w:pPr>
        <w:keepNext/>
        <w:keepLines/>
      </w:pPr>
      <w:r w:rsidRPr="00D74D3D">
        <w:t>Establishing a well</w:t>
      </w:r>
      <w:r w:rsidR="00AD4DCC">
        <w:noBreakHyphen/>
      </w:r>
      <w:r w:rsidRPr="00D74D3D">
        <w:t xml:space="preserve">resourced central enabling evaluation function </w:t>
      </w:r>
      <w:r>
        <w:t xml:space="preserve">– the ACE was established in Treasury from July 2023) – </w:t>
      </w:r>
      <w:r w:rsidRPr="00D74D3D">
        <w:t>and increasing the resourcing and remit for in</w:t>
      </w:r>
      <w:r w:rsidR="00AD4DCC">
        <w:noBreakHyphen/>
      </w:r>
      <w:r w:rsidRPr="00D74D3D">
        <w:t xml:space="preserve">house evaluation units across </w:t>
      </w:r>
      <w:r>
        <w:t>government</w:t>
      </w:r>
      <w:r w:rsidRPr="00D74D3D">
        <w:t xml:space="preserve"> are central pillars for achieving enduring cultural change.</w:t>
      </w:r>
      <w:r>
        <w:t xml:space="preserve"> </w:t>
      </w:r>
    </w:p>
    <w:p w14:paraId="79D6430B" w14:textId="4B7A6621" w:rsidR="0044523F" w:rsidRDefault="0044523F" w:rsidP="0044523F">
      <w:pPr>
        <w:keepNext/>
        <w:keepLines/>
      </w:pPr>
      <w:r w:rsidRPr="00D74D3D">
        <w:t>Staged reforms to strengthen evaluation capabilities, practices and culture across the APS have been co</w:t>
      </w:r>
      <w:r w:rsidR="00AD4DCC">
        <w:noBreakHyphen/>
      </w:r>
      <w:r w:rsidRPr="00D74D3D">
        <w:t xml:space="preserve">designed and implemented progressively since 2020, with key milestones including: </w:t>
      </w:r>
    </w:p>
    <w:p w14:paraId="2BD6F183" w14:textId="77777777" w:rsidR="0044523F" w:rsidRDefault="0044523F" w:rsidP="0044523F">
      <w:pPr>
        <w:pStyle w:val="Bullet"/>
      </w:pPr>
      <w:r w:rsidRPr="00D74D3D">
        <w:t xml:space="preserve">Introduction of the Commonwealth Evaluation Policy and Toolkit (December 2021) </w:t>
      </w:r>
    </w:p>
    <w:p w14:paraId="6FFBF372" w14:textId="77777777" w:rsidR="0044523F" w:rsidRDefault="0044523F" w:rsidP="0044523F">
      <w:pPr>
        <w:pStyle w:val="Bullet"/>
      </w:pPr>
      <w:r w:rsidRPr="00D74D3D">
        <w:t xml:space="preserve">Launch of the Commonwealth Evaluation Community of Practice (September 2022) </w:t>
      </w:r>
    </w:p>
    <w:p w14:paraId="2FB759D8" w14:textId="77777777" w:rsidR="0044523F" w:rsidRDefault="0044523F" w:rsidP="0044523F">
      <w:pPr>
        <w:pStyle w:val="Bullet"/>
      </w:pPr>
      <w:r w:rsidRPr="00D74D3D">
        <w:t xml:space="preserve">New evaluation requirements in the Budget Process Operational Rules (December 2022) </w:t>
      </w:r>
    </w:p>
    <w:p w14:paraId="27FE9002" w14:textId="77777777" w:rsidR="0044523F" w:rsidRDefault="0044523F" w:rsidP="0044523F">
      <w:pPr>
        <w:pStyle w:val="Bullet"/>
      </w:pPr>
      <w:r w:rsidRPr="00D74D3D">
        <w:t>Establishment of the Australian Centre for Evaluation (July 2023)</w:t>
      </w:r>
    </w:p>
    <w:p w14:paraId="6BE75CB7" w14:textId="309CCFF4" w:rsidR="0044523F" w:rsidRDefault="0044523F" w:rsidP="0044523F">
      <w:pPr>
        <w:pStyle w:val="Bullet"/>
      </w:pPr>
      <w:r w:rsidRPr="00D74D3D">
        <w:t>Embedding evaluation in Commissioner</w:t>
      </w:r>
      <w:r w:rsidR="00AD4DCC">
        <w:t>’</w:t>
      </w:r>
      <w:r w:rsidRPr="00D74D3D">
        <w:t xml:space="preserve">s Direction on </w:t>
      </w:r>
      <w:r>
        <w:t xml:space="preserve">the APS Value of </w:t>
      </w:r>
      <w:r w:rsidRPr="00D74D3D">
        <w:t>Stewardship (2024)</w:t>
      </w:r>
    </w:p>
    <w:p w14:paraId="25DCB6F8" w14:textId="79A7F6E4" w:rsidR="0044523F" w:rsidRPr="00F61842" w:rsidRDefault="0044523F" w:rsidP="005E3806">
      <w:r w:rsidRPr="00F61842">
        <w:t xml:space="preserve">In addition, </w:t>
      </w:r>
      <w:r>
        <w:t>many</w:t>
      </w:r>
      <w:r w:rsidRPr="00F61842">
        <w:t xml:space="preserve"> Commonwealth entities have taken their own steps to improve evaluation practices, capabilities, and culture within their organisation. This includes, for example: establishing a dedicated evaluation unit, developing an enterprise</w:t>
      </w:r>
      <w:r w:rsidR="00AD4DCC">
        <w:noBreakHyphen/>
      </w:r>
      <w:r w:rsidRPr="00F61842">
        <w:t>level evaluation strategy and/or forward work plan</w:t>
      </w:r>
      <w:r w:rsidRPr="00F61842" w:rsidDel="00792A80">
        <w:t>,</w:t>
      </w:r>
      <w:r w:rsidRPr="00F61842">
        <w:t xml:space="preserve"> or introducing an evaluation oversight committee.</w:t>
      </w:r>
    </w:p>
    <w:p w14:paraId="1F63FD85" w14:textId="4B50C7AC" w:rsidR="0044523F" w:rsidRDefault="0044523F" w:rsidP="005E3806">
      <w:r>
        <w:t xml:space="preserve">Figure </w:t>
      </w:r>
      <w:r w:rsidR="00442713" w:rsidRPr="00EA6D94">
        <w:t>2</w:t>
      </w:r>
      <w:r w:rsidR="00FE43C3">
        <w:t>2</w:t>
      </w:r>
      <w:r>
        <w:t xml:space="preserve"> shows a timeline of the main reform initiatives implemented over this period.</w:t>
      </w:r>
    </w:p>
    <w:p w14:paraId="2204307A" w14:textId="16046CC7" w:rsidR="007D4322" w:rsidRPr="00F270EE" w:rsidRDefault="00783C7C" w:rsidP="00F270EE">
      <w:pPr>
        <w:pStyle w:val="ChartMainHeading"/>
      </w:pPr>
      <w:r w:rsidRPr="00F270EE">
        <w:t>Figure 2</w:t>
      </w:r>
      <w:r w:rsidR="00237F13" w:rsidRPr="00F270EE">
        <w:t>2</w:t>
      </w:r>
      <w:r w:rsidR="00DB2A19" w:rsidRPr="00F270EE">
        <w:t xml:space="preserve">: Evaluation </w:t>
      </w:r>
      <w:r w:rsidR="00F50701" w:rsidRPr="00F270EE">
        <w:t>r</w:t>
      </w:r>
      <w:r w:rsidR="00DB2A19" w:rsidRPr="00F270EE">
        <w:t xml:space="preserve">eform </w:t>
      </w:r>
      <w:r w:rsidR="00F50701" w:rsidRPr="00F270EE">
        <w:t>t</w:t>
      </w:r>
      <w:r w:rsidR="00DB2A19" w:rsidRPr="00F270EE">
        <w:t>imeline</w:t>
      </w:r>
    </w:p>
    <w:p w14:paraId="1450083C" w14:textId="014077B4" w:rsidR="008236CB" w:rsidRDefault="00640A9C" w:rsidP="00640A9C">
      <w:pPr>
        <w:jc w:val="center"/>
      </w:pPr>
      <w:r>
        <w:rPr>
          <w:noProof/>
        </w:rPr>
        <w:drawing>
          <wp:inline distT="0" distB="0" distL="0" distR="0" wp14:anchorId="3AE3B1B5" wp14:editId="213CE89E">
            <wp:extent cx="5814073" cy="2560320"/>
            <wp:effectExtent l="0" t="0" r="0" b="0"/>
            <wp:docPr id="660065089" name="Picture 7" descr="Figure 22 shows the evaluation reform timeline. It starts in 2019, with the Independent Review of the APS (recommendation 26). It ends in 2024, with evaluation embedded in the Commissioner's Direction and the APS Value of Stew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65089" name="Picture 7" descr="Figure 22 shows the evaluation reform timeline. It starts in 2019, with the Independent Review of the APS (recommendation 26). It ends in 2024, with evaluation embedded in the Commissioner's Direction and the APS Value of Stewardship."/>
                    <pic:cNvPicPr/>
                  </pic:nvPicPr>
                  <pic:blipFill>
                    <a:blip r:embed="rId47">
                      <a:extLst>
                        <a:ext uri="{28A0092B-C50C-407E-A947-70E740481C1C}">
                          <a14:useLocalDpi xmlns:a14="http://schemas.microsoft.com/office/drawing/2010/main" val="0"/>
                        </a:ext>
                      </a:extLst>
                    </a:blip>
                    <a:stretch>
                      <a:fillRect/>
                    </a:stretch>
                  </pic:blipFill>
                  <pic:spPr>
                    <a:xfrm>
                      <a:off x="0" y="0"/>
                      <a:ext cx="5814658" cy="2560578"/>
                    </a:xfrm>
                    <a:prstGeom prst="rect">
                      <a:avLst/>
                    </a:prstGeom>
                  </pic:spPr>
                </pic:pic>
              </a:graphicData>
            </a:graphic>
          </wp:inline>
        </w:drawing>
      </w:r>
    </w:p>
    <w:p w14:paraId="59354DAE" w14:textId="6404282B" w:rsidR="006D4CE9" w:rsidRDefault="00AF0A0A" w:rsidP="005E3806">
      <w:pPr>
        <w:pStyle w:val="Heading1"/>
      </w:pPr>
      <w:bookmarkStart w:id="29" w:name="_Toc189820834"/>
      <w:r w:rsidRPr="005E3806">
        <w:lastRenderedPageBreak/>
        <w:t>Appendix 2</w:t>
      </w:r>
      <w:r w:rsidR="00CF7B75">
        <w:t xml:space="preserve">: </w:t>
      </w:r>
      <w:r w:rsidR="008236CB" w:rsidRPr="005E3806">
        <w:t>Method and analytic approach</w:t>
      </w:r>
      <w:bookmarkEnd w:id="29"/>
    </w:p>
    <w:p w14:paraId="2059ABF5" w14:textId="064A14C3" w:rsidR="00050167" w:rsidRDefault="00050167" w:rsidP="00050167">
      <w:pPr>
        <w:pStyle w:val="Heading2"/>
      </w:pPr>
      <w:r w:rsidRPr="00050167">
        <w:t xml:space="preserve">Survey and </w:t>
      </w:r>
      <w:r w:rsidR="00792A80">
        <w:t>S</w:t>
      </w:r>
      <w:r w:rsidRPr="00050167">
        <w:t>tocktake design</w:t>
      </w:r>
    </w:p>
    <w:p w14:paraId="6E737377" w14:textId="3E9CECDC" w:rsidR="00050167" w:rsidRDefault="00F15D86" w:rsidP="00F15D86">
      <w:r w:rsidRPr="00F15D86">
        <w:t xml:space="preserve">The </w:t>
      </w:r>
      <w:proofErr w:type="spellStart"/>
      <w:r w:rsidRPr="00F15D86">
        <w:t>SoE</w:t>
      </w:r>
      <w:proofErr w:type="spellEnd"/>
      <w:r w:rsidRPr="00F15D86">
        <w:t xml:space="preserve"> </w:t>
      </w:r>
      <w:r w:rsidR="00792A80">
        <w:t>S</w:t>
      </w:r>
      <w:r w:rsidRPr="00F15D86">
        <w:t xml:space="preserve">urvey and </w:t>
      </w:r>
      <w:r w:rsidR="00792A80">
        <w:t>S</w:t>
      </w:r>
      <w:r w:rsidRPr="00F15D86">
        <w:t>tocktake were co designed by the ACE with the Commonwealth Evaluation Reference Group, along with detailed guidance to support this data collection. Figure 23 presents the project timeline.</w:t>
      </w:r>
    </w:p>
    <w:p w14:paraId="1DC7F57E" w14:textId="021BDEE5" w:rsidR="00360663" w:rsidRDefault="00360663" w:rsidP="00915C28">
      <w:pPr>
        <w:pStyle w:val="ChartMainHeading"/>
      </w:pPr>
      <w:r w:rsidRPr="00540E64">
        <w:t>Figure 2</w:t>
      </w:r>
      <w:r>
        <w:t>3:</w:t>
      </w:r>
      <w:r w:rsidRPr="00540E64">
        <w:t xml:space="preserve"> State of Evaluation in the Australian Government – Project Timeline</w:t>
      </w:r>
    </w:p>
    <w:p w14:paraId="2D3C22BD" w14:textId="0F01F986" w:rsidR="00641761" w:rsidRPr="00641761" w:rsidRDefault="008C7EEC" w:rsidP="008C7EEC">
      <w:pPr>
        <w:jc w:val="center"/>
      </w:pPr>
      <w:r>
        <w:rPr>
          <w:noProof/>
        </w:rPr>
        <w:drawing>
          <wp:inline distT="0" distB="0" distL="0" distR="0" wp14:anchorId="59CE5342" wp14:editId="59851209">
            <wp:extent cx="4833254" cy="2217906"/>
            <wp:effectExtent l="0" t="0" r="5715" b="0"/>
            <wp:docPr id="1053765270" name="Picture 5" descr="Figure 23 shows the State of Evaluation project timeline. It starts in Q3 2023-24, when ACE began collaborating with the Evaluation Reference Group for the survey and stocktake. The five stages follow: whole of government survey and stocktake (Q1 2024-25), synthesis of key inputs and collaboration with ERG (Q2 2024-25), inaugural report to Secretaries Board (Q3 2024-25). The final two stages are collaboration on enterprise-level reports and action plans with ERG (Q3-Q4 2024-25), and the proposed 2025-2030 Action Plan to Secretarie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65270" name="Picture 5" descr="Figure 23 shows the State of Evaluation project timeline. It starts in Q3 2023-24, when ACE began collaborating with the Evaluation Reference Group for the survey and stocktake. The five stages follow: whole of government survey and stocktake (Q1 2024-25), synthesis of key inputs and collaboration with ERG (Q2 2024-25), inaugural report to Secretaries Board (Q3 2024-25). The final two stages are collaboration on enterprise-level reports and action plans with ERG (Q3-Q4 2024-25), and the proposed 2025-2030 Action Plan to Secretaries Board."/>
                    <pic:cNvPicPr/>
                  </pic:nvPicPr>
                  <pic:blipFill>
                    <a:blip r:embed="rId48">
                      <a:extLst>
                        <a:ext uri="{28A0092B-C50C-407E-A947-70E740481C1C}">
                          <a14:useLocalDpi xmlns:a14="http://schemas.microsoft.com/office/drawing/2010/main" val="0"/>
                        </a:ext>
                      </a:extLst>
                    </a:blip>
                    <a:stretch>
                      <a:fillRect/>
                    </a:stretch>
                  </pic:blipFill>
                  <pic:spPr>
                    <a:xfrm>
                      <a:off x="0" y="0"/>
                      <a:ext cx="4842487" cy="2222143"/>
                    </a:xfrm>
                    <a:prstGeom prst="rect">
                      <a:avLst/>
                    </a:prstGeom>
                  </pic:spPr>
                </pic:pic>
              </a:graphicData>
            </a:graphic>
          </wp:inline>
        </w:drawing>
      </w:r>
    </w:p>
    <w:p w14:paraId="46BA7D66" w14:textId="0BC006EC" w:rsidR="0049167F" w:rsidRDefault="0049167F" w:rsidP="0049167F">
      <w:r>
        <w:t xml:space="preserve">The </w:t>
      </w:r>
      <w:proofErr w:type="spellStart"/>
      <w:r>
        <w:t>SoE</w:t>
      </w:r>
      <w:proofErr w:type="spellEnd"/>
      <w:r>
        <w:t xml:space="preserve"> </w:t>
      </w:r>
      <w:r w:rsidR="005C53A2">
        <w:t>S</w:t>
      </w:r>
      <w:r>
        <w:t xml:space="preserve">urvey and </w:t>
      </w:r>
      <w:r w:rsidR="005C53A2">
        <w:t>S</w:t>
      </w:r>
      <w:r>
        <w:t xml:space="preserve">tocktake were co designed by the ACE with the Commonwealth Evaluation Reference Group, along with detailed guidance to support this data collection. Figure 23 presents the project timeline. </w:t>
      </w:r>
    </w:p>
    <w:p w14:paraId="7B6994A8" w14:textId="188E31E9" w:rsidR="0049167F" w:rsidRDefault="0049167F" w:rsidP="0049167F">
      <w:r>
        <w:t xml:space="preserve">To ensure that the </w:t>
      </w:r>
      <w:r w:rsidR="005C53A2">
        <w:t>S</w:t>
      </w:r>
      <w:r>
        <w:t xml:space="preserve">urvey and </w:t>
      </w:r>
      <w:r w:rsidR="005C53A2">
        <w:t>S</w:t>
      </w:r>
      <w:r>
        <w:t xml:space="preserve">tocktake were relevant and accessible to the diversity of Australian Government entities, the ACE provided dedicated support before and during the data collection period. The ACE supported a total of 61 entities through two information sessions and held bilateral engagements with over 60 entities during the design and implementation period. </w:t>
      </w:r>
    </w:p>
    <w:p w14:paraId="39B0F178" w14:textId="385172E9" w:rsidR="00F15D86" w:rsidRDefault="0049167F" w:rsidP="0049167F">
      <w:r>
        <w:t xml:space="preserve">The Secretary to the Treasury wrote to the Accountable Authorities of all Australian Government entities subject to the PGPA Act, requesting input from their respective entities into the </w:t>
      </w:r>
      <w:proofErr w:type="spellStart"/>
      <w:r>
        <w:t>SoE</w:t>
      </w:r>
      <w:proofErr w:type="spellEnd"/>
      <w:r>
        <w:t xml:space="preserve"> </w:t>
      </w:r>
      <w:r w:rsidR="005C53A2">
        <w:t>S</w:t>
      </w:r>
      <w:r>
        <w:t xml:space="preserve">urvey and </w:t>
      </w:r>
      <w:r w:rsidR="005C53A2">
        <w:t>S</w:t>
      </w:r>
      <w:r>
        <w:t xml:space="preserve">tocktake. This resulted in a strong response rate for the </w:t>
      </w:r>
      <w:proofErr w:type="spellStart"/>
      <w:r>
        <w:t>SoE</w:t>
      </w:r>
      <w:proofErr w:type="spellEnd"/>
      <w:r>
        <w:t xml:space="preserve"> </w:t>
      </w:r>
      <w:r w:rsidR="005C53A2">
        <w:t>S</w:t>
      </w:r>
      <w:r>
        <w:t xml:space="preserve">urvey (47%), and a 20% response rate for the </w:t>
      </w:r>
      <w:proofErr w:type="spellStart"/>
      <w:r>
        <w:t>SoE</w:t>
      </w:r>
      <w:proofErr w:type="spellEnd"/>
      <w:r>
        <w:t xml:space="preserve"> </w:t>
      </w:r>
      <w:r w:rsidR="005C53A2">
        <w:t>S</w:t>
      </w:r>
      <w:r>
        <w:t>tocktake.</w:t>
      </w:r>
    </w:p>
    <w:p w14:paraId="78196863" w14:textId="28654050" w:rsidR="0049167F" w:rsidRDefault="0049167F" w:rsidP="0049167F">
      <w:pPr>
        <w:pStyle w:val="Heading2"/>
      </w:pPr>
      <w:r>
        <w:t>Analysis considerations</w:t>
      </w:r>
    </w:p>
    <w:p w14:paraId="099C8613" w14:textId="27B23408" w:rsidR="0049167F" w:rsidRDefault="0049167F" w:rsidP="0049167F">
      <w:r>
        <w:t xml:space="preserve">This </w:t>
      </w:r>
      <w:r w:rsidR="0078337D">
        <w:t>S</w:t>
      </w:r>
      <w:r>
        <w:t xml:space="preserve">urvey was designed to collect data from Australian Government entities, with diverse staff sizes, types of services delivered and organisational focus, as well as governance arrangements. As a result, none of the survey questions were mandatory, to allow for broad participation. </w:t>
      </w:r>
    </w:p>
    <w:p w14:paraId="1DAE06F1" w14:textId="54D02E3D" w:rsidR="0049167F" w:rsidRDefault="0049167F" w:rsidP="0049167F">
      <w:r>
        <w:t>This diversity also extends to the level of evaluation awareness and practice across entities. To manage this, the ACE provided comprehensive guidance about evaluation terminology and concepts via a series of guidance documents, as well as information sessions (group and one on one).</w:t>
      </w:r>
    </w:p>
    <w:p w14:paraId="3E109FFD" w14:textId="77777777" w:rsidR="0049167F" w:rsidRDefault="0049167F" w:rsidP="0049167F">
      <w:r>
        <w:t xml:space="preserve">As a result of these considerations, sample sizes may vary between questions due to </w:t>
      </w:r>
      <w:proofErr w:type="spellStart"/>
      <w:proofErr w:type="gramStart"/>
      <w:r>
        <w:t>non response</w:t>
      </w:r>
      <w:proofErr w:type="spellEnd"/>
      <w:proofErr w:type="gramEnd"/>
      <w:r>
        <w:t xml:space="preserve"> bias, given no questions were mandatory. Details about the n for analysis are provided where appropriate, and where they vary from the survey sample (N = 92).</w:t>
      </w:r>
    </w:p>
    <w:p w14:paraId="1ED68FAB" w14:textId="1FA247B1" w:rsidR="0049167F" w:rsidRDefault="0049167F" w:rsidP="0049167F">
      <w:r>
        <w:lastRenderedPageBreak/>
        <w:t xml:space="preserve">Responses to the </w:t>
      </w:r>
      <w:r w:rsidR="0078337D">
        <w:t>S</w:t>
      </w:r>
      <w:r>
        <w:t>tocktake were collected via a template distributed along with the survey. Entities were advised to include information on any evaluation activities planned, commenced, or completed in the 2023</w:t>
      </w:r>
      <w:r w:rsidR="000844BC">
        <w:t>–</w:t>
      </w:r>
      <w:r>
        <w:t>24 period. It looked to collect information on formal evaluations that generate evaluation questions or evaluation criteria, evaluation plans and evaluation reports.</w:t>
      </w:r>
    </w:p>
    <w:p w14:paraId="28525609" w14:textId="1DE6338C" w:rsidR="0049167F" w:rsidRDefault="0049167F" w:rsidP="0049167F">
      <w:r>
        <w:t xml:space="preserve">All submissions to the </w:t>
      </w:r>
      <w:r w:rsidR="0078337D">
        <w:t>S</w:t>
      </w:r>
      <w:r>
        <w:t>tocktake were reflected in the results above. Extended consultation with entities is required to validate the number of evaluations and evaluation types identified. Responses may include evaluative activities that, while they do not follow the same methods as a formal evaluation, do produce information to support performance monitoring and decision making.</w:t>
      </w:r>
    </w:p>
    <w:p w14:paraId="3270A55D" w14:textId="79BB529C" w:rsidR="0049167F" w:rsidRPr="0049167F" w:rsidRDefault="0049167F" w:rsidP="0049167F">
      <w:r>
        <w:t xml:space="preserve">Table 1 shows a </w:t>
      </w:r>
      <w:proofErr w:type="gramStart"/>
      <w:r>
        <w:t>high level</w:t>
      </w:r>
      <w:proofErr w:type="gramEnd"/>
      <w:r>
        <w:t xml:space="preserve"> overview of the different areas of focus for the Survey and Stocktake.</w:t>
      </w:r>
    </w:p>
    <w:p w14:paraId="1D29F357" w14:textId="63A0DAD6" w:rsidR="0049167F" w:rsidRPr="008F0003" w:rsidRDefault="0049167F" w:rsidP="0049167F">
      <w:pPr>
        <w:pStyle w:val="TableMainHeading"/>
      </w:pPr>
      <w:r w:rsidRPr="008F0003">
        <w:t xml:space="preserve">Table </w:t>
      </w:r>
      <w:r>
        <w:fldChar w:fldCharType="begin"/>
      </w:r>
      <w:r w:rsidRPr="008F0003">
        <w:instrText xml:space="preserve"> SEQ Table \* ARABIC </w:instrText>
      </w:r>
      <w:r>
        <w:fldChar w:fldCharType="separate"/>
      </w:r>
      <w:r w:rsidR="000E5C41">
        <w:rPr>
          <w:noProof/>
        </w:rPr>
        <w:t>1</w:t>
      </w:r>
      <w:r>
        <w:fldChar w:fldCharType="end"/>
      </w:r>
      <w:r w:rsidRPr="008F0003">
        <w:t>: Summary of Survey and Stocktake Characteristics</w:t>
      </w:r>
    </w:p>
    <w:tbl>
      <w:tblPr>
        <w:tblStyle w:val="GridTable4-Accent3"/>
        <w:tblW w:w="0" w:type="auto"/>
        <w:tblLook w:val="04A0" w:firstRow="1" w:lastRow="0" w:firstColumn="1" w:lastColumn="0" w:noHBand="0" w:noVBand="1"/>
      </w:tblPr>
      <w:tblGrid>
        <w:gridCol w:w="2835"/>
        <w:gridCol w:w="2835"/>
        <w:gridCol w:w="2835"/>
      </w:tblGrid>
      <w:tr w:rsidR="0049167F" w:rsidRPr="00540E64" w14:paraId="0F354B0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213657"/>
          </w:tcPr>
          <w:p w14:paraId="6D690534" w14:textId="77777777" w:rsidR="0049167F" w:rsidRPr="005E3806" w:rsidRDefault="0049167F">
            <w:pPr>
              <w:pStyle w:val="TableColumnHeadingLeft"/>
              <w:rPr>
                <w:b/>
                <w:bCs w:val="0"/>
                <w:color w:val="FFFFFF" w:themeColor="background1"/>
              </w:rPr>
            </w:pPr>
          </w:p>
        </w:tc>
        <w:tc>
          <w:tcPr>
            <w:tcW w:w="2835" w:type="dxa"/>
            <w:shd w:val="clear" w:color="auto" w:fill="213657"/>
          </w:tcPr>
          <w:p w14:paraId="70F9895C" w14:textId="77777777" w:rsidR="0049167F" w:rsidRPr="005E3806" w:rsidRDefault="0049167F">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5E3806">
              <w:rPr>
                <w:b/>
                <w:bCs w:val="0"/>
                <w:color w:val="FFFFFF" w:themeColor="background1"/>
              </w:rPr>
              <w:t>Survey</w:t>
            </w:r>
          </w:p>
        </w:tc>
        <w:tc>
          <w:tcPr>
            <w:tcW w:w="2835" w:type="dxa"/>
            <w:shd w:val="clear" w:color="auto" w:fill="213657"/>
          </w:tcPr>
          <w:p w14:paraId="301776CC" w14:textId="77777777" w:rsidR="0049167F" w:rsidRPr="005E3806" w:rsidRDefault="0049167F">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5E3806">
              <w:rPr>
                <w:b/>
                <w:bCs w:val="0"/>
                <w:color w:val="FFFFFF" w:themeColor="background1"/>
              </w:rPr>
              <w:t>Stocktake</w:t>
            </w:r>
          </w:p>
        </w:tc>
      </w:tr>
      <w:tr w:rsidR="0049167F" w:rsidRPr="00540E64" w14:paraId="58423A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0A8AFF24" w14:textId="77777777" w:rsidR="0049167F" w:rsidRPr="00C51975" w:rsidRDefault="0049167F">
            <w:pPr>
              <w:pStyle w:val="TableTextLeft"/>
              <w:rPr>
                <w:rStyle w:val="Strong"/>
                <w:b/>
                <w:bCs/>
              </w:rPr>
            </w:pPr>
            <w:r w:rsidRPr="00C51975">
              <w:rPr>
                <w:rStyle w:val="Strong"/>
                <w:b/>
                <w:bCs/>
              </w:rPr>
              <w:t>Purpose</w:t>
            </w:r>
          </w:p>
        </w:tc>
        <w:tc>
          <w:tcPr>
            <w:tcW w:w="2835" w:type="dxa"/>
            <w:shd w:val="clear" w:color="auto" w:fill="auto"/>
          </w:tcPr>
          <w:p w14:paraId="116ACE24" w14:textId="77777777" w:rsidR="0049167F" w:rsidRPr="00540E64" w:rsidRDefault="0049167F">
            <w:pPr>
              <w:pStyle w:val="TableTextLeft"/>
              <w:cnfStyle w:val="000000100000" w:firstRow="0" w:lastRow="0" w:firstColumn="0" w:lastColumn="0" w:oddVBand="0" w:evenVBand="0" w:oddHBand="1" w:evenHBand="0" w:firstRowFirstColumn="0" w:firstRowLastColumn="0" w:lastRowFirstColumn="0" w:lastRowLastColumn="0"/>
              <w:rPr>
                <w:noProof/>
              </w:rPr>
            </w:pPr>
            <w:r w:rsidRPr="00540E64">
              <w:t>Capture comparable information about agency</w:t>
            </w:r>
            <w:r>
              <w:noBreakHyphen/>
            </w:r>
            <w:r w:rsidRPr="00540E64">
              <w:t>level evaluation practices, institutional arrangements, capacity building efforts and culture.</w:t>
            </w:r>
          </w:p>
        </w:tc>
        <w:tc>
          <w:tcPr>
            <w:tcW w:w="2835" w:type="dxa"/>
            <w:shd w:val="clear" w:color="auto" w:fill="auto"/>
          </w:tcPr>
          <w:p w14:paraId="4972E82F" w14:textId="77777777" w:rsidR="0049167F" w:rsidRPr="00540E64" w:rsidRDefault="0049167F">
            <w:pPr>
              <w:pStyle w:val="TableTextLeft"/>
              <w:cnfStyle w:val="000000100000" w:firstRow="0" w:lastRow="0" w:firstColumn="0" w:lastColumn="0" w:oddVBand="0" w:evenVBand="0" w:oddHBand="1" w:evenHBand="0" w:firstRowFirstColumn="0" w:firstRowLastColumn="0" w:lastRowFirstColumn="0" w:lastRowLastColumn="0"/>
            </w:pPr>
            <w:r w:rsidRPr="00540E64">
              <w:t xml:space="preserve">Capture information about evaluations planned, commenced, and/or completed and used </w:t>
            </w:r>
            <w:r>
              <w:t xml:space="preserve">with a focus on establishing a baseline for </w:t>
            </w:r>
            <w:r w:rsidRPr="00540E64">
              <w:t>2023–24. This includes evaluations delivered internally, externally or in a hybrid approach</w:t>
            </w:r>
          </w:p>
        </w:tc>
      </w:tr>
      <w:tr w:rsidR="0049167F" w:rsidRPr="00540E64" w14:paraId="620850DF"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7FC187A8" w14:textId="77777777" w:rsidR="0049167F" w:rsidRPr="00C51975" w:rsidRDefault="0049167F">
            <w:pPr>
              <w:pStyle w:val="TableTextLeft"/>
              <w:rPr>
                <w:rStyle w:val="Strong"/>
                <w:b/>
                <w:bCs/>
              </w:rPr>
            </w:pPr>
            <w:r w:rsidRPr="00C51975">
              <w:rPr>
                <w:rStyle w:val="Strong"/>
                <w:b/>
                <w:bCs/>
              </w:rPr>
              <w:t>Areas of focus</w:t>
            </w:r>
          </w:p>
        </w:tc>
        <w:tc>
          <w:tcPr>
            <w:tcW w:w="2835" w:type="dxa"/>
            <w:shd w:val="clear" w:color="auto" w:fill="auto"/>
          </w:tcPr>
          <w:p w14:paraId="3E7E3324" w14:textId="77777777" w:rsidR="0049167F" w:rsidRPr="00C51975" w:rsidRDefault="0049167F">
            <w:pPr>
              <w:pStyle w:val="Bullet"/>
              <w:cnfStyle w:val="000000000000" w:firstRow="0" w:lastRow="0" w:firstColumn="0" w:lastColumn="0" w:oddVBand="0" w:evenVBand="0" w:oddHBand="0" w:evenHBand="0" w:firstRowFirstColumn="0" w:firstRowLastColumn="0" w:lastRowFirstColumn="0" w:lastRowLastColumn="0"/>
              <w:rPr>
                <w:sz w:val="18"/>
                <w:szCs w:val="16"/>
              </w:rPr>
            </w:pPr>
            <w:r w:rsidRPr="00C51975">
              <w:rPr>
                <w:sz w:val="18"/>
                <w:szCs w:val="16"/>
              </w:rPr>
              <w:t>Formal Evaluation (</w:t>
            </w:r>
            <w:r>
              <w:rPr>
                <w:sz w:val="18"/>
                <w:szCs w:val="16"/>
              </w:rPr>
              <w:t>that is,</w:t>
            </w:r>
            <w:r w:rsidRPr="00C51975">
              <w:rPr>
                <w:sz w:val="18"/>
                <w:szCs w:val="16"/>
              </w:rPr>
              <w:t xml:space="preserve"> commissioned evaluations)</w:t>
            </w:r>
          </w:p>
          <w:p w14:paraId="0A7CB057" w14:textId="77777777" w:rsidR="0049167F" w:rsidRPr="00C51975" w:rsidRDefault="0049167F">
            <w:pPr>
              <w:pStyle w:val="Bullet"/>
              <w:cnfStyle w:val="000000000000" w:firstRow="0" w:lastRow="0" w:firstColumn="0" w:lastColumn="0" w:oddVBand="0" w:evenVBand="0" w:oddHBand="0" w:evenHBand="0" w:firstRowFirstColumn="0" w:firstRowLastColumn="0" w:lastRowFirstColumn="0" w:lastRowLastColumn="0"/>
              <w:rPr>
                <w:sz w:val="18"/>
                <w:szCs w:val="16"/>
              </w:rPr>
            </w:pPr>
            <w:r w:rsidRPr="00C51975">
              <w:rPr>
                <w:sz w:val="18"/>
                <w:szCs w:val="16"/>
              </w:rPr>
              <w:t>Informal evaluation and monitoring (</w:t>
            </w:r>
            <w:r>
              <w:rPr>
                <w:sz w:val="18"/>
                <w:szCs w:val="16"/>
              </w:rPr>
              <w:t>that is,</w:t>
            </w:r>
            <w:r w:rsidRPr="00C51975">
              <w:rPr>
                <w:sz w:val="18"/>
                <w:szCs w:val="16"/>
              </w:rPr>
              <w:t xml:space="preserve"> the routine use of evaluation planning, tools, and approaches as part of everyday business</w:t>
            </w:r>
            <w:r>
              <w:rPr>
                <w:sz w:val="18"/>
                <w:szCs w:val="16"/>
              </w:rPr>
              <w:t>)</w:t>
            </w:r>
          </w:p>
        </w:tc>
        <w:tc>
          <w:tcPr>
            <w:tcW w:w="2835" w:type="dxa"/>
            <w:shd w:val="clear" w:color="auto" w:fill="auto"/>
          </w:tcPr>
          <w:p w14:paraId="6C85BF49" w14:textId="77777777" w:rsidR="0049167F" w:rsidRPr="00C51975" w:rsidRDefault="0049167F">
            <w:pPr>
              <w:pStyle w:val="Bullet"/>
              <w:cnfStyle w:val="000000000000" w:firstRow="0" w:lastRow="0" w:firstColumn="0" w:lastColumn="0" w:oddVBand="0" w:evenVBand="0" w:oddHBand="0" w:evenHBand="0" w:firstRowFirstColumn="0" w:firstRowLastColumn="0" w:lastRowFirstColumn="0" w:lastRowLastColumn="0"/>
              <w:rPr>
                <w:sz w:val="18"/>
                <w:szCs w:val="16"/>
              </w:rPr>
            </w:pPr>
            <w:r w:rsidRPr="00C51975">
              <w:rPr>
                <w:sz w:val="18"/>
                <w:szCs w:val="16"/>
              </w:rPr>
              <w:t>Formal Evaluation (</w:t>
            </w:r>
            <w:r>
              <w:rPr>
                <w:sz w:val="18"/>
                <w:szCs w:val="16"/>
              </w:rPr>
              <w:t>that is,</w:t>
            </w:r>
            <w:r w:rsidRPr="00C51975">
              <w:rPr>
                <w:sz w:val="18"/>
                <w:szCs w:val="16"/>
              </w:rPr>
              <w:t xml:space="preserve"> commissioned evaluations)</w:t>
            </w:r>
          </w:p>
        </w:tc>
      </w:tr>
      <w:tr w:rsidR="0049167F" w:rsidRPr="00540E64" w14:paraId="45BA45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741376DE" w14:textId="77777777" w:rsidR="0049167F" w:rsidRPr="00C51975" w:rsidRDefault="0049167F">
            <w:pPr>
              <w:pStyle w:val="TableTextLeft"/>
              <w:rPr>
                <w:rStyle w:val="Strong"/>
                <w:b/>
                <w:bCs/>
              </w:rPr>
            </w:pPr>
            <w:r w:rsidRPr="00C51975">
              <w:rPr>
                <w:rStyle w:val="Strong"/>
                <w:b/>
                <w:bCs/>
              </w:rPr>
              <w:t>Structure</w:t>
            </w:r>
          </w:p>
        </w:tc>
        <w:tc>
          <w:tcPr>
            <w:tcW w:w="2835" w:type="dxa"/>
            <w:shd w:val="clear" w:color="auto" w:fill="auto"/>
          </w:tcPr>
          <w:p w14:paraId="29C40628"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The survey is structured as follows:</w:t>
            </w:r>
          </w:p>
          <w:p w14:paraId="602CE866"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Agency information, including agency</w:t>
            </w:r>
            <w:r w:rsidRPr="00C51975">
              <w:rPr>
                <w:sz w:val="18"/>
                <w:szCs w:val="16"/>
              </w:rPr>
              <w:noBreakHyphen/>
              <w:t>level governance arrangements</w:t>
            </w:r>
          </w:p>
          <w:p w14:paraId="35DC6FEA"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Evaluation design and planning</w:t>
            </w:r>
          </w:p>
          <w:p w14:paraId="64BE3C32"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Evaluation use</w:t>
            </w:r>
          </w:p>
          <w:p w14:paraId="71184259"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Evaluation capability and capability building</w:t>
            </w:r>
          </w:p>
        </w:tc>
        <w:tc>
          <w:tcPr>
            <w:tcW w:w="2835" w:type="dxa"/>
            <w:shd w:val="clear" w:color="auto" w:fill="auto"/>
          </w:tcPr>
          <w:p w14:paraId="4AB637A8"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 xml:space="preserve">For each formal evaluation, the stocktake will collect information about the: </w:t>
            </w:r>
          </w:p>
          <w:p w14:paraId="4B821474"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Design and delivery</w:t>
            </w:r>
          </w:p>
          <w:p w14:paraId="5857799C"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Analytical methods</w:t>
            </w:r>
          </w:p>
          <w:p w14:paraId="2EE13CD9"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Status and timeframes</w:t>
            </w:r>
          </w:p>
          <w:p w14:paraId="11E82F3F"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Evidence use and publication</w:t>
            </w:r>
          </w:p>
          <w:p w14:paraId="13693245" w14:textId="77777777" w:rsidR="0049167F" w:rsidRPr="00C51975" w:rsidRDefault="0049167F">
            <w:pPr>
              <w:pStyle w:val="Bullet"/>
              <w:cnfStyle w:val="000000100000" w:firstRow="0" w:lastRow="0" w:firstColumn="0" w:lastColumn="0" w:oddVBand="0" w:evenVBand="0" w:oddHBand="1" w:evenHBand="0" w:firstRowFirstColumn="0" w:firstRowLastColumn="0" w:lastRowFirstColumn="0" w:lastRowLastColumn="0"/>
              <w:rPr>
                <w:sz w:val="18"/>
                <w:szCs w:val="16"/>
              </w:rPr>
            </w:pPr>
            <w:r w:rsidRPr="00C51975">
              <w:rPr>
                <w:sz w:val="18"/>
                <w:szCs w:val="16"/>
              </w:rPr>
              <w:t>Alignment with Budget Framework and Commonwealth Performance Framework</w:t>
            </w:r>
          </w:p>
        </w:tc>
      </w:tr>
      <w:tr w:rsidR="0049167F" w:rsidRPr="00540E64" w14:paraId="1D78BC77"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15FF8D55" w14:textId="77777777" w:rsidR="0049167F" w:rsidRPr="00C51975" w:rsidRDefault="0049167F">
            <w:pPr>
              <w:pStyle w:val="TableTextLeft"/>
              <w:rPr>
                <w:rStyle w:val="Strong"/>
                <w:b/>
                <w:bCs/>
              </w:rPr>
            </w:pPr>
            <w:r w:rsidRPr="00C51975">
              <w:rPr>
                <w:rStyle w:val="Strong"/>
                <w:b/>
                <w:bCs/>
              </w:rPr>
              <w:t>Response format</w:t>
            </w:r>
          </w:p>
        </w:tc>
        <w:tc>
          <w:tcPr>
            <w:tcW w:w="2835" w:type="dxa"/>
            <w:shd w:val="clear" w:color="auto" w:fill="auto"/>
          </w:tcPr>
          <w:p w14:paraId="07DDAAA2" w14:textId="77777777" w:rsidR="0049167F" w:rsidRPr="00C51975" w:rsidRDefault="0049167F">
            <w:pPr>
              <w:pStyle w:val="TableTextLeft"/>
              <w:cnfStyle w:val="000000000000" w:firstRow="0" w:lastRow="0" w:firstColumn="0" w:lastColumn="0" w:oddVBand="0" w:evenVBand="0" w:oddHBand="0" w:evenHBand="0" w:firstRowFirstColumn="0" w:firstRowLastColumn="0" w:lastRowFirstColumn="0" w:lastRowLastColumn="0"/>
            </w:pPr>
            <w:r w:rsidRPr="00C51975">
              <w:t>One survey response per agency</w:t>
            </w:r>
          </w:p>
        </w:tc>
        <w:tc>
          <w:tcPr>
            <w:tcW w:w="2835" w:type="dxa"/>
            <w:shd w:val="clear" w:color="auto" w:fill="auto"/>
          </w:tcPr>
          <w:p w14:paraId="5DE7B788" w14:textId="77777777" w:rsidR="0049167F" w:rsidRPr="00C51975" w:rsidRDefault="0049167F">
            <w:pPr>
              <w:pStyle w:val="TableTextLeft"/>
              <w:cnfStyle w:val="000000000000" w:firstRow="0" w:lastRow="0" w:firstColumn="0" w:lastColumn="0" w:oddVBand="0" w:evenVBand="0" w:oddHBand="0" w:evenHBand="0" w:firstRowFirstColumn="0" w:firstRowLastColumn="0" w:lastRowFirstColumn="0" w:lastRowLastColumn="0"/>
            </w:pPr>
            <w:r w:rsidRPr="00C51975">
              <w:t xml:space="preserve">Itemised list of formal evaluations planned, commenced and/or completed with a focus on the </w:t>
            </w:r>
            <w:r w:rsidRPr="00C51975">
              <w:br/>
              <w:t>2023 – 24 period</w:t>
            </w:r>
          </w:p>
        </w:tc>
      </w:tr>
    </w:tbl>
    <w:p w14:paraId="100FFAAF" w14:textId="77777777" w:rsidR="0047175D" w:rsidRDefault="0047175D">
      <w:pPr>
        <w:spacing w:before="0" w:after="160" w:line="259" w:lineRule="auto"/>
        <w:rPr>
          <w:rFonts w:ascii="Calibri" w:hAnsi="Calibri" w:cs="Arial"/>
          <w:b/>
          <w:color w:val="2C384A" w:themeColor="accent1"/>
          <w:kern w:val="32"/>
          <w:sz w:val="28"/>
          <w:szCs w:val="26"/>
        </w:rPr>
      </w:pPr>
      <w:r>
        <w:br w:type="page"/>
      </w:r>
    </w:p>
    <w:p w14:paraId="6EB2E9D8" w14:textId="0AEDF681" w:rsidR="00AF0A0A" w:rsidRDefault="00AF0A0A" w:rsidP="00AF0A0A">
      <w:pPr>
        <w:pStyle w:val="Heading1"/>
      </w:pPr>
      <w:bookmarkStart w:id="30" w:name="_Toc189820835"/>
      <w:r>
        <w:lastRenderedPageBreak/>
        <w:t xml:space="preserve">Appendix </w:t>
      </w:r>
      <w:r w:rsidR="008236CB">
        <w:t>3</w:t>
      </w:r>
      <w:r w:rsidR="00CF7B75">
        <w:t xml:space="preserve">: </w:t>
      </w:r>
      <w:r>
        <w:t>Responding entities</w:t>
      </w:r>
      <w:bookmarkEnd w:id="30"/>
    </w:p>
    <w:p w14:paraId="7394E26E" w14:textId="65E1CA37" w:rsidR="00A200EF" w:rsidRDefault="00A200EF" w:rsidP="00405F68">
      <w:r>
        <w:t xml:space="preserve">This appendix lists all </w:t>
      </w:r>
      <w:r w:rsidR="00183AB1">
        <w:t>responding entities below:</w:t>
      </w:r>
    </w:p>
    <w:p w14:paraId="4B0C84F4" w14:textId="1D0CEEE4" w:rsidR="00405F68" w:rsidRDefault="007E2D38" w:rsidP="00405F68">
      <w:r w:rsidRPr="007E2D38">
        <w:t xml:space="preserve">Army Amenities Fund (AAF) </w:t>
      </w:r>
      <w:r w:rsidR="00405F68">
        <w:t>Company</w:t>
      </w:r>
    </w:p>
    <w:p w14:paraId="3A557482" w14:textId="77777777" w:rsidR="00405F68" w:rsidRDefault="00405F68" w:rsidP="00405F68">
      <w:r>
        <w:t>Administrative Appeals Tribunal</w:t>
      </w:r>
    </w:p>
    <w:p w14:paraId="7B638055" w14:textId="77777777" w:rsidR="00405F68" w:rsidRDefault="00405F68" w:rsidP="00405F68">
      <w:proofErr w:type="spellStart"/>
      <w:r>
        <w:t>AgriFutures</w:t>
      </w:r>
      <w:proofErr w:type="spellEnd"/>
      <w:r>
        <w:t xml:space="preserve"> Australia</w:t>
      </w:r>
    </w:p>
    <w:p w14:paraId="333F264E" w14:textId="77777777" w:rsidR="00405F68" w:rsidRDefault="00405F68" w:rsidP="00405F68">
      <w:r>
        <w:t>Army and Air Force Canteen Service</w:t>
      </w:r>
    </w:p>
    <w:p w14:paraId="18AD47B2" w14:textId="77777777" w:rsidR="00405F68" w:rsidRDefault="00405F68" w:rsidP="00405F68">
      <w:r>
        <w:t>Asbestos and Silica Safety and Eradication Agency</w:t>
      </w:r>
    </w:p>
    <w:p w14:paraId="4AA42479" w14:textId="563943C2" w:rsidR="00405F68" w:rsidRDefault="00405F68" w:rsidP="00405F68">
      <w:r>
        <w:t>A</w:t>
      </w:r>
      <w:r w:rsidR="00D169CA">
        <w:t xml:space="preserve">ustralian </w:t>
      </w:r>
      <w:r>
        <w:t>S</w:t>
      </w:r>
      <w:r w:rsidR="00D169CA">
        <w:t xml:space="preserve">ecurity </w:t>
      </w:r>
      <w:r>
        <w:t>I</w:t>
      </w:r>
      <w:r w:rsidR="00D169CA">
        <w:t xml:space="preserve">ntelligence </w:t>
      </w:r>
      <w:r>
        <w:t>O</w:t>
      </w:r>
      <w:r w:rsidR="00D169CA">
        <w:t>rganisation</w:t>
      </w:r>
      <w:r w:rsidR="001F24D1">
        <w:t xml:space="preserve"> (ASIO)</w:t>
      </w:r>
    </w:p>
    <w:p w14:paraId="16180143" w14:textId="77777777" w:rsidR="00405F68" w:rsidRDefault="00405F68" w:rsidP="00405F68">
      <w:r>
        <w:t>Attorney General’s Department</w:t>
      </w:r>
    </w:p>
    <w:p w14:paraId="31F52FDF" w14:textId="77777777" w:rsidR="00405F68" w:rsidRDefault="00405F68" w:rsidP="00405F68">
      <w:r>
        <w:t xml:space="preserve">Australia Post </w:t>
      </w:r>
    </w:p>
    <w:p w14:paraId="263A5142" w14:textId="77777777" w:rsidR="00405F68" w:rsidRDefault="00405F68" w:rsidP="00405F68">
      <w:r>
        <w:t>Australian Broadcasting Corporation</w:t>
      </w:r>
    </w:p>
    <w:p w14:paraId="264C2340" w14:textId="77777777" w:rsidR="00405F68" w:rsidRDefault="00405F68" w:rsidP="00405F68">
      <w:r>
        <w:t>Australian Bureau of Statistics</w:t>
      </w:r>
    </w:p>
    <w:p w14:paraId="51F112A9" w14:textId="77777777" w:rsidR="00405F68" w:rsidRDefault="00405F68" w:rsidP="00405F68">
      <w:r>
        <w:t>Australian Communications and Media Authority</w:t>
      </w:r>
    </w:p>
    <w:p w14:paraId="2865B104" w14:textId="77777777" w:rsidR="00405F68" w:rsidRDefault="00405F68" w:rsidP="00405F68">
      <w:r>
        <w:t>Australian Digital Health Agency</w:t>
      </w:r>
    </w:p>
    <w:p w14:paraId="6044B533" w14:textId="77777777" w:rsidR="00405F68" w:rsidRDefault="00405F68" w:rsidP="00405F68">
      <w:r>
        <w:t>Australian Federal Police</w:t>
      </w:r>
    </w:p>
    <w:p w14:paraId="46E8620F" w14:textId="77777777" w:rsidR="00405F68" w:rsidRDefault="00405F68" w:rsidP="00405F68">
      <w:r>
        <w:t>Australian Financial Security Authority</w:t>
      </w:r>
    </w:p>
    <w:p w14:paraId="5C06AEF1" w14:textId="77777777" w:rsidR="00405F68" w:rsidRDefault="00405F68" w:rsidP="00405F68">
      <w:r>
        <w:t xml:space="preserve">Australian Human Rights Commission </w:t>
      </w:r>
    </w:p>
    <w:p w14:paraId="0772370F" w14:textId="77777777" w:rsidR="00405F68" w:rsidRDefault="00405F68" w:rsidP="00405F68">
      <w:r>
        <w:t>Australian Institute of Health and Welfare</w:t>
      </w:r>
    </w:p>
    <w:p w14:paraId="43B6F651" w14:textId="77777777" w:rsidR="00405F68" w:rsidRDefault="00405F68" w:rsidP="00405F68">
      <w:r>
        <w:t>Australian Institute of Marine Science</w:t>
      </w:r>
    </w:p>
    <w:p w14:paraId="5D146049" w14:textId="77777777" w:rsidR="00405F68" w:rsidRDefault="00405F68" w:rsidP="00405F68">
      <w:r>
        <w:t>Australian Military Forces Relief Trust Fund</w:t>
      </w:r>
    </w:p>
    <w:p w14:paraId="71BEA8B5" w14:textId="77777777" w:rsidR="00405F68" w:rsidRDefault="00405F68" w:rsidP="00405F68">
      <w:r>
        <w:t>Australian Nuclear Science and Technology Organisation</w:t>
      </w:r>
    </w:p>
    <w:p w14:paraId="3A5B1FF1" w14:textId="77777777" w:rsidR="00405F68" w:rsidRDefault="00405F68" w:rsidP="00405F68">
      <w:r>
        <w:t>Australian Prudential Regulation Authority (APRA)</w:t>
      </w:r>
    </w:p>
    <w:p w14:paraId="54E52183" w14:textId="77777777" w:rsidR="00405F68" w:rsidRDefault="00405F68" w:rsidP="00405F68">
      <w:r>
        <w:t>Australian Rail Track Corporation Ltd</w:t>
      </w:r>
    </w:p>
    <w:p w14:paraId="75438AEF" w14:textId="77777777" w:rsidR="00405F68" w:rsidRDefault="00405F68" w:rsidP="00405F68">
      <w:r>
        <w:t>Australian Reinsurance Pool Corporation</w:t>
      </w:r>
    </w:p>
    <w:p w14:paraId="3B35E5B1" w14:textId="77777777" w:rsidR="00405F68" w:rsidRDefault="00405F68" w:rsidP="00405F68">
      <w:r>
        <w:t>Australian Securities and Investments Commission</w:t>
      </w:r>
    </w:p>
    <w:p w14:paraId="1DB97C50" w14:textId="77777777" w:rsidR="00405F68" w:rsidRDefault="00405F68" w:rsidP="00405F68">
      <w:r>
        <w:t>Australian Signals Directorate (ASD)</w:t>
      </w:r>
    </w:p>
    <w:p w14:paraId="6FE2C7B3" w14:textId="77777777" w:rsidR="00405F68" w:rsidRDefault="00405F68" w:rsidP="00405F68">
      <w:r>
        <w:t>Australian Sports Commission</w:t>
      </w:r>
    </w:p>
    <w:p w14:paraId="6A141888" w14:textId="77777777" w:rsidR="00405F68" w:rsidRDefault="00405F68" w:rsidP="00405F68">
      <w:r>
        <w:t>Australian Taxation Office</w:t>
      </w:r>
    </w:p>
    <w:p w14:paraId="1FFE1903" w14:textId="77777777" w:rsidR="00405F68" w:rsidRDefault="00405F68" w:rsidP="00405F68">
      <w:r>
        <w:t>Australian Trade and Investment Commission (Austrade)</w:t>
      </w:r>
    </w:p>
    <w:p w14:paraId="72124860" w14:textId="77777777" w:rsidR="00405F68" w:rsidRDefault="00405F68" w:rsidP="00405F68">
      <w:r>
        <w:t>Bundanoon Trust</w:t>
      </w:r>
    </w:p>
    <w:p w14:paraId="426F853C" w14:textId="77777777" w:rsidR="00405F68" w:rsidRDefault="00405F68" w:rsidP="00405F68">
      <w:r>
        <w:t>Bureau of Meteorology</w:t>
      </w:r>
    </w:p>
    <w:p w14:paraId="4B571A19" w14:textId="77777777" w:rsidR="00405F68" w:rsidRDefault="00405F68" w:rsidP="00405F68">
      <w:r>
        <w:t>Cancer Australia</w:t>
      </w:r>
    </w:p>
    <w:p w14:paraId="67911FF9" w14:textId="77777777" w:rsidR="00405F68" w:rsidRDefault="00405F68" w:rsidP="00405F68">
      <w:r>
        <w:t>Civil Aviation Safety Authority (CASA)</w:t>
      </w:r>
    </w:p>
    <w:p w14:paraId="45848D11" w14:textId="77777777" w:rsidR="00405F68" w:rsidRDefault="00405F68" w:rsidP="00405F68">
      <w:r>
        <w:t>Clean Energy Regulator</w:t>
      </w:r>
    </w:p>
    <w:p w14:paraId="09249773" w14:textId="77777777" w:rsidR="00405F68" w:rsidRDefault="00405F68" w:rsidP="00405F68">
      <w:r>
        <w:lastRenderedPageBreak/>
        <w:t>Climate Change Authority</w:t>
      </w:r>
    </w:p>
    <w:p w14:paraId="5BD2DB2F" w14:textId="77777777" w:rsidR="00405F68" w:rsidRDefault="00405F68" w:rsidP="00405F68">
      <w:r>
        <w:t>Coal Mining Industry (Long Service Leave Funding) Corporation</w:t>
      </w:r>
    </w:p>
    <w:p w14:paraId="432F940F" w14:textId="77777777" w:rsidR="00405F68" w:rsidRDefault="00405F68" w:rsidP="00405F68">
      <w:r>
        <w:t>Comcare</w:t>
      </w:r>
    </w:p>
    <w:p w14:paraId="134FD234" w14:textId="77777777" w:rsidR="00405F68" w:rsidRDefault="00405F68" w:rsidP="00405F68">
      <w:r>
        <w:t>Commonwealth Grants Commission</w:t>
      </w:r>
    </w:p>
    <w:p w14:paraId="783FC4B1" w14:textId="77777777" w:rsidR="00405F68" w:rsidRDefault="00405F68" w:rsidP="00405F68">
      <w:r>
        <w:t>Commonwealth Scientific Industrial Research Organisation (CSIRO)</w:t>
      </w:r>
    </w:p>
    <w:p w14:paraId="4169B628" w14:textId="77777777" w:rsidR="00405F68" w:rsidRDefault="00405F68" w:rsidP="00405F68">
      <w:r>
        <w:t>Department of Agriculture, Fisheries and Forestry</w:t>
      </w:r>
    </w:p>
    <w:p w14:paraId="0F7E001D" w14:textId="77777777" w:rsidR="00405F68" w:rsidRDefault="00405F68" w:rsidP="00405F68">
      <w:r>
        <w:t>Department of Climate Change, Energy, the Environment and Water</w:t>
      </w:r>
    </w:p>
    <w:p w14:paraId="6FD71B5E" w14:textId="77777777" w:rsidR="00405F68" w:rsidRDefault="00405F68" w:rsidP="00405F68">
      <w:r>
        <w:t>Department of Education</w:t>
      </w:r>
    </w:p>
    <w:p w14:paraId="2A41E640" w14:textId="77777777" w:rsidR="00405F68" w:rsidRDefault="00405F68" w:rsidP="00405F68">
      <w:r>
        <w:t>Department of Employment and Workplace Relations</w:t>
      </w:r>
    </w:p>
    <w:p w14:paraId="3D2AFDE4" w14:textId="77777777" w:rsidR="00405F68" w:rsidRDefault="00405F68" w:rsidP="00405F68">
      <w:r>
        <w:t>Department of Finance</w:t>
      </w:r>
    </w:p>
    <w:p w14:paraId="355AE919" w14:textId="77777777" w:rsidR="00405F68" w:rsidRDefault="00405F68" w:rsidP="00405F68">
      <w:r>
        <w:t>Department of Foreign Affairs and Trade</w:t>
      </w:r>
    </w:p>
    <w:p w14:paraId="7BAD32AE" w14:textId="77777777" w:rsidR="00405F68" w:rsidRDefault="00405F68" w:rsidP="00405F68">
      <w:r>
        <w:t>Department of Health and Aged Care</w:t>
      </w:r>
    </w:p>
    <w:p w14:paraId="3E7E2BCE" w14:textId="77777777" w:rsidR="00405F68" w:rsidRDefault="00405F68" w:rsidP="00405F68">
      <w:r>
        <w:t>Department of Home Affairs</w:t>
      </w:r>
    </w:p>
    <w:p w14:paraId="09635B93" w14:textId="77777777" w:rsidR="00405F68" w:rsidRDefault="00405F68" w:rsidP="00405F68">
      <w:r>
        <w:t>Department of Industry, Science and Resources</w:t>
      </w:r>
    </w:p>
    <w:p w14:paraId="43BCD2CB" w14:textId="77777777" w:rsidR="00405F68" w:rsidRDefault="00405F68" w:rsidP="00405F68">
      <w:r>
        <w:t>Department of Infrastructure, Transport, Regional Development, Communications and the Arts</w:t>
      </w:r>
    </w:p>
    <w:p w14:paraId="3DEF9F05" w14:textId="77777777" w:rsidR="00405F68" w:rsidRDefault="00405F68" w:rsidP="00405F68">
      <w:r>
        <w:t>Department of Social Services</w:t>
      </w:r>
    </w:p>
    <w:p w14:paraId="2CB46486" w14:textId="77777777" w:rsidR="00405F68" w:rsidRDefault="00405F68" w:rsidP="00405F68">
      <w:r>
        <w:t>Department of the House of Representatives</w:t>
      </w:r>
    </w:p>
    <w:p w14:paraId="1F813D20" w14:textId="77777777" w:rsidR="00405F68" w:rsidRDefault="00405F68" w:rsidP="00405F68">
      <w:r>
        <w:t>Department of the Prime Minister and Cabinet</w:t>
      </w:r>
    </w:p>
    <w:p w14:paraId="3C12C34D" w14:textId="77777777" w:rsidR="00405F68" w:rsidRDefault="00405F68" w:rsidP="00405F68">
      <w:r>
        <w:t>Department of the Senate</w:t>
      </w:r>
    </w:p>
    <w:p w14:paraId="36DB302C" w14:textId="77777777" w:rsidR="00405F68" w:rsidRDefault="00405F68" w:rsidP="00405F68">
      <w:r>
        <w:t>Department of the Treasury</w:t>
      </w:r>
    </w:p>
    <w:p w14:paraId="11D3E19A" w14:textId="77777777" w:rsidR="00405F68" w:rsidRDefault="00405F68" w:rsidP="00405F68">
      <w:r>
        <w:t>Department of Veterans’ Affairs</w:t>
      </w:r>
    </w:p>
    <w:p w14:paraId="08828DB7" w14:textId="77777777" w:rsidR="00405F68" w:rsidRDefault="00405F68" w:rsidP="00405F68">
      <w:r>
        <w:t>Domestic Family and Sexual Violence Commission</w:t>
      </w:r>
    </w:p>
    <w:p w14:paraId="138364DF" w14:textId="77777777" w:rsidR="00405F68" w:rsidRDefault="00405F68" w:rsidP="00405F68">
      <w:proofErr w:type="spellStart"/>
      <w:r>
        <w:t>eSafety</w:t>
      </w:r>
      <w:proofErr w:type="spellEnd"/>
      <w:r>
        <w:t xml:space="preserve"> Commissioner</w:t>
      </w:r>
    </w:p>
    <w:p w14:paraId="32C18C1D" w14:textId="77777777" w:rsidR="00405F68" w:rsidRDefault="00405F68" w:rsidP="00405F68">
      <w:r>
        <w:t>Federal Court of Australia</w:t>
      </w:r>
    </w:p>
    <w:p w14:paraId="46290ADA" w14:textId="77777777" w:rsidR="00405F68" w:rsidRDefault="00405F68" w:rsidP="00405F68">
      <w:r>
        <w:t>Fisheries Research &amp; Development Corporation</w:t>
      </w:r>
    </w:p>
    <w:p w14:paraId="2F9230A0" w14:textId="77777777" w:rsidR="00405F68" w:rsidRDefault="00405F68" w:rsidP="00405F68">
      <w:r>
        <w:t>Food Standards Australia New Zealand</w:t>
      </w:r>
    </w:p>
    <w:p w14:paraId="16604564" w14:textId="77777777" w:rsidR="00405F68" w:rsidRDefault="00405F68" w:rsidP="00405F68">
      <w:r>
        <w:t>Future Fund Management Agency</w:t>
      </w:r>
    </w:p>
    <w:p w14:paraId="0652C9F3" w14:textId="77777777" w:rsidR="00405F68" w:rsidRDefault="00405F68" w:rsidP="00405F68">
      <w:r>
        <w:t>Geoscience Australia</w:t>
      </w:r>
    </w:p>
    <w:p w14:paraId="311A20BB" w14:textId="77777777" w:rsidR="00405F68" w:rsidRDefault="00405F68" w:rsidP="00405F68">
      <w:r>
        <w:t>Grains Research &amp; Development Corporation</w:t>
      </w:r>
    </w:p>
    <w:p w14:paraId="52667B47" w14:textId="77777777" w:rsidR="00405F68" w:rsidRDefault="00405F68" w:rsidP="00405F68">
      <w:r>
        <w:t>High Speed Rail Authority</w:t>
      </w:r>
    </w:p>
    <w:p w14:paraId="4094285D" w14:textId="77777777" w:rsidR="00405F68" w:rsidRDefault="00405F68" w:rsidP="00405F68">
      <w:r>
        <w:t>Housing Australia</w:t>
      </w:r>
    </w:p>
    <w:p w14:paraId="0EDD3BE6" w14:textId="77777777" w:rsidR="00405F68" w:rsidRDefault="00405F68" w:rsidP="00405F68">
      <w:r>
        <w:t>Infrastructure Australia</w:t>
      </w:r>
    </w:p>
    <w:p w14:paraId="584F9E4D" w14:textId="77777777" w:rsidR="00405F68" w:rsidRDefault="00405F68" w:rsidP="00405F68">
      <w:r>
        <w:t>Inspector General of Intelligence and Security (IGIS)</w:t>
      </w:r>
    </w:p>
    <w:p w14:paraId="0178CF36" w14:textId="77777777" w:rsidR="00405F68" w:rsidRDefault="00405F68" w:rsidP="00405F68">
      <w:r>
        <w:t>Inspector General of Taxation and Taxation Ombudsman</w:t>
      </w:r>
    </w:p>
    <w:p w14:paraId="12B1F8ED" w14:textId="77777777" w:rsidR="00405F68" w:rsidRDefault="00405F68" w:rsidP="00405F68">
      <w:r>
        <w:t>IP Australia</w:t>
      </w:r>
    </w:p>
    <w:p w14:paraId="50A75951" w14:textId="77777777" w:rsidR="00405F68" w:rsidRDefault="00405F68" w:rsidP="00405F68">
      <w:r>
        <w:lastRenderedPageBreak/>
        <w:t>Murray Darling Basin Authority</w:t>
      </w:r>
    </w:p>
    <w:p w14:paraId="3F1A46C4" w14:textId="77777777" w:rsidR="00405F68" w:rsidRDefault="00405F68" w:rsidP="00405F68">
      <w:r>
        <w:t>National Competition Council</w:t>
      </w:r>
    </w:p>
    <w:p w14:paraId="6E199030" w14:textId="77777777" w:rsidR="00405F68" w:rsidRDefault="00405F68" w:rsidP="00405F68">
      <w:r>
        <w:t>National Disability Insurance Agency</w:t>
      </w:r>
    </w:p>
    <w:p w14:paraId="65BD6A1C" w14:textId="77777777" w:rsidR="00405F68" w:rsidRDefault="00405F68" w:rsidP="00405F68">
      <w:r>
        <w:t>National Emergency Management Agency</w:t>
      </w:r>
    </w:p>
    <w:p w14:paraId="2E9CAAEF" w14:textId="77777777" w:rsidR="00405F68" w:rsidRDefault="00405F68" w:rsidP="00405F68">
      <w:r>
        <w:t xml:space="preserve">National Health and Medical Research Council </w:t>
      </w:r>
    </w:p>
    <w:p w14:paraId="4B5668D7" w14:textId="77777777" w:rsidR="00405F68" w:rsidRDefault="00405F68" w:rsidP="00405F68">
      <w:r>
        <w:t>National Indigenous Australians Agency</w:t>
      </w:r>
    </w:p>
    <w:p w14:paraId="4D00EE06" w14:textId="77777777" w:rsidR="00405F68" w:rsidRDefault="00405F68" w:rsidP="00405F68">
      <w:r>
        <w:t xml:space="preserve">National Mental Health Commission </w:t>
      </w:r>
    </w:p>
    <w:p w14:paraId="37B847ED" w14:textId="77777777" w:rsidR="00405F68" w:rsidRDefault="00405F68" w:rsidP="00405F68">
      <w:r>
        <w:t>National Reconstruction Fund Corporation</w:t>
      </w:r>
    </w:p>
    <w:p w14:paraId="33AC3095" w14:textId="77777777" w:rsidR="00405F68" w:rsidRDefault="00405F68" w:rsidP="00405F68">
      <w:r>
        <w:t>Office of Parliamentary Counsel</w:t>
      </w:r>
    </w:p>
    <w:p w14:paraId="6FD083AA" w14:textId="77777777" w:rsidR="00405F68" w:rsidRDefault="00405F68" w:rsidP="00405F68">
      <w:r>
        <w:t>Office of the Australian Information Commissioner (OAIC)</w:t>
      </w:r>
    </w:p>
    <w:p w14:paraId="2D581229" w14:textId="77777777" w:rsidR="00405F68" w:rsidRDefault="00405F68" w:rsidP="00405F68">
      <w:r>
        <w:t>Office of the Fair Work Ombudsman</w:t>
      </w:r>
    </w:p>
    <w:p w14:paraId="26BD7D0C" w14:textId="77777777" w:rsidR="00405F68" w:rsidRDefault="00405F68" w:rsidP="00405F68">
      <w:r>
        <w:t>Organ and Tissue Authority</w:t>
      </w:r>
    </w:p>
    <w:p w14:paraId="4E72FA25" w14:textId="77777777" w:rsidR="00405F68" w:rsidRDefault="00405F68" w:rsidP="00405F68">
      <w:r>
        <w:t>Productivity Commission</w:t>
      </w:r>
    </w:p>
    <w:p w14:paraId="2BF32D8B" w14:textId="77777777" w:rsidR="00405F68" w:rsidRDefault="00405F68" w:rsidP="00405F68">
      <w:r>
        <w:t>Professional Services Review</w:t>
      </w:r>
    </w:p>
    <w:p w14:paraId="2B26E7A4" w14:textId="77777777" w:rsidR="00405F68" w:rsidRDefault="00405F68" w:rsidP="00405F68">
      <w:r>
        <w:t>Regional Investment Corporation</w:t>
      </w:r>
    </w:p>
    <w:p w14:paraId="0E91569F" w14:textId="77777777" w:rsidR="00405F68" w:rsidRDefault="00405F68" w:rsidP="00405F68">
      <w:r>
        <w:t>Reserve Bank of Australia</w:t>
      </w:r>
    </w:p>
    <w:p w14:paraId="78B4D5A5" w14:textId="77777777" w:rsidR="00405F68" w:rsidRDefault="00405F68" w:rsidP="00405F68">
      <w:r>
        <w:t>Royal Australian Mint</w:t>
      </w:r>
    </w:p>
    <w:p w14:paraId="4C750A82" w14:textId="77777777" w:rsidR="00405F68" w:rsidRDefault="00405F68" w:rsidP="00405F68">
      <w:r>
        <w:t>Royal Australian Navy Central Canteens Board (RANCCB) trading as The Navy’s Anchorage (TNA)</w:t>
      </w:r>
    </w:p>
    <w:p w14:paraId="412108E6" w14:textId="77777777" w:rsidR="00405F68" w:rsidRDefault="00405F68" w:rsidP="00405F68">
      <w:r>
        <w:t>Safe Work Australia</w:t>
      </w:r>
    </w:p>
    <w:p w14:paraId="2B5F3A12" w14:textId="77777777" w:rsidR="00405F68" w:rsidRDefault="00405F68" w:rsidP="00405F68">
      <w:r>
        <w:t>Screen Australia</w:t>
      </w:r>
    </w:p>
    <w:p w14:paraId="7F438832" w14:textId="77777777" w:rsidR="00405F68" w:rsidRDefault="00405F68" w:rsidP="00405F68">
      <w:r>
        <w:t>Services Australia</w:t>
      </w:r>
    </w:p>
    <w:p w14:paraId="5CCCE730" w14:textId="77777777" w:rsidR="00405F68" w:rsidRDefault="00405F68" w:rsidP="00405F68">
      <w:r>
        <w:t>Sydney Harbour Federation Trust</w:t>
      </w:r>
    </w:p>
    <w:p w14:paraId="3BCE148C" w14:textId="77777777" w:rsidR="00405F68" w:rsidRDefault="00405F68" w:rsidP="00405F68">
      <w:r>
        <w:t>Tertiary Education Quality and Standards Agency</w:t>
      </w:r>
    </w:p>
    <w:p w14:paraId="6BF71F37" w14:textId="77777777" w:rsidR="00405F68" w:rsidRDefault="00405F68" w:rsidP="00405F68">
      <w:r>
        <w:t>The Australian Institute for Teaching and School Leadership</w:t>
      </w:r>
    </w:p>
    <w:p w14:paraId="1793B035" w14:textId="02757174" w:rsidR="009F0EDD" w:rsidRDefault="00405F68" w:rsidP="00405F68">
      <w:r>
        <w:t>Workplace Gender Equality Agency</w:t>
      </w:r>
      <w:r w:rsidR="009F0EDD">
        <w:br w:type="page"/>
      </w:r>
    </w:p>
    <w:p w14:paraId="5A690F12" w14:textId="372971D3" w:rsidR="0044523F" w:rsidRPr="001650A7" w:rsidRDefault="0044523F" w:rsidP="0044523F">
      <w:pPr>
        <w:pStyle w:val="Heading1"/>
      </w:pPr>
      <w:bookmarkStart w:id="31" w:name="_Toc189820836"/>
      <w:r>
        <w:lastRenderedPageBreak/>
        <w:t xml:space="preserve">Appendix </w:t>
      </w:r>
      <w:r w:rsidR="008236CB">
        <w:t>4</w:t>
      </w:r>
      <w:r w:rsidR="00CF7B75">
        <w:t xml:space="preserve">: </w:t>
      </w:r>
      <w:r>
        <w:t>Stocktake results</w:t>
      </w:r>
      <w:bookmarkEnd w:id="31"/>
    </w:p>
    <w:p w14:paraId="0B73FE68" w14:textId="09E98305" w:rsidR="0044523F" w:rsidRDefault="0044523F" w:rsidP="00C51975">
      <w:pPr>
        <w:pStyle w:val="TableMainHeading"/>
      </w:pPr>
      <w:r>
        <w:t xml:space="preserve">Table </w:t>
      </w:r>
      <w:r w:rsidR="00237F13">
        <w:t>2</w:t>
      </w:r>
      <w:r>
        <w:t xml:space="preserve">: State of Evaluation </w:t>
      </w:r>
      <w:r w:rsidR="00C72715">
        <w:rPr>
          <w:noProof/>
        </w:rPr>
        <w:t>S</w:t>
      </w:r>
      <w:r>
        <w:rPr>
          <w:noProof/>
        </w:rPr>
        <w:t>tocktake summary</w:t>
      </w:r>
    </w:p>
    <w:tbl>
      <w:tblPr>
        <w:tblStyle w:val="TableGrid"/>
        <w:tblW w:w="0" w:type="auto"/>
        <w:tblBorders>
          <w:top w:val="single" w:sz="12" w:space="0" w:color="8CB59F" w:themeColor="accent2" w:themeTint="99"/>
          <w:left w:val="single" w:sz="12" w:space="0" w:color="8CB59F" w:themeColor="accent2" w:themeTint="99"/>
          <w:bottom w:val="single" w:sz="12" w:space="0" w:color="8CB59F" w:themeColor="accent2" w:themeTint="99"/>
          <w:right w:val="single" w:sz="12" w:space="0" w:color="8CB59F" w:themeColor="accent2" w:themeTint="99"/>
          <w:insideH w:val="single" w:sz="4" w:space="0" w:color="4D7861" w:themeColor="accent2"/>
          <w:insideV w:val="single" w:sz="4" w:space="0" w:color="4D7861" w:themeColor="accent2"/>
        </w:tblBorders>
        <w:tblLook w:val="04A0" w:firstRow="1" w:lastRow="0" w:firstColumn="1" w:lastColumn="0" w:noHBand="0" w:noVBand="1"/>
      </w:tblPr>
      <w:tblGrid>
        <w:gridCol w:w="5633"/>
        <w:gridCol w:w="1840"/>
        <w:gridCol w:w="1571"/>
      </w:tblGrid>
      <w:tr w:rsidR="0044523F" w:rsidRPr="00B52BC7" w14:paraId="2F073806" w14:textId="77777777" w:rsidTr="003613F2">
        <w:trPr>
          <w:cnfStyle w:val="100000000000" w:firstRow="1" w:lastRow="0" w:firstColumn="0" w:lastColumn="0" w:oddVBand="0" w:evenVBand="0" w:oddHBand="0" w:evenHBand="0" w:firstRowFirstColumn="0" w:firstRowLastColumn="0" w:lastRowFirstColumn="0" w:lastRowLastColumn="0"/>
        </w:trPr>
        <w:tc>
          <w:tcPr>
            <w:tcW w:w="5633" w:type="dxa"/>
            <w:tcBorders>
              <w:top w:val="single" w:sz="18" w:space="0" w:color="213657"/>
              <w:left w:val="single" w:sz="4" w:space="0" w:color="213657"/>
              <w:bottom w:val="single" w:sz="4" w:space="0" w:color="4D7861" w:themeColor="accent2"/>
              <w:right w:val="single" w:sz="18" w:space="0" w:color="213657"/>
            </w:tcBorders>
            <w:shd w:val="clear" w:color="auto" w:fill="213657"/>
          </w:tcPr>
          <w:p w14:paraId="4C3E4C74" w14:textId="77777777" w:rsidR="0044523F" w:rsidRPr="00C51975" w:rsidRDefault="0044523F" w:rsidP="00C51975">
            <w:pPr>
              <w:pStyle w:val="TableColumnHeadingLeft"/>
              <w:rPr>
                <w:b/>
                <w:bCs/>
                <w:color w:val="FFFFFF" w:themeColor="background1"/>
              </w:rPr>
            </w:pPr>
            <w:r w:rsidRPr="00C51975">
              <w:rPr>
                <w:b/>
                <w:bCs/>
                <w:color w:val="FFFFFF" w:themeColor="background1"/>
              </w:rPr>
              <w:t>Evaluation attributes</w:t>
            </w:r>
          </w:p>
        </w:tc>
        <w:tc>
          <w:tcPr>
            <w:tcW w:w="1840" w:type="dxa"/>
            <w:tcBorders>
              <w:top w:val="single" w:sz="18" w:space="0" w:color="213657"/>
              <w:left w:val="single" w:sz="18" w:space="0" w:color="213657"/>
              <w:bottom w:val="single" w:sz="4" w:space="0" w:color="4D7861" w:themeColor="accent2"/>
              <w:right w:val="single" w:sz="18" w:space="0" w:color="213657"/>
            </w:tcBorders>
            <w:shd w:val="clear" w:color="auto" w:fill="213657"/>
          </w:tcPr>
          <w:p w14:paraId="0D07EDDD" w14:textId="781951ED" w:rsidR="0044523F" w:rsidRPr="00C51975" w:rsidRDefault="0044523F" w:rsidP="00C51975">
            <w:pPr>
              <w:pStyle w:val="TableColumnHeadingLeft"/>
              <w:rPr>
                <w:b/>
                <w:bCs/>
                <w:color w:val="FFFFFF" w:themeColor="background1"/>
              </w:rPr>
            </w:pPr>
            <w:r w:rsidRPr="00C51975">
              <w:rPr>
                <w:b/>
                <w:bCs/>
                <w:color w:val="FFFFFF" w:themeColor="background1"/>
              </w:rPr>
              <w:t xml:space="preserve">Large entity evaluations </w:t>
            </w:r>
            <w:r w:rsidRPr="00C51975">
              <w:rPr>
                <w:b/>
                <w:bCs/>
                <w:color w:val="FFFFFF" w:themeColor="background1"/>
              </w:rPr>
              <w:br/>
              <w:t>n (%)</w:t>
            </w:r>
          </w:p>
        </w:tc>
        <w:tc>
          <w:tcPr>
            <w:tcW w:w="1571" w:type="dxa"/>
            <w:tcBorders>
              <w:top w:val="single" w:sz="18" w:space="0" w:color="213657"/>
              <w:left w:val="single" w:sz="18" w:space="0" w:color="213657"/>
              <w:bottom w:val="single" w:sz="4" w:space="0" w:color="4D7861" w:themeColor="accent2"/>
              <w:right w:val="single" w:sz="18" w:space="0" w:color="213657"/>
            </w:tcBorders>
            <w:shd w:val="clear" w:color="auto" w:fill="213657"/>
          </w:tcPr>
          <w:p w14:paraId="043CE419" w14:textId="3E35C4D3" w:rsidR="0044523F" w:rsidRPr="00C51975" w:rsidRDefault="0044523F" w:rsidP="00C51975">
            <w:pPr>
              <w:pStyle w:val="TableColumnHeadingLeft"/>
              <w:rPr>
                <w:b/>
                <w:bCs/>
                <w:color w:val="FFFFFF" w:themeColor="background1"/>
              </w:rPr>
            </w:pPr>
            <w:r w:rsidRPr="00C51975">
              <w:rPr>
                <w:b/>
                <w:bCs/>
                <w:color w:val="FFFFFF" w:themeColor="background1"/>
              </w:rPr>
              <w:t xml:space="preserve">All evaluations </w:t>
            </w:r>
            <w:r w:rsidR="00C51975">
              <w:rPr>
                <w:b/>
                <w:bCs/>
                <w:color w:val="FFFFFF" w:themeColor="background1"/>
              </w:rPr>
              <w:br/>
            </w:r>
            <w:r w:rsidRPr="00C51975">
              <w:rPr>
                <w:b/>
                <w:bCs/>
                <w:color w:val="FFFFFF" w:themeColor="background1"/>
              </w:rPr>
              <w:t>n (%)</w:t>
            </w:r>
          </w:p>
        </w:tc>
      </w:tr>
      <w:tr w:rsidR="0044523F" w14:paraId="6E253D02" w14:textId="77777777" w:rsidTr="003613F2">
        <w:tc>
          <w:tcPr>
            <w:tcW w:w="5633" w:type="dxa"/>
            <w:tcBorders>
              <w:top w:val="single" w:sz="4" w:space="0" w:color="4D7861" w:themeColor="accent2"/>
              <w:left w:val="single" w:sz="4" w:space="0" w:color="213657"/>
              <w:bottom w:val="single" w:sz="4" w:space="0" w:color="213657"/>
              <w:right w:val="single" w:sz="4" w:space="0" w:color="213657"/>
            </w:tcBorders>
          </w:tcPr>
          <w:p w14:paraId="42FD06B6" w14:textId="440119A2" w:rsidR="0044523F" w:rsidRPr="00C51975" w:rsidRDefault="0044523F" w:rsidP="00C51975">
            <w:pPr>
              <w:pStyle w:val="TableTextLeft"/>
              <w:spacing w:before="30" w:after="30"/>
              <w:rPr>
                <w:rStyle w:val="Strong"/>
              </w:rPr>
            </w:pPr>
            <w:r w:rsidRPr="00C51975">
              <w:rPr>
                <w:rStyle w:val="Strong"/>
              </w:rPr>
              <w:t>Evaluation stage</w:t>
            </w:r>
          </w:p>
        </w:tc>
        <w:tc>
          <w:tcPr>
            <w:tcW w:w="1840" w:type="dxa"/>
            <w:tcBorders>
              <w:top w:val="single" w:sz="4" w:space="0" w:color="4D7861" w:themeColor="accent2"/>
              <w:left w:val="single" w:sz="4" w:space="0" w:color="213657"/>
              <w:bottom w:val="single" w:sz="4" w:space="0" w:color="213657"/>
              <w:right w:val="single" w:sz="4" w:space="0" w:color="213657"/>
            </w:tcBorders>
          </w:tcPr>
          <w:p w14:paraId="7FF7475C" w14:textId="77777777" w:rsidR="0044523F" w:rsidRPr="00C51975" w:rsidRDefault="0044523F" w:rsidP="00C51975">
            <w:pPr>
              <w:pStyle w:val="TableTextLeft"/>
              <w:spacing w:before="30" w:after="30"/>
              <w:rPr>
                <w:rStyle w:val="Strong"/>
              </w:rPr>
            </w:pPr>
          </w:p>
        </w:tc>
        <w:tc>
          <w:tcPr>
            <w:tcW w:w="1571" w:type="dxa"/>
            <w:tcBorders>
              <w:top w:val="single" w:sz="4" w:space="0" w:color="4D7861" w:themeColor="accent2"/>
              <w:left w:val="single" w:sz="4" w:space="0" w:color="213657"/>
              <w:bottom w:val="single" w:sz="4" w:space="0" w:color="213657"/>
              <w:right w:val="single" w:sz="4" w:space="0" w:color="213657"/>
            </w:tcBorders>
          </w:tcPr>
          <w:p w14:paraId="4C798D0E" w14:textId="77777777" w:rsidR="0044523F" w:rsidRPr="00C51975" w:rsidRDefault="0044523F" w:rsidP="00C51975">
            <w:pPr>
              <w:pStyle w:val="TableTextLeft"/>
              <w:spacing w:before="30" w:after="30"/>
              <w:rPr>
                <w:rStyle w:val="Strong"/>
              </w:rPr>
            </w:pPr>
          </w:p>
        </w:tc>
      </w:tr>
      <w:tr w:rsidR="0044523F" w:rsidRPr="00F37B9C" w14:paraId="71462A19"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25A25749" w14:textId="77777777" w:rsidR="0044523F" w:rsidRPr="00AF44F8" w:rsidRDefault="0044523F" w:rsidP="00C51975">
            <w:pPr>
              <w:pStyle w:val="TableTextLeft"/>
              <w:spacing w:before="30" w:after="30"/>
            </w:pPr>
            <w:r w:rsidRPr="00AF44F8">
              <w:t>Planned</w:t>
            </w:r>
          </w:p>
        </w:tc>
        <w:tc>
          <w:tcPr>
            <w:tcW w:w="1840" w:type="dxa"/>
            <w:tcBorders>
              <w:top w:val="single" w:sz="4" w:space="0" w:color="213657"/>
              <w:left w:val="single" w:sz="4" w:space="0" w:color="213657"/>
              <w:bottom w:val="single" w:sz="4" w:space="0" w:color="213657"/>
              <w:right w:val="single" w:sz="4" w:space="0" w:color="213657"/>
            </w:tcBorders>
          </w:tcPr>
          <w:p w14:paraId="5FFB522D" w14:textId="1D91D529" w:rsidR="0044523F" w:rsidRPr="006C4AC3" w:rsidRDefault="00EE02EA" w:rsidP="00C51975">
            <w:pPr>
              <w:pStyle w:val="TableTextLeft"/>
              <w:spacing w:before="30" w:after="30"/>
            </w:pPr>
            <w:r w:rsidRPr="006C4AC3">
              <w:t>330(40%)</w:t>
            </w:r>
          </w:p>
        </w:tc>
        <w:tc>
          <w:tcPr>
            <w:tcW w:w="1571" w:type="dxa"/>
            <w:tcBorders>
              <w:top w:val="single" w:sz="4" w:space="0" w:color="213657"/>
              <w:left w:val="single" w:sz="4" w:space="0" w:color="213657"/>
              <w:bottom w:val="single" w:sz="4" w:space="0" w:color="213657"/>
              <w:right w:val="single" w:sz="4" w:space="0" w:color="213657"/>
            </w:tcBorders>
          </w:tcPr>
          <w:p w14:paraId="478C6D33" w14:textId="172601B5" w:rsidR="0044523F" w:rsidRPr="006C4AC3" w:rsidRDefault="00EE02EA" w:rsidP="00C51975">
            <w:pPr>
              <w:pStyle w:val="TableTextLeft"/>
              <w:spacing w:before="30" w:after="30"/>
              <w:rPr>
                <w:vertAlign w:val="subscript"/>
              </w:rPr>
            </w:pPr>
            <w:r w:rsidRPr="006C4AC3">
              <w:t>338</w:t>
            </w:r>
            <w:r w:rsidR="00605147" w:rsidRPr="006C4AC3">
              <w:t xml:space="preserve"> (</w:t>
            </w:r>
            <w:r w:rsidRPr="006C4AC3">
              <w:t>37</w:t>
            </w:r>
            <w:r w:rsidR="00605147" w:rsidRPr="006C4AC3">
              <w:t>%)</w:t>
            </w:r>
          </w:p>
        </w:tc>
      </w:tr>
      <w:tr w:rsidR="0044523F" w:rsidRPr="00F37B9C" w14:paraId="31C686D7"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2BC9E27E" w14:textId="77777777" w:rsidR="0044523F" w:rsidRPr="00AF44F8" w:rsidRDefault="0044523F" w:rsidP="00C51975">
            <w:pPr>
              <w:pStyle w:val="TableTextLeft"/>
              <w:spacing w:before="30" w:after="30"/>
            </w:pPr>
            <w:r w:rsidRPr="00AF44F8">
              <w:t>Commenced</w:t>
            </w:r>
          </w:p>
        </w:tc>
        <w:tc>
          <w:tcPr>
            <w:tcW w:w="1840" w:type="dxa"/>
            <w:tcBorders>
              <w:top w:val="single" w:sz="4" w:space="0" w:color="213657"/>
              <w:left w:val="single" w:sz="4" w:space="0" w:color="213657"/>
              <w:bottom w:val="single" w:sz="4" w:space="0" w:color="213657"/>
              <w:right w:val="single" w:sz="4" w:space="0" w:color="213657"/>
            </w:tcBorders>
          </w:tcPr>
          <w:p w14:paraId="7B02B457" w14:textId="75D39F6D" w:rsidR="0044523F" w:rsidRPr="006C4AC3" w:rsidRDefault="00EE02EA" w:rsidP="00C51975">
            <w:pPr>
              <w:pStyle w:val="TableTextLeft"/>
              <w:spacing w:before="30" w:after="30"/>
            </w:pPr>
            <w:r w:rsidRPr="006C4AC3">
              <w:t>223</w:t>
            </w:r>
            <w:r w:rsidR="00C824F6" w:rsidRPr="006C4AC3">
              <w:t xml:space="preserve"> (</w:t>
            </w:r>
            <w:r w:rsidRPr="006C4AC3">
              <w:t>27</w:t>
            </w:r>
            <w:r w:rsidR="00C824F6" w:rsidRPr="006C4AC3">
              <w:t>%)</w:t>
            </w:r>
          </w:p>
        </w:tc>
        <w:tc>
          <w:tcPr>
            <w:tcW w:w="1571" w:type="dxa"/>
            <w:tcBorders>
              <w:top w:val="single" w:sz="4" w:space="0" w:color="213657"/>
              <w:left w:val="single" w:sz="4" w:space="0" w:color="213657"/>
              <w:bottom w:val="single" w:sz="4" w:space="0" w:color="213657"/>
              <w:right w:val="single" w:sz="4" w:space="0" w:color="213657"/>
            </w:tcBorders>
          </w:tcPr>
          <w:p w14:paraId="31CD7321" w14:textId="19CB11C3" w:rsidR="0044523F" w:rsidRPr="006C4AC3" w:rsidRDefault="00EE02EA" w:rsidP="00C51975">
            <w:pPr>
              <w:pStyle w:val="TableTextLeft"/>
              <w:spacing w:before="30" w:after="30"/>
            </w:pPr>
            <w:r w:rsidRPr="006C4AC3">
              <w:t>252</w:t>
            </w:r>
            <w:r w:rsidR="00605147" w:rsidRPr="006C4AC3">
              <w:t xml:space="preserve"> (</w:t>
            </w:r>
            <w:r w:rsidRPr="006C4AC3">
              <w:t>27</w:t>
            </w:r>
            <w:r w:rsidR="00605147" w:rsidRPr="006C4AC3">
              <w:t>%)</w:t>
            </w:r>
          </w:p>
        </w:tc>
      </w:tr>
      <w:tr w:rsidR="0044523F" w:rsidRPr="00F37B9C" w14:paraId="287EDEBD"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282FB562" w14:textId="77777777" w:rsidR="0044523F" w:rsidRPr="00AF44F8" w:rsidRDefault="0044523F" w:rsidP="00C51975">
            <w:pPr>
              <w:pStyle w:val="TableTextLeft"/>
              <w:spacing w:before="30" w:after="30"/>
            </w:pPr>
            <w:r w:rsidRPr="00AF44F8">
              <w:t>Completed</w:t>
            </w:r>
          </w:p>
        </w:tc>
        <w:tc>
          <w:tcPr>
            <w:tcW w:w="1840" w:type="dxa"/>
            <w:tcBorders>
              <w:top w:val="single" w:sz="4" w:space="0" w:color="213657"/>
              <w:left w:val="single" w:sz="4" w:space="0" w:color="213657"/>
              <w:bottom w:val="single" w:sz="4" w:space="0" w:color="213657"/>
              <w:right w:val="single" w:sz="4" w:space="0" w:color="213657"/>
            </w:tcBorders>
          </w:tcPr>
          <w:p w14:paraId="494E2AD2" w14:textId="6BB49880" w:rsidR="0044523F" w:rsidRPr="006C4AC3" w:rsidRDefault="00EE02EA" w:rsidP="00C51975">
            <w:pPr>
              <w:pStyle w:val="TableTextLeft"/>
              <w:spacing w:before="30" w:after="30"/>
            </w:pPr>
            <w:r w:rsidRPr="006C4AC3">
              <w:t>279 (34%)</w:t>
            </w:r>
          </w:p>
        </w:tc>
        <w:tc>
          <w:tcPr>
            <w:tcW w:w="1571" w:type="dxa"/>
            <w:tcBorders>
              <w:top w:val="single" w:sz="4" w:space="0" w:color="213657"/>
              <w:left w:val="single" w:sz="4" w:space="0" w:color="213657"/>
              <w:bottom w:val="single" w:sz="4" w:space="0" w:color="213657"/>
              <w:right w:val="single" w:sz="4" w:space="0" w:color="213657"/>
            </w:tcBorders>
          </w:tcPr>
          <w:p w14:paraId="56CD994C" w14:textId="6FD9B92E" w:rsidR="0044523F" w:rsidRPr="006C4AC3" w:rsidRDefault="00EE02EA" w:rsidP="00C51975">
            <w:pPr>
              <w:pStyle w:val="TableTextLeft"/>
              <w:spacing w:before="30" w:after="30"/>
            </w:pPr>
            <w:r w:rsidRPr="006C4AC3">
              <w:t>331</w:t>
            </w:r>
            <w:r w:rsidR="00605147" w:rsidRPr="006C4AC3">
              <w:t xml:space="preserve"> (</w:t>
            </w:r>
            <w:r w:rsidRPr="006C4AC3">
              <w:t>36</w:t>
            </w:r>
            <w:r w:rsidR="00605147" w:rsidRPr="006C4AC3">
              <w:t>%)</w:t>
            </w:r>
          </w:p>
        </w:tc>
      </w:tr>
      <w:tr w:rsidR="00E6399D" w:rsidRPr="00F37B9C" w14:paraId="36FEA6E8"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3F90F9F7" w14:textId="6F8BA3F1" w:rsidR="00E6399D" w:rsidRPr="00AF44F8" w:rsidRDefault="00AB2F8C" w:rsidP="00C51975">
            <w:pPr>
              <w:pStyle w:val="TableTextLeft"/>
              <w:spacing w:before="30" w:after="30"/>
            </w:pPr>
            <w:r>
              <w:t>Unspecified</w:t>
            </w:r>
          </w:p>
        </w:tc>
        <w:tc>
          <w:tcPr>
            <w:tcW w:w="1840" w:type="dxa"/>
            <w:tcBorders>
              <w:top w:val="single" w:sz="4" w:space="0" w:color="213657"/>
              <w:left w:val="single" w:sz="4" w:space="0" w:color="213657"/>
              <w:bottom w:val="single" w:sz="4" w:space="0" w:color="213657"/>
              <w:right w:val="single" w:sz="4" w:space="0" w:color="213657"/>
            </w:tcBorders>
          </w:tcPr>
          <w:p w14:paraId="37D24289" w14:textId="38FA84FD" w:rsidR="00E6399D" w:rsidRPr="006C4AC3" w:rsidRDefault="003F2D30" w:rsidP="00C51975">
            <w:pPr>
              <w:pStyle w:val="TableTextLeft"/>
              <w:spacing w:before="30" w:after="30"/>
            </w:pPr>
            <w:r>
              <w:t>2 (0%)</w:t>
            </w:r>
          </w:p>
        </w:tc>
        <w:tc>
          <w:tcPr>
            <w:tcW w:w="1571" w:type="dxa"/>
            <w:tcBorders>
              <w:top w:val="single" w:sz="4" w:space="0" w:color="213657"/>
              <w:left w:val="single" w:sz="4" w:space="0" w:color="213657"/>
              <w:bottom w:val="single" w:sz="4" w:space="0" w:color="213657"/>
              <w:right w:val="single" w:sz="4" w:space="0" w:color="213657"/>
            </w:tcBorders>
          </w:tcPr>
          <w:p w14:paraId="184F5864" w14:textId="38CF78E6" w:rsidR="00E6399D" w:rsidRPr="006C4AC3" w:rsidRDefault="00E10ABA" w:rsidP="00C51975">
            <w:pPr>
              <w:pStyle w:val="TableTextLeft"/>
              <w:spacing w:before="30" w:after="30"/>
            </w:pPr>
            <w:r>
              <w:t>3</w:t>
            </w:r>
            <w:r w:rsidR="003F2D30">
              <w:t xml:space="preserve"> (0%)</w:t>
            </w:r>
          </w:p>
        </w:tc>
      </w:tr>
      <w:tr w:rsidR="0044523F" w14:paraId="45745C1A"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2633C23E" w14:textId="6186AD6D" w:rsidR="0044523F" w:rsidRPr="00C51975" w:rsidRDefault="0044523F" w:rsidP="00C51975">
            <w:pPr>
              <w:pStyle w:val="TableTextLeft"/>
              <w:spacing w:before="30" w:after="30"/>
              <w:rPr>
                <w:rStyle w:val="Strong"/>
              </w:rPr>
            </w:pPr>
            <w:r w:rsidRPr="00C51975">
              <w:rPr>
                <w:rStyle w:val="Strong"/>
              </w:rPr>
              <w:t>Assessment of effects on specific cohorts</w:t>
            </w:r>
            <w:r w:rsidR="00CB669E" w:rsidRPr="00CB669E">
              <w:rPr>
                <w:rStyle w:val="Strong"/>
                <w:vertAlign w:val="superscript"/>
              </w:rPr>
              <w:t>#</w:t>
            </w:r>
          </w:p>
        </w:tc>
        <w:tc>
          <w:tcPr>
            <w:tcW w:w="1840" w:type="dxa"/>
            <w:tcBorders>
              <w:top w:val="single" w:sz="4" w:space="0" w:color="213657"/>
              <w:left w:val="single" w:sz="4" w:space="0" w:color="213657"/>
              <w:bottom w:val="single" w:sz="4" w:space="0" w:color="213657"/>
              <w:right w:val="single" w:sz="4" w:space="0" w:color="213657"/>
            </w:tcBorders>
          </w:tcPr>
          <w:p w14:paraId="2AAF863D" w14:textId="77777777" w:rsidR="0044523F" w:rsidRPr="00C51975" w:rsidRDefault="0044523F" w:rsidP="00C51975">
            <w:pPr>
              <w:pStyle w:val="TableTextLeft"/>
              <w:spacing w:before="30" w:after="30"/>
              <w:rPr>
                <w:rStyle w:val="Strong"/>
              </w:rPr>
            </w:pPr>
          </w:p>
        </w:tc>
        <w:tc>
          <w:tcPr>
            <w:tcW w:w="1571" w:type="dxa"/>
            <w:tcBorders>
              <w:top w:val="single" w:sz="4" w:space="0" w:color="213657"/>
              <w:left w:val="single" w:sz="4" w:space="0" w:color="213657"/>
              <w:bottom w:val="single" w:sz="4" w:space="0" w:color="213657"/>
              <w:right w:val="single" w:sz="4" w:space="0" w:color="213657"/>
            </w:tcBorders>
          </w:tcPr>
          <w:p w14:paraId="2ABD911A" w14:textId="77777777" w:rsidR="0044523F" w:rsidRPr="00C51975" w:rsidRDefault="0044523F" w:rsidP="00C51975">
            <w:pPr>
              <w:pStyle w:val="TableTextLeft"/>
              <w:spacing w:before="30" w:after="30"/>
              <w:rPr>
                <w:rStyle w:val="Strong"/>
              </w:rPr>
            </w:pPr>
          </w:p>
        </w:tc>
      </w:tr>
      <w:tr w:rsidR="0044523F" w14:paraId="19DC5D98"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1BFE1A21" w14:textId="77777777" w:rsidR="0044523F" w:rsidRPr="00AF44F8" w:rsidRDefault="0044523F" w:rsidP="00C51975">
            <w:pPr>
              <w:pStyle w:val="TableTextLeft"/>
              <w:spacing w:before="30" w:after="30"/>
            </w:pPr>
            <w:r w:rsidRPr="00AF44F8">
              <w:t>First Nations</w:t>
            </w:r>
          </w:p>
        </w:tc>
        <w:tc>
          <w:tcPr>
            <w:tcW w:w="1840" w:type="dxa"/>
            <w:tcBorders>
              <w:top w:val="single" w:sz="4" w:space="0" w:color="213657"/>
              <w:left w:val="single" w:sz="4" w:space="0" w:color="213657"/>
              <w:bottom w:val="single" w:sz="4" w:space="0" w:color="213657"/>
              <w:right w:val="single" w:sz="4" w:space="0" w:color="213657"/>
            </w:tcBorders>
          </w:tcPr>
          <w:p w14:paraId="7E3D1ECE" w14:textId="3CDEE45E" w:rsidR="0044523F" w:rsidRPr="006C4AC3" w:rsidRDefault="0044523F" w:rsidP="00C51975">
            <w:pPr>
              <w:pStyle w:val="TableTextLeft"/>
              <w:spacing w:before="30" w:after="30"/>
            </w:pPr>
            <w:r w:rsidRPr="006C4AC3">
              <w:t>157 (</w:t>
            </w:r>
            <w:r w:rsidR="00EE02EA" w:rsidRPr="006C4AC3">
              <w:t>51</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09D3B53B" w14:textId="393EEAC6" w:rsidR="0044523F" w:rsidRPr="006C4AC3" w:rsidRDefault="0044523F" w:rsidP="00C51975">
            <w:pPr>
              <w:pStyle w:val="TableTextLeft"/>
              <w:spacing w:before="30" w:after="30"/>
            </w:pPr>
            <w:r w:rsidRPr="006C4AC3">
              <w:t>174 (</w:t>
            </w:r>
            <w:r w:rsidR="00EE02EA" w:rsidRPr="006C4AC3">
              <w:t>48</w:t>
            </w:r>
            <w:r w:rsidRPr="006C4AC3">
              <w:t>%)</w:t>
            </w:r>
          </w:p>
        </w:tc>
      </w:tr>
      <w:tr w:rsidR="0044523F" w14:paraId="459F9201"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35FF5CCC" w14:textId="77777777" w:rsidR="0044523F" w:rsidRPr="00AF44F8" w:rsidRDefault="0044523F" w:rsidP="00C51975">
            <w:pPr>
              <w:pStyle w:val="TableTextLeft"/>
              <w:spacing w:before="30" w:after="30"/>
            </w:pPr>
            <w:r w:rsidRPr="00AF44F8">
              <w:t>Gender</w:t>
            </w:r>
          </w:p>
        </w:tc>
        <w:tc>
          <w:tcPr>
            <w:tcW w:w="1840" w:type="dxa"/>
            <w:tcBorders>
              <w:top w:val="single" w:sz="4" w:space="0" w:color="213657"/>
              <w:left w:val="single" w:sz="4" w:space="0" w:color="213657"/>
              <w:bottom w:val="single" w:sz="4" w:space="0" w:color="213657"/>
              <w:right w:val="single" w:sz="4" w:space="0" w:color="213657"/>
            </w:tcBorders>
          </w:tcPr>
          <w:p w14:paraId="2097CA04" w14:textId="1BF04A0B" w:rsidR="0044523F" w:rsidRPr="006C4AC3" w:rsidRDefault="00EE02EA" w:rsidP="00C51975">
            <w:pPr>
              <w:pStyle w:val="TableTextLeft"/>
              <w:spacing w:before="30" w:after="30"/>
            </w:pPr>
            <w:r w:rsidRPr="006C4AC3">
              <w:t>119</w:t>
            </w:r>
            <w:r w:rsidR="0044523F" w:rsidRPr="006C4AC3">
              <w:t xml:space="preserve"> (</w:t>
            </w:r>
            <w:r w:rsidRPr="006C4AC3">
              <w:t>39</w:t>
            </w:r>
            <w:r w:rsidR="0044523F" w:rsidRPr="006C4AC3">
              <w:t>%)</w:t>
            </w:r>
          </w:p>
        </w:tc>
        <w:tc>
          <w:tcPr>
            <w:tcW w:w="1571" w:type="dxa"/>
            <w:tcBorders>
              <w:top w:val="single" w:sz="4" w:space="0" w:color="213657"/>
              <w:left w:val="single" w:sz="4" w:space="0" w:color="213657"/>
              <w:bottom w:val="single" w:sz="4" w:space="0" w:color="213657"/>
              <w:right w:val="single" w:sz="4" w:space="0" w:color="213657"/>
            </w:tcBorders>
          </w:tcPr>
          <w:p w14:paraId="7A2DAF00" w14:textId="593CED1A" w:rsidR="0044523F" w:rsidRPr="006C4AC3" w:rsidRDefault="00EE02EA" w:rsidP="00C51975">
            <w:pPr>
              <w:pStyle w:val="TableTextLeft"/>
              <w:spacing w:before="30" w:after="30"/>
            </w:pPr>
            <w:r w:rsidRPr="006C4AC3">
              <w:t>134</w:t>
            </w:r>
            <w:r w:rsidR="0044523F" w:rsidRPr="006C4AC3">
              <w:t xml:space="preserve"> (</w:t>
            </w:r>
            <w:r w:rsidRPr="006C4AC3">
              <w:t>37</w:t>
            </w:r>
            <w:r w:rsidR="0044523F" w:rsidRPr="006C4AC3">
              <w:t>%)</w:t>
            </w:r>
          </w:p>
        </w:tc>
      </w:tr>
      <w:tr w:rsidR="0044523F" w14:paraId="25944274"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15B105B6" w14:textId="77777777" w:rsidR="0044523F" w:rsidRPr="00AF44F8" w:rsidRDefault="0044523F" w:rsidP="00C51975">
            <w:pPr>
              <w:pStyle w:val="TableTextLeft"/>
              <w:spacing w:before="30" w:after="30"/>
            </w:pPr>
            <w:r w:rsidRPr="00AF44F8">
              <w:t>Culturally and Linguistically Diverse groups</w:t>
            </w:r>
          </w:p>
        </w:tc>
        <w:tc>
          <w:tcPr>
            <w:tcW w:w="1840" w:type="dxa"/>
            <w:tcBorders>
              <w:top w:val="single" w:sz="4" w:space="0" w:color="213657"/>
              <w:left w:val="single" w:sz="4" w:space="0" w:color="213657"/>
              <w:bottom w:val="single" w:sz="4" w:space="0" w:color="213657"/>
              <w:right w:val="single" w:sz="4" w:space="0" w:color="213657"/>
            </w:tcBorders>
          </w:tcPr>
          <w:p w14:paraId="4334C652" w14:textId="3813B3ED" w:rsidR="0044523F" w:rsidRPr="006C4AC3" w:rsidRDefault="0044523F" w:rsidP="00C51975">
            <w:pPr>
              <w:pStyle w:val="TableTextLeft"/>
              <w:spacing w:before="30" w:after="30"/>
            </w:pPr>
            <w:r w:rsidRPr="006C4AC3">
              <w:t>110 (</w:t>
            </w:r>
            <w:r w:rsidR="00EE02EA" w:rsidRPr="006C4AC3">
              <w:t>36</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5AA92243" w14:textId="74C4A315" w:rsidR="0044523F" w:rsidRPr="006C4AC3" w:rsidRDefault="0044523F" w:rsidP="00C51975">
            <w:pPr>
              <w:pStyle w:val="TableTextLeft"/>
              <w:spacing w:before="30" w:after="30"/>
            </w:pPr>
            <w:r w:rsidRPr="006C4AC3" w:rsidDel="004C6AA7">
              <w:t>1</w:t>
            </w:r>
            <w:r w:rsidRPr="006C4AC3">
              <w:t>20 (</w:t>
            </w:r>
            <w:r w:rsidR="00EE02EA" w:rsidRPr="006C4AC3">
              <w:t>33</w:t>
            </w:r>
            <w:r w:rsidRPr="006C4AC3">
              <w:t>%)</w:t>
            </w:r>
          </w:p>
        </w:tc>
      </w:tr>
      <w:tr w:rsidR="0044523F" w14:paraId="19EF884A"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43C61503" w14:textId="77777777" w:rsidR="0044523F" w:rsidRPr="00AF44F8" w:rsidRDefault="0044523F" w:rsidP="00C51975">
            <w:pPr>
              <w:pStyle w:val="TableTextLeft"/>
              <w:spacing w:before="30" w:after="30"/>
            </w:pPr>
            <w:r w:rsidRPr="00AF44F8">
              <w:t>Geography (regional/remote)</w:t>
            </w:r>
          </w:p>
        </w:tc>
        <w:tc>
          <w:tcPr>
            <w:tcW w:w="1840" w:type="dxa"/>
            <w:tcBorders>
              <w:top w:val="single" w:sz="4" w:space="0" w:color="213657"/>
              <w:left w:val="single" w:sz="4" w:space="0" w:color="213657"/>
              <w:bottom w:val="single" w:sz="4" w:space="0" w:color="213657"/>
              <w:right w:val="single" w:sz="4" w:space="0" w:color="213657"/>
            </w:tcBorders>
          </w:tcPr>
          <w:p w14:paraId="2120E8C3" w14:textId="38F750EC" w:rsidR="0044523F" w:rsidRPr="006C4AC3" w:rsidRDefault="0044523F" w:rsidP="00C51975">
            <w:pPr>
              <w:pStyle w:val="TableTextLeft"/>
              <w:spacing w:before="30" w:after="30"/>
            </w:pPr>
            <w:r w:rsidRPr="006C4AC3">
              <w:t>171 (</w:t>
            </w:r>
            <w:r w:rsidR="00EE02EA" w:rsidRPr="006C4AC3">
              <w:t>56</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068E3E0F" w14:textId="2121BD79" w:rsidR="0044523F" w:rsidRPr="006C4AC3" w:rsidRDefault="0044523F" w:rsidP="00C51975">
            <w:pPr>
              <w:pStyle w:val="TableTextLeft"/>
              <w:spacing w:before="30" w:after="30"/>
            </w:pPr>
            <w:r w:rsidRPr="006C4AC3">
              <w:t>220 (</w:t>
            </w:r>
            <w:r w:rsidR="00EE02EA" w:rsidRPr="006C4AC3">
              <w:t>60</w:t>
            </w:r>
            <w:r w:rsidRPr="006C4AC3">
              <w:t>%)</w:t>
            </w:r>
          </w:p>
        </w:tc>
      </w:tr>
      <w:tr w:rsidR="0044523F" w14:paraId="4169D9D5"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154C3343" w14:textId="44629043" w:rsidR="0044523F" w:rsidRPr="00AF44F8" w:rsidRDefault="0044523F" w:rsidP="00C51975">
            <w:pPr>
              <w:pStyle w:val="TableTextLeft"/>
              <w:spacing w:before="30" w:after="30"/>
            </w:pPr>
            <w:r w:rsidRPr="00AF44F8">
              <w:t>Age</w:t>
            </w:r>
            <w:r w:rsidR="00AD4DCC">
              <w:noBreakHyphen/>
            </w:r>
            <w:r w:rsidRPr="00AF44F8">
              <w:t>groups</w:t>
            </w:r>
          </w:p>
        </w:tc>
        <w:tc>
          <w:tcPr>
            <w:tcW w:w="1840" w:type="dxa"/>
            <w:tcBorders>
              <w:top w:val="single" w:sz="4" w:space="0" w:color="213657"/>
              <w:left w:val="single" w:sz="4" w:space="0" w:color="213657"/>
              <w:bottom w:val="single" w:sz="4" w:space="0" w:color="213657"/>
              <w:right w:val="single" w:sz="4" w:space="0" w:color="213657"/>
            </w:tcBorders>
          </w:tcPr>
          <w:p w14:paraId="2757438B" w14:textId="26640729" w:rsidR="0044523F" w:rsidRPr="006C4AC3" w:rsidRDefault="0044523F" w:rsidP="00C51975">
            <w:pPr>
              <w:pStyle w:val="TableTextLeft"/>
              <w:spacing w:before="30" w:after="30"/>
            </w:pPr>
            <w:r w:rsidRPr="006C4AC3">
              <w:t>88 (</w:t>
            </w:r>
            <w:r w:rsidR="00EE02EA" w:rsidRPr="006C4AC3">
              <w:t>29</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59C6F9CB" w14:textId="32291C62" w:rsidR="0044523F" w:rsidRPr="006C4AC3" w:rsidRDefault="0044523F" w:rsidP="00C51975">
            <w:pPr>
              <w:pStyle w:val="TableTextLeft"/>
              <w:spacing w:before="30" w:after="30"/>
            </w:pPr>
            <w:r w:rsidRPr="006C4AC3">
              <w:t>99 (</w:t>
            </w:r>
            <w:r w:rsidR="00EE02EA" w:rsidRPr="006C4AC3">
              <w:t>27</w:t>
            </w:r>
            <w:r w:rsidRPr="006C4AC3">
              <w:t>%)</w:t>
            </w:r>
          </w:p>
        </w:tc>
      </w:tr>
      <w:tr w:rsidR="0044523F" w14:paraId="0B76CE09"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14D6883D" w14:textId="77777777" w:rsidR="0044523F" w:rsidRPr="00C51975" w:rsidRDefault="0044523F" w:rsidP="00C51975">
            <w:pPr>
              <w:pStyle w:val="TableTextLeft"/>
              <w:spacing w:before="30" w:after="30"/>
              <w:rPr>
                <w:rStyle w:val="Strong"/>
              </w:rPr>
            </w:pPr>
            <w:r w:rsidRPr="00C51975">
              <w:rPr>
                <w:rStyle w:val="Strong"/>
              </w:rPr>
              <w:t>Evaluation delivery*</w:t>
            </w:r>
          </w:p>
        </w:tc>
        <w:tc>
          <w:tcPr>
            <w:tcW w:w="1840" w:type="dxa"/>
            <w:tcBorders>
              <w:top w:val="single" w:sz="4" w:space="0" w:color="213657"/>
              <w:left w:val="single" w:sz="4" w:space="0" w:color="213657"/>
              <w:bottom w:val="single" w:sz="4" w:space="0" w:color="213657"/>
              <w:right w:val="single" w:sz="4" w:space="0" w:color="213657"/>
            </w:tcBorders>
          </w:tcPr>
          <w:p w14:paraId="0535470F" w14:textId="77777777" w:rsidR="0044523F" w:rsidRPr="00C51975" w:rsidRDefault="0044523F" w:rsidP="00C51975">
            <w:pPr>
              <w:pStyle w:val="TableTextLeft"/>
              <w:spacing w:before="30" w:after="30"/>
              <w:rPr>
                <w:rStyle w:val="Strong"/>
              </w:rPr>
            </w:pPr>
          </w:p>
        </w:tc>
        <w:tc>
          <w:tcPr>
            <w:tcW w:w="1571" w:type="dxa"/>
            <w:tcBorders>
              <w:top w:val="single" w:sz="4" w:space="0" w:color="213657"/>
              <w:left w:val="single" w:sz="4" w:space="0" w:color="213657"/>
              <w:bottom w:val="single" w:sz="4" w:space="0" w:color="213657"/>
              <w:right w:val="single" w:sz="4" w:space="0" w:color="213657"/>
            </w:tcBorders>
          </w:tcPr>
          <w:p w14:paraId="67F3B515" w14:textId="77777777" w:rsidR="0044523F" w:rsidRPr="00C51975" w:rsidRDefault="0044523F" w:rsidP="00C51975">
            <w:pPr>
              <w:pStyle w:val="TableTextLeft"/>
              <w:spacing w:before="30" w:after="30"/>
              <w:rPr>
                <w:rStyle w:val="Strong"/>
              </w:rPr>
            </w:pPr>
          </w:p>
        </w:tc>
      </w:tr>
      <w:tr w:rsidR="0044523F" w:rsidRPr="00B1766B" w14:paraId="7E6FFE87"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67CAD5DB" w14:textId="77777777" w:rsidR="0044523F" w:rsidRPr="00AF44F8" w:rsidRDefault="0044523F" w:rsidP="00C51975">
            <w:pPr>
              <w:pStyle w:val="TableTextLeft"/>
              <w:spacing w:before="30" w:after="30"/>
            </w:pPr>
            <w:r w:rsidRPr="00AF44F8">
              <w:t>Internal</w:t>
            </w:r>
          </w:p>
        </w:tc>
        <w:tc>
          <w:tcPr>
            <w:tcW w:w="1840" w:type="dxa"/>
            <w:tcBorders>
              <w:top w:val="single" w:sz="4" w:space="0" w:color="213657"/>
              <w:left w:val="single" w:sz="4" w:space="0" w:color="213657"/>
              <w:bottom w:val="single" w:sz="4" w:space="0" w:color="213657"/>
              <w:right w:val="single" w:sz="4" w:space="0" w:color="213657"/>
            </w:tcBorders>
          </w:tcPr>
          <w:p w14:paraId="6B7B214D" w14:textId="5A65F594" w:rsidR="0044523F" w:rsidRPr="006C4AC3" w:rsidRDefault="0044523F" w:rsidP="00C51975">
            <w:pPr>
              <w:pStyle w:val="TableTextLeft"/>
              <w:spacing w:before="30" w:after="30"/>
            </w:pPr>
            <w:r w:rsidRPr="006C4AC3">
              <w:t>231 (</w:t>
            </w:r>
            <w:r w:rsidR="00E06B75" w:rsidRPr="006C4AC3">
              <w:t>37</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6DB972A4" w14:textId="10B177ED" w:rsidR="0044523F" w:rsidRPr="006C4AC3" w:rsidRDefault="0044523F" w:rsidP="00C51975">
            <w:pPr>
              <w:pStyle w:val="TableTextLeft"/>
              <w:spacing w:before="30" w:after="30"/>
            </w:pPr>
            <w:r w:rsidRPr="006C4AC3">
              <w:t>24</w:t>
            </w:r>
            <w:r w:rsidR="007D75E3" w:rsidRPr="006C4AC3">
              <w:t>9</w:t>
            </w:r>
            <w:r w:rsidRPr="006C4AC3">
              <w:t xml:space="preserve"> (3</w:t>
            </w:r>
            <w:r w:rsidR="00E06B75" w:rsidRPr="006C4AC3">
              <w:t>5</w:t>
            </w:r>
            <w:r w:rsidRPr="006C4AC3">
              <w:t>%)</w:t>
            </w:r>
          </w:p>
        </w:tc>
      </w:tr>
      <w:tr w:rsidR="0044523F" w:rsidRPr="00B1766B" w14:paraId="79B91AC2"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2984721D" w14:textId="77777777" w:rsidR="0044523F" w:rsidRPr="00AF44F8" w:rsidRDefault="0044523F" w:rsidP="00C51975">
            <w:pPr>
              <w:pStyle w:val="TableTextLeft"/>
              <w:spacing w:before="30" w:after="30"/>
            </w:pPr>
            <w:r w:rsidRPr="00AF44F8">
              <w:t>External</w:t>
            </w:r>
          </w:p>
        </w:tc>
        <w:tc>
          <w:tcPr>
            <w:tcW w:w="1840" w:type="dxa"/>
            <w:tcBorders>
              <w:top w:val="single" w:sz="4" w:space="0" w:color="213657"/>
              <w:left w:val="single" w:sz="4" w:space="0" w:color="213657"/>
              <w:bottom w:val="single" w:sz="4" w:space="0" w:color="213657"/>
              <w:right w:val="single" w:sz="4" w:space="0" w:color="213657"/>
            </w:tcBorders>
          </w:tcPr>
          <w:p w14:paraId="591A79C2" w14:textId="5D03D09D" w:rsidR="0044523F" w:rsidRPr="006C4AC3" w:rsidRDefault="00EE02EA" w:rsidP="00C51975">
            <w:pPr>
              <w:pStyle w:val="TableTextLeft"/>
              <w:spacing w:before="30" w:after="30"/>
            </w:pPr>
            <w:r w:rsidRPr="006C4AC3">
              <w:t>259</w:t>
            </w:r>
            <w:r w:rsidR="0044523F" w:rsidRPr="006C4AC3">
              <w:t xml:space="preserve"> (</w:t>
            </w:r>
            <w:r w:rsidR="00E06B75" w:rsidRPr="006C4AC3">
              <w:t>42</w:t>
            </w:r>
            <w:r w:rsidR="0044523F" w:rsidRPr="006C4AC3">
              <w:t>%)</w:t>
            </w:r>
          </w:p>
        </w:tc>
        <w:tc>
          <w:tcPr>
            <w:tcW w:w="1571" w:type="dxa"/>
            <w:tcBorders>
              <w:top w:val="single" w:sz="4" w:space="0" w:color="213657"/>
              <w:left w:val="single" w:sz="4" w:space="0" w:color="213657"/>
              <w:bottom w:val="single" w:sz="4" w:space="0" w:color="213657"/>
              <w:right w:val="single" w:sz="4" w:space="0" w:color="213657"/>
            </w:tcBorders>
          </w:tcPr>
          <w:p w14:paraId="67BDDC4B" w14:textId="1BC01364" w:rsidR="0044523F" w:rsidRPr="006C4AC3" w:rsidRDefault="00E06B75" w:rsidP="00C51975">
            <w:pPr>
              <w:pStyle w:val="TableTextLeft"/>
              <w:spacing w:before="30" w:after="30"/>
            </w:pPr>
            <w:r w:rsidRPr="006C4AC3">
              <w:t>309</w:t>
            </w:r>
            <w:r w:rsidR="0044523F" w:rsidRPr="006C4AC3">
              <w:t xml:space="preserve"> (</w:t>
            </w:r>
            <w:r w:rsidR="006737CC" w:rsidRPr="006C4AC3">
              <w:t>4</w:t>
            </w:r>
            <w:r w:rsidRPr="006C4AC3">
              <w:t>3</w:t>
            </w:r>
            <w:r w:rsidR="0044523F" w:rsidRPr="006C4AC3">
              <w:t>%)</w:t>
            </w:r>
          </w:p>
        </w:tc>
      </w:tr>
      <w:tr w:rsidR="0044523F" w:rsidRPr="00B1766B" w14:paraId="79745A0A"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4D448BCC" w14:textId="77777777" w:rsidR="0044523F" w:rsidRPr="00AF44F8" w:rsidRDefault="0044523F" w:rsidP="00C51975">
            <w:pPr>
              <w:pStyle w:val="TableTextLeft"/>
              <w:spacing w:before="30" w:after="30"/>
            </w:pPr>
            <w:r w:rsidRPr="00AF44F8">
              <w:t>Hybrid</w:t>
            </w:r>
          </w:p>
        </w:tc>
        <w:tc>
          <w:tcPr>
            <w:tcW w:w="1840" w:type="dxa"/>
            <w:tcBorders>
              <w:top w:val="single" w:sz="4" w:space="0" w:color="213657"/>
              <w:left w:val="single" w:sz="4" w:space="0" w:color="213657"/>
              <w:bottom w:val="single" w:sz="4" w:space="0" w:color="213657"/>
              <w:right w:val="single" w:sz="4" w:space="0" w:color="213657"/>
            </w:tcBorders>
          </w:tcPr>
          <w:p w14:paraId="59B3ECBF" w14:textId="4B33F417" w:rsidR="0044523F" w:rsidRPr="006C4AC3" w:rsidRDefault="00E06B75" w:rsidP="00C51975">
            <w:pPr>
              <w:pStyle w:val="TableTextLeft"/>
              <w:spacing w:before="30" w:after="30"/>
            </w:pPr>
            <w:r w:rsidRPr="006C4AC3">
              <w:t>133</w:t>
            </w:r>
            <w:r w:rsidR="0044523F" w:rsidRPr="006C4AC3">
              <w:t xml:space="preserve"> (</w:t>
            </w:r>
            <w:r w:rsidRPr="006C4AC3">
              <w:t>21</w:t>
            </w:r>
            <w:r w:rsidR="0044523F" w:rsidRPr="006C4AC3">
              <w:t>%)</w:t>
            </w:r>
          </w:p>
        </w:tc>
        <w:tc>
          <w:tcPr>
            <w:tcW w:w="1571" w:type="dxa"/>
            <w:tcBorders>
              <w:top w:val="single" w:sz="4" w:space="0" w:color="213657"/>
              <w:left w:val="single" w:sz="4" w:space="0" w:color="213657"/>
              <w:bottom w:val="single" w:sz="4" w:space="0" w:color="213657"/>
              <w:right w:val="single" w:sz="4" w:space="0" w:color="213657"/>
            </w:tcBorders>
          </w:tcPr>
          <w:p w14:paraId="668E3AD8" w14:textId="15F33BEF" w:rsidR="0044523F" w:rsidRPr="006C4AC3" w:rsidRDefault="0044523F" w:rsidP="00C51975">
            <w:pPr>
              <w:pStyle w:val="TableTextLeft"/>
              <w:spacing w:before="30" w:after="30"/>
            </w:pPr>
            <w:r w:rsidRPr="006C4AC3">
              <w:t>15</w:t>
            </w:r>
            <w:r w:rsidR="00E06B75" w:rsidRPr="006C4AC3">
              <w:t>4</w:t>
            </w:r>
            <w:r w:rsidRPr="006C4AC3">
              <w:t xml:space="preserve"> (</w:t>
            </w:r>
            <w:r w:rsidR="00E06B75" w:rsidRPr="006C4AC3">
              <w:t>22</w:t>
            </w:r>
            <w:r w:rsidRPr="006C4AC3">
              <w:t>%)</w:t>
            </w:r>
          </w:p>
        </w:tc>
      </w:tr>
      <w:tr w:rsidR="0044523F" w14:paraId="5B7E4DA1"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7FAF2F36" w14:textId="6F8BB845" w:rsidR="0044523F" w:rsidRPr="00C51975" w:rsidRDefault="0044523F" w:rsidP="00C51975">
            <w:pPr>
              <w:pStyle w:val="TableTextLeft"/>
              <w:spacing w:before="30" w:after="30"/>
              <w:rPr>
                <w:rStyle w:val="Strong"/>
              </w:rPr>
            </w:pPr>
            <w:r w:rsidRPr="00C51975">
              <w:rPr>
                <w:rStyle w:val="Strong"/>
              </w:rPr>
              <w:t>Evaluation Type</w:t>
            </w:r>
          </w:p>
        </w:tc>
        <w:tc>
          <w:tcPr>
            <w:tcW w:w="1840" w:type="dxa"/>
            <w:tcBorders>
              <w:top w:val="single" w:sz="4" w:space="0" w:color="213657"/>
              <w:left w:val="single" w:sz="4" w:space="0" w:color="213657"/>
              <w:bottom w:val="single" w:sz="4" w:space="0" w:color="213657"/>
              <w:right w:val="single" w:sz="4" w:space="0" w:color="213657"/>
            </w:tcBorders>
          </w:tcPr>
          <w:p w14:paraId="7EB314F0" w14:textId="77777777" w:rsidR="0044523F" w:rsidRPr="00C51975" w:rsidRDefault="0044523F" w:rsidP="00C51975">
            <w:pPr>
              <w:pStyle w:val="TableTextLeft"/>
              <w:spacing w:before="30" w:after="30"/>
              <w:rPr>
                <w:rStyle w:val="Strong"/>
              </w:rPr>
            </w:pPr>
          </w:p>
        </w:tc>
        <w:tc>
          <w:tcPr>
            <w:tcW w:w="1571" w:type="dxa"/>
            <w:tcBorders>
              <w:top w:val="single" w:sz="4" w:space="0" w:color="213657"/>
              <w:left w:val="single" w:sz="4" w:space="0" w:color="213657"/>
              <w:bottom w:val="single" w:sz="4" w:space="0" w:color="213657"/>
              <w:right w:val="single" w:sz="4" w:space="0" w:color="213657"/>
            </w:tcBorders>
          </w:tcPr>
          <w:p w14:paraId="373731CD" w14:textId="77777777" w:rsidR="0044523F" w:rsidRPr="00C51975" w:rsidRDefault="0044523F" w:rsidP="00C51975">
            <w:pPr>
              <w:pStyle w:val="TableTextLeft"/>
              <w:spacing w:before="30" w:after="30"/>
              <w:rPr>
                <w:rStyle w:val="Strong"/>
              </w:rPr>
            </w:pPr>
          </w:p>
        </w:tc>
      </w:tr>
      <w:tr w:rsidR="0044523F" w:rsidRPr="00B1766B" w14:paraId="2092C3EE"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1774F042" w14:textId="77777777" w:rsidR="0044523F" w:rsidRPr="00AF44F8" w:rsidRDefault="0044523F" w:rsidP="00C51975">
            <w:pPr>
              <w:pStyle w:val="TableTextLeft"/>
              <w:spacing w:before="30" w:after="30"/>
            </w:pPr>
            <w:r w:rsidRPr="00AF44F8">
              <w:t>Process</w:t>
            </w:r>
          </w:p>
        </w:tc>
        <w:tc>
          <w:tcPr>
            <w:tcW w:w="1840" w:type="dxa"/>
            <w:tcBorders>
              <w:top w:val="single" w:sz="4" w:space="0" w:color="213657"/>
              <w:left w:val="single" w:sz="4" w:space="0" w:color="213657"/>
              <w:bottom w:val="single" w:sz="4" w:space="0" w:color="213657"/>
              <w:right w:val="single" w:sz="4" w:space="0" w:color="213657"/>
            </w:tcBorders>
          </w:tcPr>
          <w:p w14:paraId="7C31D47D" w14:textId="53C24320" w:rsidR="0044523F" w:rsidRPr="006C4AC3" w:rsidRDefault="00CB7C59" w:rsidP="00C51975">
            <w:pPr>
              <w:pStyle w:val="TableTextLeft"/>
              <w:spacing w:before="30" w:after="30"/>
            </w:pPr>
            <w:r w:rsidRPr="006C4AC3">
              <w:t>2</w:t>
            </w:r>
            <w:r w:rsidR="00515327" w:rsidRPr="006C4AC3">
              <w:t>1</w:t>
            </w:r>
            <w:r w:rsidRPr="006C4AC3">
              <w:t xml:space="preserve"> (</w:t>
            </w:r>
            <w:r w:rsidR="004D3427" w:rsidRPr="006C4AC3">
              <w:t>4</w:t>
            </w:r>
            <w:r w:rsidRPr="006C4AC3">
              <w:t>%)</w:t>
            </w:r>
          </w:p>
        </w:tc>
        <w:tc>
          <w:tcPr>
            <w:tcW w:w="1571" w:type="dxa"/>
            <w:tcBorders>
              <w:top w:val="single" w:sz="4" w:space="0" w:color="213657"/>
              <w:left w:val="single" w:sz="4" w:space="0" w:color="213657"/>
              <w:bottom w:val="single" w:sz="4" w:space="0" w:color="213657"/>
              <w:right w:val="single" w:sz="4" w:space="0" w:color="213657"/>
            </w:tcBorders>
            <w:vAlign w:val="center"/>
          </w:tcPr>
          <w:p w14:paraId="1EB1A850" w14:textId="7371121F" w:rsidR="0044523F" w:rsidRPr="006C4AC3" w:rsidRDefault="003613F2" w:rsidP="00C51975">
            <w:pPr>
              <w:pStyle w:val="TableTextLeft"/>
              <w:spacing w:before="30" w:after="30"/>
            </w:pPr>
            <w:r w:rsidRPr="006C4AC3">
              <w:t>2</w:t>
            </w:r>
            <w:r w:rsidR="00416185" w:rsidRPr="006C4AC3">
              <w:t>9</w:t>
            </w:r>
            <w:r w:rsidR="004034A2" w:rsidRPr="006C4AC3">
              <w:t xml:space="preserve"> (</w:t>
            </w:r>
            <w:r w:rsidR="00416185" w:rsidRPr="006C4AC3">
              <w:t>4</w:t>
            </w:r>
            <w:r w:rsidR="004034A2" w:rsidRPr="006C4AC3">
              <w:t>%)</w:t>
            </w:r>
          </w:p>
        </w:tc>
      </w:tr>
      <w:tr w:rsidR="0044523F" w:rsidRPr="00B1766B" w14:paraId="761C5D72"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39734426" w14:textId="77777777" w:rsidR="0044523F" w:rsidRPr="00AF44F8" w:rsidRDefault="0044523F" w:rsidP="00C51975">
            <w:pPr>
              <w:pStyle w:val="TableTextLeft"/>
              <w:spacing w:before="30" w:after="30"/>
            </w:pPr>
            <w:r w:rsidRPr="00AF44F8">
              <w:t>Outcomes</w:t>
            </w:r>
          </w:p>
        </w:tc>
        <w:tc>
          <w:tcPr>
            <w:tcW w:w="1840" w:type="dxa"/>
            <w:tcBorders>
              <w:top w:val="single" w:sz="4" w:space="0" w:color="213657"/>
              <w:left w:val="single" w:sz="4" w:space="0" w:color="213657"/>
              <w:bottom w:val="single" w:sz="4" w:space="0" w:color="213657"/>
              <w:right w:val="single" w:sz="4" w:space="0" w:color="213657"/>
            </w:tcBorders>
          </w:tcPr>
          <w:p w14:paraId="160A329C" w14:textId="1B982C42" w:rsidR="0044523F" w:rsidRPr="006C4AC3" w:rsidRDefault="00AB560C" w:rsidP="00C51975">
            <w:pPr>
              <w:pStyle w:val="TableTextLeft"/>
              <w:spacing w:before="30" w:after="30"/>
            </w:pPr>
            <w:r w:rsidRPr="006C4AC3">
              <w:t>53 (</w:t>
            </w:r>
            <w:r w:rsidR="00CA3B50" w:rsidRPr="006C4AC3">
              <w:t>9</w:t>
            </w:r>
            <w:r w:rsidRPr="006C4AC3">
              <w:t>%)</w:t>
            </w:r>
          </w:p>
        </w:tc>
        <w:tc>
          <w:tcPr>
            <w:tcW w:w="1571" w:type="dxa"/>
            <w:tcBorders>
              <w:top w:val="single" w:sz="4" w:space="0" w:color="213657"/>
              <w:left w:val="single" w:sz="4" w:space="0" w:color="213657"/>
              <w:bottom w:val="single" w:sz="4" w:space="0" w:color="213657"/>
              <w:right w:val="single" w:sz="4" w:space="0" w:color="213657"/>
            </w:tcBorders>
            <w:vAlign w:val="center"/>
          </w:tcPr>
          <w:p w14:paraId="2044451E" w14:textId="47B109A2" w:rsidR="0044523F" w:rsidRPr="006C4AC3" w:rsidRDefault="003613F2" w:rsidP="00C51975">
            <w:pPr>
              <w:pStyle w:val="TableTextLeft"/>
              <w:spacing w:before="30" w:after="30"/>
            </w:pPr>
            <w:r w:rsidRPr="006C4AC3">
              <w:t>56</w:t>
            </w:r>
            <w:r w:rsidR="004034A2" w:rsidRPr="006C4AC3">
              <w:t xml:space="preserve"> (</w:t>
            </w:r>
            <w:r w:rsidR="00416185" w:rsidRPr="006C4AC3">
              <w:t>9</w:t>
            </w:r>
            <w:r w:rsidR="004034A2" w:rsidRPr="006C4AC3">
              <w:t>%)</w:t>
            </w:r>
          </w:p>
        </w:tc>
      </w:tr>
      <w:tr w:rsidR="0044523F" w:rsidRPr="00B1766B" w14:paraId="67B4886A"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3939DE8B" w14:textId="77777777" w:rsidR="0044523F" w:rsidRPr="00AF44F8" w:rsidRDefault="0044523F" w:rsidP="00C51975">
            <w:pPr>
              <w:pStyle w:val="TableTextLeft"/>
              <w:spacing w:before="30" w:after="30"/>
            </w:pPr>
            <w:r w:rsidRPr="00AF44F8">
              <w:t>Economic evaluation</w:t>
            </w:r>
          </w:p>
        </w:tc>
        <w:tc>
          <w:tcPr>
            <w:tcW w:w="1840" w:type="dxa"/>
            <w:tcBorders>
              <w:top w:val="single" w:sz="4" w:space="0" w:color="213657"/>
              <w:left w:val="single" w:sz="4" w:space="0" w:color="213657"/>
              <w:bottom w:val="single" w:sz="4" w:space="0" w:color="213657"/>
              <w:right w:val="single" w:sz="4" w:space="0" w:color="213657"/>
            </w:tcBorders>
          </w:tcPr>
          <w:p w14:paraId="7C1B4559" w14:textId="333F5424" w:rsidR="0044523F" w:rsidRPr="006C4AC3" w:rsidRDefault="00704CEE" w:rsidP="00C51975">
            <w:pPr>
              <w:pStyle w:val="TableTextLeft"/>
              <w:spacing w:before="30" w:after="30"/>
            </w:pPr>
            <w:r w:rsidRPr="006C4AC3">
              <w:t>4 (1%)</w:t>
            </w:r>
          </w:p>
        </w:tc>
        <w:tc>
          <w:tcPr>
            <w:tcW w:w="1571" w:type="dxa"/>
            <w:tcBorders>
              <w:top w:val="single" w:sz="4" w:space="0" w:color="213657"/>
              <w:left w:val="single" w:sz="4" w:space="0" w:color="213657"/>
              <w:bottom w:val="single" w:sz="4" w:space="0" w:color="213657"/>
              <w:right w:val="single" w:sz="4" w:space="0" w:color="213657"/>
            </w:tcBorders>
            <w:vAlign w:val="center"/>
          </w:tcPr>
          <w:p w14:paraId="3D4052C8" w14:textId="55E6A5D7" w:rsidR="0044523F" w:rsidRPr="006C4AC3" w:rsidRDefault="003613F2" w:rsidP="00C51975">
            <w:pPr>
              <w:pStyle w:val="TableTextLeft"/>
              <w:spacing w:before="30" w:after="30"/>
            </w:pPr>
            <w:r w:rsidRPr="006C4AC3">
              <w:t>4</w:t>
            </w:r>
            <w:r w:rsidR="004034A2" w:rsidRPr="006C4AC3">
              <w:t xml:space="preserve"> (1%)</w:t>
            </w:r>
          </w:p>
        </w:tc>
      </w:tr>
      <w:tr w:rsidR="0044523F" w:rsidRPr="00B1766B" w14:paraId="3CBDB47E"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13E22879" w14:textId="77777777" w:rsidR="0044523F" w:rsidRPr="00AF44F8" w:rsidRDefault="0044523F" w:rsidP="00C51975">
            <w:pPr>
              <w:pStyle w:val="TableTextLeft"/>
              <w:spacing w:before="30" w:after="30"/>
            </w:pPr>
            <w:r w:rsidRPr="00AF44F8">
              <w:t>Impact evaluation</w:t>
            </w:r>
          </w:p>
        </w:tc>
        <w:tc>
          <w:tcPr>
            <w:tcW w:w="1840" w:type="dxa"/>
            <w:tcBorders>
              <w:top w:val="single" w:sz="4" w:space="0" w:color="213657"/>
              <w:left w:val="single" w:sz="4" w:space="0" w:color="213657"/>
              <w:bottom w:val="single" w:sz="4" w:space="0" w:color="213657"/>
              <w:right w:val="single" w:sz="4" w:space="0" w:color="213657"/>
            </w:tcBorders>
          </w:tcPr>
          <w:p w14:paraId="663754E4" w14:textId="4E38D57C" w:rsidR="0044523F" w:rsidRPr="006C4AC3" w:rsidRDefault="00515327" w:rsidP="00C51975">
            <w:pPr>
              <w:pStyle w:val="TableTextLeft"/>
              <w:spacing w:before="30" w:after="30"/>
            </w:pPr>
            <w:r w:rsidRPr="006C4AC3">
              <w:t>21</w:t>
            </w:r>
            <w:r w:rsidR="00D932D4" w:rsidRPr="006C4AC3">
              <w:t xml:space="preserve"> (</w:t>
            </w:r>
            <w:r w:rsidR="00F65129" w:rsidRPr="006C4AC3">
              <w:t>4</w:t>
            </w:r>
            <w:r w:rsidR="00D932D4" w:rsidRPr="006C4AC3">
              <w:t>%)</w:t>
            </w:r>
          </w:p>
        </w:tc>
        <w:tc>
          <w:tcPr>
            <w:tcW w:w="1571" w:type="dxa"/>
            <w:tcBorders>
              <w:top w:val="single" w:sz="4" w:space="0" w:color="213657"/>
              <w:left w:val="single" w:sz="4" w:space="0" w:color="213657"/>
              <w:bottom w:val="single" w:sz="4" w:space="0" w:color="213657"/>
              <w:right w:val="single" w:sz="4" w:space="0" w:color="213657"/>
            </w:tcBorders>
            <w:vAlign w:val="center"/>
          </w:tcPr>
          <w:p w14:paraId="73C08BBD" w14:textId="48899AB5" w:rsidR="0044523F" w:rsidRPr="006C4AC3" w:rsidRDefault="00416185" w:rsidP="00C51975">
            <w:pPr>
              <w:pStyle w:val="TableTextLeft"/>
              <w:spacing w:before="30" w:after="30"/>
            </w:pPr>
            <w:r w:rsidRPr="006C4AC3">
              <w:t>22</w:t>
            </w:r>
            <w:r w:rsidR="004034A2" w:rsidRPr="006C4AC3">
              <w:t xml:space="preserve"> (</w:t>
            </w:r>
            <w:r w:rsidRPr="006C4AC3">
              <w:t>3</w:t>
            </w:r>
            <w:r w:rsidR="004034A2" w:rsidRPr="006C4AC3">
              <w:t>%)</w:t>
            </w:r>
          </w:p>
        </w:tc>
      </w:tr>
      <w:tr w:rsidR="00C45578" w:rsidRPr="004034A2" w14:paraId="4134890E" w14:textId="77777777" w:rsidTr="004034A2">
        <w:tc>
          <w:tcPr>
            <w:tcW w:w="5633" w:type="dxa"/>
            <w:tcBorders>
              <w:top w:val="single" w:sz="4" w:space="0" w:color="213657"/>
              <w:left w:val="single" w:sz="4" w:space="0" w:color="213657"/>
              <w:bottom w:val="single" w:sz="4" w:space="0" w:color="213657"/>
              <w:right w:val="single" w:sz="4" w:space="0" w:color="213657"/>
            </w:tcBorders>
          </w:tcPr>
          <w:p w14:paraId="7FB11E34" w14:textId="2C31D554" w:rsidR="001923F8" w:rsidRPr="00AF44F8" w:rsidRDefault="00A131F3" w:rsidP="00C51975">
            <w:pPr>
              <w:pStyle w:val="TableTextLeft"/>
              <w:spacing w:before="30" w:after="30"/>
            </w:pPr>
            <w:r>
              <w:t>Other</w:t>
            </w:r>
          </w:p>
        </w:tc>
        <w:tc>
          <w:tcPr>
            <w:tcW w:w="1840" w:type="dxa"/>
            <w:tcBorders>
              <w:top w:val="single" w:sz="4" w:space="0" w:color="213657"/>
              <w:left w:val="single" w:sz="4" w:space="0" w:color="213657"/>
              <w:bottom w:val="single" w:sz="4" w:space="0" w:color="213657"/>
              <w:right w:val="single" w:sz="4" w:space="0" w:color="213657"/>
            </w:tcBorders>
          </w:tcPr>
          <w:p w14:paraId="48E0A926" w14:textId="1BA28FC3" w:rsidR="001923F8" w:rsidRPr="006C4AC3" w:rsidRDefault="00515327" w:rsidP="00C51975">
            <w:pPr>
              <w:pStyle w:val="TableTextLeft"/>
              <w:spacing w:before="30" w:after="30"/>
            </w:pPr>
            <w:r w:rsidRPr="006C4AC3">
              <w:t>34</w:t>
            </w:r>
            <w:r w:rsidR="0097639D" w:rsidRPr="006C4AC3">
              <w:t xml:space="preserve"> (</w:t>
            </w:r>
            <w:r w:rsidR="00F65129" w:rsidRPr="006C4AC3">
              <w:t>6</w:t>
            </w:r>
            <w:r w:rsidR="0097639D" w:rsidRPr="006C4AC3">
              <w:t>%)</w:t>
            </w:r>
          </w:p>
        </w:tc>
        <w:tc>
          <w:tcPr>
            <w:tcW w:w="1571" w:type="dxa"/>
            <w:tcBorders>
              <w:top w:val="single" w:sz="4" w:space="0" w:color="213657"/>
              <w:left w:val="single" w:sz="4" w:space="0" w:color="213657"/>
              <w:bottom w:val="single" w:sz="4" w:space="0" w:color="213657"/>
              <w:right w:val="single" w:sz="4" w:space="0" w:color="213657"/>
            </w:tcBorders>
            <w:vAlign w:val="center"/>
          </w:tcPr>
          <w:p w14:paraId="6DC6052C" w14:textId="3E546666" w:rsidR="001923F8" w:rsidRPr="006C4AC3" w:rsidRDefault="00A43AFD" w:rsidP="00C51975">
            <w:pPr>
              <w:pStyle w:val="TableTextLeft"/>
              <w:spacing w:before="30" w:after="30"/>
            </w:pPr>
            <w:r w:rsidRPr="006C4AC3">
              <w:t>3</w:t>
            </w:r>
            <w:r w:rsidR="00416185" w:rsidRPr="006C4AC3">
              <w:t>7</w:t>
            </w:r>
            <w:r w:rsidR="004034A2" w:rsidRPr="006C4AC3">
              <w:t xml:space="preserve"> (</w:t>
            </w:r>
            <w:r w:rsidR="00B66875" w:rsidRPr="006C4AC3">
              <w:t>6</w:t>
            </w:r>
            <w:r w:rsidR="004034A2" w:rsidRPr="006C4AC3">
              <w:t>%)</w:t>
            </w:r>
          </w:p>
        </w:tc>
      </w:tr>
      <w:tr w:rsidR="007E7F60" w:rsidRPr="004034A2" w14:paraId="4A824CED" w14:textId="77777777" w:rsidTr="004034A2">
        <w:tc>
          <w:tcPr>
            <w:tcW w:w="5633" w:type="dxa"/>
            <w:tcBorders>
              <w:top w:val="single" w:sz="4" w:space="0" w:color="213657"/>
              <w:left w:val="single" w:sz="4" w:space="0" w:color="213657"/>
              <w:bottom w:val="single" w:sz="4" w:space="0" w:color="213657"/>
              <w:right w:val="single" w:sz="4" w:space="0" w:color="213657"/>
            </w:tcBorders>
          </w:tcPr>
          <w:p w14:paraId="6CB6B539" w14:textId="52E429C6" w:rsidR="007E7F60" w:rsidRDefault="00400ADE" w:rsidP="00C51975">
            <w:pPr>
              <w:pStyle w:val="TableTextLeft"/>
              <w:spacing w:before="30" w:after="30"/>
            </w:pPr>
            <w:r w:rsidDel="00B177FB">
              <w:t xml:space="preserve">Combined </w:t>
            </w:r>
            <w:r>
              <w:t>approaches</w:t>
            </w:r>
          </w:p>
        </w:tc>
        <w:tc>
          <w:tcPr>
            <w:tcW w:w="1840" w:type="dxa"/>
            <w:tcBorders>
              <w:top w:val="single" w:sz="4" w:space="0" w:color="213657"/>
              <w:left w:val="single" w:sz="4" w:space="0" w:color="213657"/>
              <w:bottom w:val="single" w:sz="4" w:space="0" w:color="213657"/>
              <w:right w:val="single" w:sz="4" w:space="0" w:color="213657"/>
            </w:tcBorders>
          </w:tcPr>
          <w:p w14:paraId="38533522" w14:textId="27886DA7" w:rsidR="007E7F60" w:rsidRPr="006C4AC3" w:rsidRDefault="00515327" w:rsidP="00C51975">
            <w:pPr>
              <w:pStyle w:val="TableTextLeft"/>
              <w:spacing w:before="30" w:after="30"/>
            </w:pPr>
            <w:r w:rsidRPr="006C4AC3">
              <w:t>428</w:t>
            </w:r>
            <w:r w:rsidR="00FE2CA7" w:rsidRPr="006C4AC3">
              <w:t xml:space="preserve"> (</w:t>
            </w:r>
            <w:r w:rsidR="00B568A1" w:rsidRPr="006C4AC3">
              <w:t>7</w:t>
            </w:r>
            <w:r w:rsidR="00F65129" w:rsidRPr="006C4AC3">
              <w:t>6</w:t>
            </w:r>
            <w:r w:rsidR="00FE2CA7" w:rsidRPr="006C4AC3">
              <w:t>%)</w:t>
            </w:r>
          </w:p>
        </w:tc>
        <w:tc>
          <w:tcPr>
            <w:tcW w:w="1571" w:type="dxa"/>
            <w:tcBorders>
              <w:top w:val="single" w:sz="4" w:space="0" w:color="213657"/>
              <w:left w:val="single" w:sz="4" w:space="0" w:color="213657"/>
              <w:bottom w:val="single" w:sz="4" w:space="0" w:color="213657"/>
              <w:right w:val="single" w:sz="4" w:space="0" w:color="213657"/>
            </w:tcBorders>
          </w:tcPr>
          <w:p w14:paraId="6B2A22B4" w14:textId="7C9E168E" w:rsidR="007E7F60" w:rsidRPr="006C4AC3" w:rsidRDefault="00B66875" w:rsidP="00C51975">
            <w:pPr>
              <w:pStyle w:val="TableTextLeft"/>
              <w:spacing w:before="30" w:after="30"/>
            </w:pPr>
            <w:r w:rsidRPr="006C4AC3">
              <w:t>502</w:t>
            </w:r>
            <w:r w:rsidR="003C22E5" w:rsidRPr="006C4AC3">
              <w:t xml:space="preserve"> (</w:t>
            </w:r>
            <w:r w:rsidR="00B568A1" w:rsidRPr="006C4AC3">
              <w:t>7</w:t>
            </w:r>
            <w:r w:rsidRPr="006C4AC3">
              <w:t>7</w:t>
            </w:r>
            <w:r w:rsidR="003C22E5" w:rsidRPr="006C4AC3">
              <w:t>%)</w:t>
            </w:r>
          </w:p>
        </w:tc>
      </w:tr>
      <w:tr w:rsidR="00C45578" w:rsidRPr="004034A2" w14:paraId="5ECF8AA8" w14:textId="77777777" w:rsidTr="004034A2">
        <w:tc>
          <w:tcPr>
            <w:tcW w:w="5633" w:type="dxa"/>
            <w:tcBorders>
              <w:top w:val="single" w:sz="4" w:space="0" w:color="213657"/>
              <w:left w:val="single" w:sz="4" w:space="0" w:color="213657"/>
              <w:bottom w:val="single" w:sz="4" w:space="0" w:color="213657"/>
              <w:right w:val="single" w:sz="4" w:space="0" w:color="213657"/>
            </w:tcBorders>
          </w:tcPr>
          <w:p w14:paraId="69CFE4AF" w14:textId="337CB4FC" w:rsidR="001923F8" w:rsidRPr="00AF44F8" w:rsidRDefault="00C51975" w:rsidP="00C51975">
            <w:pPr>
              <w:pStyle w:val="TableTextLeft"/>
              <w:spacing w:before="30" w:after="30"/>
            </w:pPr>
            <w:r w:rsidRPr="00C51975">
              <w:tab/>
            </w:r>
            <w:r w:rsidR="00A131F3">
              <w:t>Process/</w:t>
            </w:r>
            <w:r w:rsidR="00F82BF3">
              <w:t>Outcome</w:t>
            </w:r>
          </w:p>
        </w:tc>
        <w:tc>
          <w:tcPr>
            <w:tcW w:w="1840" w:type="dxa"/>
            <w:tcBorders>
              <w:top w:val="single" w:sz="4" w:space="0" w:color="213657"/>
              <w:left w:val="single" w:sz="4" w:space="0" w:color="213657"/>
              <w:bottom w:val="single" w:sz="4" w:space="0" w:color="213657"/>
              <w:right w:val="single" w:sz="4" w:space="0" w:color="213657"/>
            </w:tcBorders>
          </w:tcPr>
          <w:p w14:paraId="6784FA25" w14:textId="32B64295" w:rsidR="001923F8" w:rsidRPr="006C4AC3" w:rsidRDefault="00CA3B50" w:rsidP="00C51975">
            <w:pPr>
              <w:pStyle w:val="TableTextLeft"/>
              <w:spacing w:before="30" w:after="30"/>
            </w:pPr>
            <w:r w:rsidRPr="006C4AC3">
              <w:t>128</w:t>
            </w:r>
            <w:r w:rsidR="00AA28DE" w:rsidRPr="006C4AC3">
              <w:t xml:space="preserve"> (</w:t>
            </w:r>
            <w:r w:rsidR="00F65129" w:rsidRPr="006C4AC3">
              <w:t>30</w:t>
            </w:r>
            <w:r w:rsidR="00AA28DE" w:rsidRPr="006C4AC3">
              <w:t>%)</w:t>
            </w:r>
          </w:p>
        </w:tc>
        <w:tc>
          <w:tcPr>
            <w:tcW w:w="1571" w:type="dxa"/>
            <w:tcBorders>
              <w:top w:val="single" w:sz="4" w:space="0" w:color="213657"/>
              <w:left w:val="single" w:sz="4" w:space="0" w:color="213657"/>
              <w:bottom w:val="single" w:sz="4" w:space="0" w:color="213657"/>
              <w:right w:val="single" w:sz="4" w:space="0" w:color="213657"/>
            </w:tcBorders>
          </w:tcPr>
          <w:p w14:paraId="737D3ED8" w14:textId="1A21F06F" w:rsidR="001923F8" w:rsidRPr="006C4AC3" w:rsidRDefault="00E549EA" w:rsidP="00C51975">
            <w:pPr>
              <w:pStyle w:val="TableTextLeft"/>
              <w:spacing w:before="30" w:after="30"/>
            </w:pPr>
            <w:r w:rsidRPr="006C4AC3">
              <w:t>1</w:t>
            </w:r>
            <w:r w:rsidR="00B66875" w:rsidRPr="006C4AC3">
              <w:t>41</w:t>
            </w:r>
            <w:r w:rsidRPr="006C4AC3">
              <w:t xml:space="preserve"> (</w:t>
            </w:r>
            <w:r w:rsidR="008973AC" w:rsidRPr="006C4AC3">
              <w:t>2</w:t>
            </w:r>
            <w:r w:rsidR="00B66875" w:rsidRPr="006C4AC3">
              <w:t>8</w:t>
            </w:r>
            <w:r w:rsidRPr="006C4AC3">
              <w:t>%)</w:t>
            </w:r>
          </w:p>
        </w:tc>
      </w:tr>
      <w:tr w:rsidR="00C45578" w:rsidRPr="004034A2" w14:paraId="070D6A23" w14:textId="77777777" w:rsidTr="004034A2">
        <w:tc>
          <w:tcPr>
            <w:tcW w:w="5633" w:type="dxa"/>
            <w:tcBorders>
              <w:top w:val="single" w:sz="4" w:space="0" w:color="213657"/>
              <w:left w:val="single" w:sz="4" w:space="0" w:color="213657"/>
              <w:bottom w:val="single" w:sz="4" w:space="0" w:color="213657"/>
              <w:right w:val="single" w:sz="4" w:space="0" w:color="213657"/>
            </w:tcBorders>
          </w:tcPr>
          <w:p w14:paraId="65923194" w14:textId="700C2D30" w:rsidR="001923F8" w:rsidRPr="00AF44F8" w:rsidRDefault="00C51975" w:rsidP="00C51975">
            <w:pPr>
              <w:pStyle w:val="TableTextLeft"/>
              <w:spacing w:before="30" w:after="30"/>
            </w:pPr>
            <w:r w:rsidRPr="00C51975">
              <w:tab/>
            </w:r>
            <w:r w:rsidR="00A131F3">
              <w:t>Outcome/</w:t>
            </w:r>
            <w:r w:rsidR="009363A4">
              <w:t>Impact</w:t>
            </w:r>
          </w:p>
        </w:tc>
        <w:tc>
          <w:tcPr>
            <w:tcW w:w="1840" w:type="dxa"/>
            <w:tcBorders>
              <w:top w:val="single" w:sz="4" w:space="0" w:color="213657"/>
              <w:left w:val="single" w:sz="4" w:space="0" w:color="213657"/>
              <w:bottom w:val="single" w:sz="4" w:space="0" w:color="213657"/>
              <w:right w:val="single" w:sz="4" w:space="0" w:color="213657"/>
            </w:tcBorders>
          </w:tcPr>
          <w:p w14:paraId="3484E3AB" w14:textId="4B6B388E" w:rsidR="001923F8" w:rsidRPr="006C4AC3" w:rsidRDefault="00AA28DE" w:rsidP="00C51975">
            <w:pPr>
              <w:pStyle w:val="TableTextLeft"/>
              <w:spacing w:before="30" w:after="30"/>
            </w:pPr>
            <w:r w:rsidRPr="006C4AC3">
              <w:t>3</w:t>
            </w:r>
            <w:r w:rsidR="00CA3B50" w:rsidRPr="006C4AC3">
              <w:t>1</w:t>
            </w:r>
            <w:r w:rsidRPr="006C4AC3">
              <w:t xml:space="preserve"> (</w:t>
            </w:r>
            <w:r w:rsidR="00F65129" w:rsidRPr="006C4AC3">
              <w:t>7</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691ED5FC" w14:textId="18D82C1A" w:rsidR="001923F8" w:rsidRPr="006C4AC3" w:rsidRDefault="00E84BB0" w:rsidP="00C51975">
            <w:pPr>
              <w:pStyle w:val="TableTextLeft"/>
              <w:spacing w:before="30" w:after="30"/>
            </w:pPr>
            <w:r w:rsidRPr="006C4AC3">
              <w:t>3</w:t>
            </w:r>
            <w:r w:rsidR="00B66875" w:rsidRPr="006C4AC3">
              <w:t>5</w:t>
            </w:r>
            <w:r w:rsidRPr="006C4AC3">
              <w:t xml:space="preserve"> (</w:t>
            </w:r>
            <w:r w:rsidR="008973AC" w:rsidRPr="006C4AC3">
              <w:t>7</w:t>
            </w:r>
            <w:r w:rsidR="00D17EBF" w:rsidRPr="006C4AC3">
              <w:t>%)</w:t>
            </w:r>
          </w:p>
        </w:tc>
      </w:tr>
      <w:tr w:rsidR="00BC0F21" w:rsidRPr="004034A2" w14:paraId="2A5FD8B5" w14:textId="77777777" w:rsidTr="004034A2">
        <w:tc>
          <w:tcPr>
            <w:tcW w:w="5633" w:type="dxa"/>
            <w:tcBorders>
              <w:top w:val="single" w:sz="4" w:space="0" w:color="213657"/>
              <w:left w:val="single" w:sz="4" w:space="0" w:color="213657"/>
              <w:bottom w:val="single" w:sz="4" w:space="0" w:color="213657"/>
              <w:right w:val="single" w:sz="4" w:space="0" w:color="213657"/>
            </w:tcBorders>
          </w:tcPr>
          <w:p w14:paraId="5B52378F" w14:textId="79245C87" w:rsidR="001923F8" w:rsidRPr="00AF44F8" w:rsidRDefault="00C51975" w:rsidP="00C51975">
            <w:pPr>
              <w:pStyle w:val="TableTextLeft"/>
              <w:spacing w:before="30" w:after="30"/>
            </w:pPr>
            <w:r w:rsidRPr="00C51975">
              <w:tab/>
            </w:r>
            <w:r w:rsidR="008E6438">
              <w:t>Process/Outcome/</w:t>
            </w:r>
            <w:r w:rsidR="00A131F3">
              <w:t>Impact/Economic</w:t>
            </w:r>
          </w:p>
        </w:tc>
        <w:tc>
          <w:tcPr>
            <w:tcW w:w="1840" w:type="dxa"/>
            <w:tcBorders>
              <w:top w:val="single" w:sz="4" w:space="0" w:color="213657"/>
              <w:left w:val="single" w:sz="4" w:space="0" w:color="213657"/>
              <w:bottom w:val="single" w:sz="4" w:space="0" w:color="213657"/>
              <w:right w:val="single" w:sz="4" w:space="0" w:color="213657"/>
            </w:tcBorders>
          </w:tcPr>
          <w:p w14:paraId="7C2A57B1" w14:textId="0C174CA4" w:rsidR="001923F8" w:rsidRPr="006C4AC3" w:rsidRDefault="53B370BE" w:rsidP="00C51975">
            <w:pPr>
              <w:pStyle w:val="TableTextLeft"/>
              <w:spacing w:before="30" w:after="30"/>
            </w:pPr>
            <w:r w:rsidRPr="008F159F">
              <w:t>69</w:t>
            </w:r>
            <w:r w:rsidR="00137936" w:rsidRPr="008F159F">
              <w:t xml:space="preserve"> (</w:t>
            </w:r>
            <w:r w:rsidR="000F72CD" w:rsidRPr="008F159F">
              <w:t>1</w:t>
            </w:r>
            <w:r w:rsidR="7967A1C7" w:rsidRPr="008F159F">
              <w:t>6</w:t>
            </w:r>
            <w:r w:rsidR="00137936" w:rsidRPr="008F159F">
              <w:t>%)</w:t>
            </w:r>
          </w:p>
        </w:tc>
        <w:tc>
          <w:tcPr>
            <w:tcW w:w="1571" w:type="dxa"/>
            <w:tcBorders>
              <w:top w:val="single" w:sz="4" w:space="0" w:color="213657"/>
              <w:left w:val="single" w:sz="4" w:space="0" w:color="213657"/>
              <w:bottom w:val="single" w:sz="4" w:space="0" w:color="213657"/>
              <w:right w:val="single" w:sz="4" w:space="0" w:color="213657"/>
            </w:tcBorders>
          </w:tcPr>
          <w:p w14:paraId="7F730CF8" w14:textId="4078E386" w:rsidR="001923F8" w:rsidRPr="006C4AC3" w:rsidRDefault="00BF27C7" w:rsidP="00C51975">
            <w:pPr>
              <w:pStyle w:val="TableTextLeft"/>
              <w:spacing w:before="30" w:after="30"/>
            </w:pPr>
            <w:r w:rsidRPr="008F159F">
              <w:t>7</w:t>
            </w:r>
            <w:r w:rsidR="4307D18C" w:rsidRPr="008F159F">
              <w:t>4</w:t>
            </w:r>
            <w:r w:rsidRPr="008F159F">
              <w:t xml:space="preserve"> (</w:t>
            </w:r>
            <w:r w:rsidR="008973AC" w:rsidRPr="008F159F">
              <w:t>1</w:t>
            </w:r>
            <w:r w:rsidR="3CA7F935" w:rsidRPr="008F159F">
              <w:t>5</w:t>
            </w:r>
            <w:r w:rsidR="004E2D6B" w:rsidRPr="008F159F">
              <w:t>%</w:t>
            </w:r>
            <w:r w:rsidRPr="008F159F">
              <w:t>)</w:t>
            </w:r>
          </w:p>
        </w:tc>
      </w:tr>
      <w:tr w:rsidR="0044523F" w14:paraId="55DF16AE"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54C20FBA" w14:textId="77777777" w:rsidR="0044523F" w:rsidRPr="00C51975" w:rsidRDefault="0044523F" w:rsidP="00C51975">
            <w:pPr>
              <w:pStyle w:val="TableTextLeft"/>
              <w:spacing w:before="30" w:after="30"/>
              <w:rPr>
                <w:rStyle w:val="Strong"/>
              </w:rPr>
            </w:pPr>
            <w:r w:rsidRPr="00C51975">
              <w:rPr>
                <w:rStyle w:val="Strong"/>
              </w:rPr>
              <w:t>Publication of findings*</w:t>
            </w:r>
          </w:p>
        </w:tc>
        <w:tc>
          <w:tcPr>
            <w:tcW w:w="1840" w:type="dxa"/>
            <w:tcBorders>
              <w:top w:val="single" w:sz="4" w:space="0" w:color="213657"/>
              <w:left w:val="single" w:sz="4" w:space="0" w:color="213657"/>
              <w:bottom w:val="single" w:sz="4" w:space="0" w:color="213657"/>
              <w:right w:val="single" w:sz="4" w:space="0" w:color="213657"/>
            </w:tcBorders>
          </w:tcPr>
          <w:p w14:paraId="33E23720" w14:textId="77777777" w:rsidR="0044523F" w:rsidRPr="00C51975" w:rsidRDefault="0044523F" w:rsidP="00C51975">
            <w:pPr>
              <w:pStyle w:val="TableTextLeft"/>
              <w:spacing w:before="30" w:after="30"/>
              <w:rPr>
                <w:rStyle w:val="Strong"/>
              </w:rPr>
            </w:pPr>
          </w:p>
        </w:tc>
        <w:tc>
          <w:tcPr>
            <w:tcW w:w="1571" w:type="dxa"/>
            <w:tcBorders>
              <w:top w:val="single" w:sz="4" w:space="0" w:color="213657"/>
              <w:left w:val="single" w:sz="4" w:space="0" w:color="213657"/>
              <w:bottom w:val="single" w:sz="4" w:space="0" w:color="213657"/>
              <w:right w:val="single" w:sz="4" w:space="0" w:color="213657"/>
            </w:tcBorders>
          </w:tcPr>
          <w:p w14:paraId="08699754" w14:textId="77777777" w:rsidR="0044523F" w:rsidRPr="00C51975" w:rsidRDefault="0044523F" w:rsidP="00C51975">
            <w:pPr>
              <w:pStyle w:val="TableTextLeft"/>
              <w:spacing w:before="30" w:after="30"/>
              <w:rPr>
                <w:rStyle w:val="Strong"/>
              </w:rPr>
            </w:pPr>
          </w:p>
        </w:tc>
      </w:tr>
      <w:tr w:rsidR="0044523F" w14:paraId="00230497"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6A75EEA5" w14:textId="77777777" w:rsidR="0044523F" w:rsidRPr="00AF44F8" w:rsidRDefault="0044523F" w:rsidP="00C51975">
            <w:pPr>
              <w:pStyle w:val="TableTextLeft"/>
              <w:spacing w:before="30" w:after="30"/>
            </w:pPr>
            <w:r w:rsidRPr="00AF44F8">
              <w:t>Decision taken to publish in full</w:t>
            </w:r>
          </w:p>
        </w:tc>
        <w:tc>
          <w:tcPr>
            <w:tcW w:w="1840" w:type="dxa"/>
            <w:tcBorders>
              <w:top w:val="single" w:sz="4" w:space="0" w:color="213657"/>
              <w:left w:val="single" w:sz="4" w:space="0" w:color="213657"/>
              <w:bottom w:val="single" w:sz="4" w:space="0" w:color="213657"/>
              <w:right w:val="single" w:sz="4" w:space="0" w:color="213657"/>
            </w:tcBorders>
          </w:tcPr>
          <w:p w14:paraId="49511D30" w14:textId="358870C5" w:rsidR="0044523F" w:rsidRPr="006C4AC3" w:rsidRDefault="00A41444" w:rsidP="00C51975">
            <w:pPr>
              <w:pStyle w:val="TableTextLeft"/>
              <w:spacing w:before="30" w:after="30"/>
            </w:pPr>
            <w:r w:rsidRPr="006C4AC3">
              <w:t>103</w:t>
            </w:r>
            <w:r w:rsidR="0044523F" w:rsidRPr="006C4AC3">
              <w:t xml:space="preserve"> (</w:t>
            </w:r>
            <w:r w:rsidRPr="006C4AC3">
              <w:t>27</w:t>
            </w:r>
            <w:r w:rsidR="0044523F" w:rsidRPr="006C4AC3">
              <w:t>%)</w:t>
            </w:r>
          </w:p>
        </w:tc>
        <w:tc>
          <w:tcPr>
            <w:tcW w:w="1571" w:type="dxa"/>
            <w:tcBorders>
              <w:top w:val="single" w:sz="4" w:space="0" w:color="213657"/>
              <w:left w:val="single" w:sz="4" w:space="0" w:color="213657"/>
              <w:bottom w:val="single" w:sz="4" w:space="0" w:color="213657"/>
              <w:right w:val="single" w:sz="4" w:space="0" w:color="213657"/>
            </w:tcBorders>
          </w:tcPr>
          <w:p w14:paraId="47D98DD5" w14:textId="08DBCE41" w:rsidR="0044523F" w:rsidRPr="006C4AC3" w:rsidRDefault="009A5147" w:rsidP="00C51975">
            <w:pPr>
              <w:pStyle w:val="TableTextLeft"/>
              <w:spacing w:before="30" w:after="30"/>
            </w:pPr>
            <w:r w:rsidRPr="006C4AC3">
              <w:t>124</w:t>
            </w:r>
            <w:r w:rsidR="0044523F" w:rsidRPr="006C4AC3">
              <w:t xml:space="preserve"> (</w:t>
            </w:r>
            <w:r w:rsidR="007C5F39" w:rsidRPr="006C4AC3">
              <w:t>2</w:t>
            </w:r>
            <w:r w:rsidRPr="006C4AC3">
              <w:t>7</w:t>
            </w:r>
            <w:r w:rsidR="0044523F" w:rsidRPr="006C4AC3">
              <w:t>%)</w:t>
            </w:r>
          </w:p>
        </w:tc>
      </w:tr>
      <w:tr w:rsidR="0044523F" w14:paraId="29BDCBF4"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5A73D106" w14:textId="77777777" w:rsidR="0044523F" w:rsidRPr="00AF44F8" w:rsidRDefault="0044523F" w:rsidP="00C51975">
            <w:pPr>
              <w:pStyle w:val="TableTextLeft"/>
              <w:spacing w:before="30" w:after="30"/>
            </w:pPr>
            <w:r w:rsidRPr="00AF44F8">
              <w:t>Decision taken to publish in part</w:t>
            </w:r>
          </w:p>
        </w:tc>
        <w:tc>
          <w:tcPr>
            <w:tcW w:w="1840" w:type="dxa"/>
            <w:tcBorders>
              <w:top w:val="single" w:sz="4" w:space="0" w:color="213657"/>
              <w:left w:val="single" w:sz="4" w:space="0" w:color="213657"/>
              <w:bottom w:val="single" w:sz="4" w:space="0" w:color="213657"/>
              <w:right w:val="single" w:sz="4" w:space="0" w:color="213657"/>
            </w:tcBorders>
          </w:tcPr>
          <w:p w14:paraId="2826A78D" w14:textId="7B9C820A" w:rsidR="0044523F" w:rsidRPr="006C4AC3" w:rsidRDefault="0044523F" w:rsidP="00C51975">
            <w:pPr>
              <w:pStyle w:val="TableTextLeft"/>
              <w:spacing w:before="30" w:after="30"/>
            </w:pPr>
            <w:r w:rsidRPr="006C4AC3">
              <w:t>24 (</w:t>
            </w:r>
            <w:r w:rsidR="00A41444" w:rsidRPr="006C4AC3">
              <w:t>6</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6DF6A250" w14:textId="26B029C5" w:rsidR="0044523F" w:rsidRPr="006C4AC3" w:rsidRDefault="0044523F" w:rsidP="00C51975">
            <w:pPr>
              <w:pStyle w:val="TableTextLeft"/>
              <w:spacing w:before="30" w:after="30"/>
            </w:pPr>
            <w:r w:rsidRPr="006C4AC3">
              <w:t>38 (</w:t>
            </w:r>
            <w:r w:rsidR="009A5147" w:rsidRPr="006C4AC3">
              <w:t>8</w:t>
            </w:r>
            <w:r w:rsidRPr="006C4AC3">
              <w:t>%)</w:t>
            </w:r>
          </w:p>
        </w:tc>
      </w:tr>
      <w:tr w:rsidR="0044523F" w14:paraId="1794203D"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714610E7" w14:textId="77777777" w:rsidR="0044523F" w:rsidRPr="00AF44F8" w:rsidRDefault="0044523F" w:rsidP="00C51975">
            <w:pPr>
              <w:pStyle w:val="TableTextLeft"/>
              <w:spacing w:before="30" w:after="30"/>
            </w:pPr>
            <w:r w:rsidRPr="00AF44F8">
              <w:t>Decision taken not to publish</w:t>
            </w:r>
          </w:p>
        </w:tc>
        <w:tc>
          <w:tcPr>
            <w:tcW w:w="1840" w:type="dxa"/>
            <w:tcBorders>
              <w:top w:val="single" w:sz="4" w:space="0" w:color="213657"/>
              <w:left w:val="single" w:sz="4" w:space="0" w:color="213657"/>
              <w:bottom w:val="single" w:sz="4" w:space="0" w:color="213657"/>
              <w:right w:val="single" w:sz="4" w:space="0" w:color="213657"/>
            </w:tcBorders>
          </w:tcPr>
          <w:p w14:paraId="28034FC7" w14:textId="356C882C" w:rsidR="0044523F" w:rsidRPr="006C4AC3" w:rsidRDefault="0044523F" w:rsidP="00C51975">
            <w:pPr>
              <w:pStyle w:val="TableTextLeft"/>
              <w:spacing w:before="30" w:after="30"/>
            </w:pPr>
            <w:r w:rsidRPr="006C4AC3">
              <w:t>11</w:t>
            </w:r>
            <w:r w:rsidR="00A41444" w:rsidRPr="006C4AC3">
              <w:t>8</w:t>
            </w:r>
            <w:r w:rsidRPr="006C4AC3">
              <w:t xml:space="preserve"> (</w:t>
            </w:r>
            <w:r w:rsidR="008C41D3" w:rsidRPr="006C4AC3">
              <w:t>3</w:t>
            </w:r>
            <w:r w:rsidR="009A5147" w:rsidRPr="006C4AC3">
              <w:t>1</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22184176" w14:textId="7B111972" w:rsidR="0044523F" w:rsidRPr="006C4AC3" w:rsidRDefault="0044523F" w:rsidP="00C51975">
            <w:pPr>
              <w:pStyle w:val="TableTextLeft"/>
              <w:spacing w:before="30" w:after="30"/>
            </w:pPr>
            <w:r w:rsidRPr="006C4AC3">
              <w:t>13</w:t>
            </w:r>
            <w:r w:rsidR="009A5147" w:rsidRPr="006C4AC3">
              <w:t>6</w:t>
            </w:r>
            <w:r w:rsidRPr="006C4AC3">
              <w:t xml:space="preserve"> (</w:t>
            </w:r>
            <w:r w:rsidR="008C41D3" w:rsidRPr="006C4AC3">
              <w:t>3</w:t>
            </w:r>
            <w:r w:rsidR="009A5147" w:rsidRPr="006C4AC3">
              <w:t>0</w:t>
            </w:r>
            <w:r w:rsidRPr="006C4AC3">
              <w:t>%)</w:t>
            </w:r>
          </w:p>
        </w:tc>
      </w:tr>
      <w:tr w:rsidR="0044523F" w14:paraId="20B5809C"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28A58BDE" w14:textId="77777777" w:rsidR="0044523F" w:rsidRPr="00AF44F8" w:rsidRDefault="0044523F" w:rsidP="00C51975">
            <w:pPr>
              <w:pStyle w:val="TableTextLeft"/>
              <w:spacing w:before="30" w:after="30"/>
            </w:pPr>
            <w:r w:rsidRPr="00AF44F8">
              <w:t>Under consideration</w:t>
            </w:r>
          </w:p>
        </w:tc>
        <w:tc>
          <w:tcPr>
            <w:tcW w:w="1840" w:type="dxa"/>
            <w:tcBorders>
              <w:top w:val="single" w:sz="4" w:space="0" w:color="213657"/>
              <w:left w:val="single" w:sz="4" w:space="0" w:color="213657"/>
              <w:bottom w:val="single" w:sz="4" w:space="0" w:color="213657"/>
              <w:right w:val="single" w:sz="4" w:space="0" w:color="213657"/>
            </w:tcBorders>
          </w:tcPr>
          <w:p w14:paraId="71F396F7" w14:textId="17C53A18" w:rsidR="0044523F" w:rsidRPr="006C4AC3" w:rsidRDefault="0044523F" w:rsidP="00C51975">
            <w:pPr>
              <w:pStyle w:val="TableTextLeft"/>
              <w:spacing w:before="30" w:after="30"/>
            </w:pPr>
            <w:r w:rsidRPr="006C4AC3">
              <w:t>131 (</w:t>
            </w:r>
            <w:r w:rsidR="009A5147" w:rsidRPr="006C4AC3">
              <w:t>35</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28F38156" w14:textId="4CD7425B" w:rsidR="0044523F" w:rsidRPr="006C4AC3" w:rsidRDefault="0044523F" w:rsidP="00C51975">
            <w:pPr>
              <w:pStyle w:val="TableTextLeft"/>
              <w:spacing w:before="30" w:after="30"/>
            </w:pPr>
            <w:r w:rsidRPr="006C4AC3">
              <w:t>155 (</w:t>
            </w:r>
            <w:r w:rsidR="008C41D3" w:rsidRPr="006C4AC3">
              <w:t>3</w:t>
            </w:r>
            <w:r w:rsidR="009A5147" w:rsidRPr="006C4AC3">
              <w:t>4</w:t>
            </w:r>
            <w:r w:rsidRPr="006C4AC3">
              <w:t>%)</w:t>
            </w:r>
          </w:p>
        </w:tc>
      </w:tr>
      <w:tr w:rsidR="0044523F" w14:paraId="5D1A6341"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6E139545" w14:textId="77777777" w:rsidR="0044523F" w:rsidRPr="00C51975" w:rsidRDefault="0044523F" w:rsidP="00C51975">
            <w:pPr>
              <w:pStyle w:val="TableTextLeft"/>
              <w:spacing w:before="30" w:after="30"/>
              <w:rPr>
                <w:rStyle w:val="Strong"/>
              </w:rPr>
            </w:pPr>
            <w:r w:rsidRPr="00C51975">
              <w:rPr>
                <w:rStyle w:val="Strong"/>
              </w:rPr>
              <w:t>Evaluation evidence use*</w:t>
            </w:r>
          </w:p>
        </w:tc>
        <w:tc>
          <w:tcPr>
            <w:tcW w:w="1840" w:type="dxa"/>
            <w:tcBorders>
              <w:top w:val="single" w:sz="4" w:space="0" w:color="213657"/>
              <w:left w:val="single" w:sz="4" w:space="0" w:color="213657"/>
              <w:bottom w:val="single" w:sz="4" w:space="0" w:color="213657"/>
              <w:right w:val="single" w:sz="4" w:space="0" w:color="213657"/>
            </w:tcBorders>
          </w:tcPr>
          <w:p w14:paraId="0052658A" w14:textId="77777777" w:rsidR="0044523F" w:rsidRPr="00C51975" w:rsidRDefault="0044523F" w:rsidP="00C51975">
            <w:pPr>
              <w:pStyle w:val="TableTextLeft"/>
              <w:spacing w:before="30" w:after="30"/>
              <w:rPr>
                <w:rStyle w:val="Strong"/>
              </w:rPr>
            </w:pPr>
          </w:p>
        </w:tc>
        <w:tc>
          <w:tcPr>
            <w:tcW w:w="1571" w:type="dxa"/>
            <w:tcBorders>
              <w:top w:val="single" w:sz="4" w:space="0" w:color="213657"/>
              <w:left w:val="single" w:sz="4" w:space="0" w:color="213657"/>
              <w:bottom w:val="single" w:sz="4" w:space="0" w:color="213657"/>
              <w:right w:val="single" w:sz="4" w:space="0" w:color="213657"/>
            </w:tcBorders>
          </w:tcPr>
          <w:p w14:paraId="740E2124" w14:textId="77777777" w:rsidR="0044523F" w:rsidRPr="00C51975" w:rsidRDefault="0044523F" w:rsidP="00C51975">
            <w:pPr>
              <w:pStyle w:val="TableTextLeft"/>
              <w:spacing w:before="30" w:after="30"/>
              <w:rPr>
                <w:rStyle w:val="Strong"/>
              </w:rPr>
            </w:pPr>
          </w:p>
        </w:tc>
      </w:tr>
      <w:tr w:rsidR="0044523F" w14:paraId="3CD09A35"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585EA288" w14:textId="77777777" w:rsidR="0044523F" w:rsidRPr="00AF44F8" w:rsidRDefault="0044523F" w:rsidP="00C51975">
            <w:pPr>
              <w:pStyle w:val="TableTextLeft"/>
              <w:spacing w:before="30" w:after="30"/>
            </w:pPr>
            <w:r w:rsidRPr="00AF44F8">
              <w:t>Findings and/or recommendations actioned in full</w:t>
            </w:r>
          </w:p>
        </w:tc>
        <w:tc>
          <w:tcPr>
            <w:tcW w:w="1840" w:type="dxa"/>
            <w:tcBorders>
              <w:top w:val="single" w:sz="4" w:space="0" w:color="213657"/>
              <w:left w:val="single" w:sz="4" w:space="0" w:color="213657"/>
              <w:bottom w:val="single" w:sz="4" w:space="0" w:color="213657"/>
              <w:right w:val="single" w:sz="4" w:space="0" w:color="213657"/>
            </w:tcBorders>
          </w:tcPr>
          <w:p w14:paraId="418E2727" w14:textId="26673B64" w:rsidR="0044523F" w:rsidRPr="006C4AC3" w:rsidRDefault="0044523F" w:rsidP="00C51975">
            <w:pPr>
              <w:pStyle w:val="TableTextLeft"/>
              <w:spacing w:before="30" w:after="30"/>
            </w:pPr>
            <w:r w:rsidRPr="006C4AC3">
              <w:t>36 (</w:t>
            </w:r>
            <w:r w:rsidR="00F0525B" w:rsidRPr="006C4AC3">
              <w:t>1</w:t>
            </w:r>
            <w:r w:rsidR="00AD2B5D" w:rsidRPr="006C4AC3">
              <w:t>3</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0580E4A7" w14:textId="4BFA152C" w:rsidR="0044523F" w:rsidRPr="006C4AC3" w:rsidRDefault="0044523F" w:rsidP="00C51975">
            <w:pPr>
              <w:pStyle w:val="TableTextLeft"/>
              <w:spacing w:before="30" w:after="30"/>
            </w:pPr>
            <w:r w:rsidRPr="006C4AC3">
              <w:t>52 (</w:t>
            </w:r>
            <w:r w:rsidR="00F0525B" w:rsidRPr="006C4AC3">
              <w:t>15</w:t>
            </w:r>
            <w:r w:rsidRPr="006C4AC3">
              <w:t>%)</w:t>
            </w:r>
          </w:p>
        </w:tc>
      </w:tr>
      <w:tr w:rsidR="0044523F" w14:paraId="2A10B051"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29B8BE4B" w14:textId="77777777" w:rsidR="0044523F" w:rsidRPr="00AF44F8" w:rsidRDefault="0044523F" w:rsidP="00C51975">
            <w:pPr>
              <w:pStyle w:val="TableTextLeft"/>
              <w:spacing w:before="30" w:after="30"/>
            </w:pPr>
            <w:r w:rsidRPr="00AF44F8">
              <w:t>Findings and/or recommendations actioned in part</w:t>
            </w:r>
          </w:p>
        </w:tc>
        <w:tc>
          <w:tcPr>
            <w:tcW w:w="1840" w:type="dxa"/>
            <w:tcBorders>
              <w:top w:val="single" w:sz="4" w:space="0" w:color="213657"/>
              <w:left w:val="single" w:sz="4" w:space="0" w:color="213657"/>
              <w:bottom w:val="single" w:sz="4" w:space="0" w:color="213657"/>
              <w:right w:val="single" w:sz="4" w:space="0" w:color="213657"/>
            </w:tcBorders>
          </w:tcPr>
          <w:p w14:paraId="2F691153" w14:textId="7676CC79" w:rsidR="0044523F" w:rsidRPr="006C4AC3" w:rsidRDefault="0044523F" w:rsidP="00C51975">
            <w:pPr>
              <w:pStyle w:val="TableTextLeft"/>
              <w:spacing w:before="30" w:after="30"/>
            </w:pPr>
            <w:r w:rsidRPr="006C4AC3">
              <w:t>76 (</w:t>
            </w:r>
            <w:r w:rsidR="00F0525B" w:rsidRPr="006C4AC3">
              <w:t>2</w:t>
            </w:r>
            <w:r w:rsidR="00AD2B5D" w:rsidRPr="006C4AC3">
              <w:t>8</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6CCA5AF7" w14:textId="4D9E06FD" w:rsidR="0044523F" w:rsidRPr="006C4AC3" w:rsidRDefault="0044523F" w:rsidP="00C51975">
            <w:pPr>
              <w:pStyle w:val="TableTextLeft"/>
              <w:spacing w:before="30" w:after="30"/>
            </w:pPr>
            <w:r w:rsidRPr="006C4AC3">
              <w:t>93 (</w:t>
            </w:r>
            <w:r w:rsidR="00F0525B" w:rsidRPr="006C4AC3">
              <w:t>27</w:t>
            </w:r>
            <w:r w:rsidRPr="006C4AC3">
              <w:t>%)</w:t>
            </w:r>
          </w:p>
        </w:tc>
      </w:tr>
      <w:tr w:rsidR="0044523F" w14:paraId="5D6CE725"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5D48CD32" w14:textId="77777777" w:rsidR="0044523F" w:rsidRPr="00AF44F8" w:rsidRDefault="0044523F" w:rsidP="00C51975">
            <w:pPr>
              <w:pStyle w:val="TableTextLeft"/>
              <w:spacing w:before="30" w:after="30"/>
            </w:pPr>
            <w:r w:rsidRPr="00AF44F8">
              <w:t>Findings and/or recommendations considered but not actioned</w:t>
            </w:r>
          </w:p>
        </w:tc>
        <w:tc>
          <w:tcPr>
            <w:tcW w:w="1840" w:type="dxa"/>
            <w:tcBorders>
              <w:top w:val="single" w:sz="4" w:space="0" w:color="213657"/>
              <w:left w:val="single" w:sz="4" w:space="0" w:color="213657"/>
              <w:bottom w:val="single" w:sz="4" w:space="0" w:color="213657"/>
              <w:right w:val="single" w:sz="4" w:space="0" w:color="213657"/>
            </w:tcBorders>
          </w:tcPr>
          <w:p w14:paraId="4CF4D2BA" w14:textId="00C097AD" w:rsidR="0044523F" w:rsidRPr="006C4AC3" w:rsidRDefault="0044523F" w:rsidP="00C51975">
            <w:pPr>
              <w:pStyle w:val="TableTextLeft"/>
              <w:spacing w:before="30" w:after="30"/>
            </w:pPr>
            <w:r w:rsidRPr="006C4AC3">
              <w:t>24 (</w:t>
            </w:r>
            <w:r w:rsidR="00AD2B5D" w:rsidRPr="006C4AC3">
              <w:t>9</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6745020F" w14:textId="202CD950" w:rsidR="0044523F" w:rsidRPr="006C4AC3" w:rsidRDefault="0044523F" w:rsidP="00C51975">
            <w:pPr>
              <w:pStyle w:val="TableTextLeft"/>
              <w:spacing w:before="30" w:after="30"/>
            </w:pPr>
            <w:r w:rsidRPr="006C4AC3">
              <w:t>26 (</w:t>
            </w:r>
            <w:r w:rsidR="00F0525B" w:rsidRPr="006C4AC3">
              <w:t>8</w:t>
            </w:r>
            <w:r w:rsidRPr="006C4AC3">
              <w:t>%)</w:t>
            </w:r>
          </w:p>
        </w:tc>
      </w:tr>
      <w:tr w:rsidR="0044523F" w14:paraId="09EE84E6" w14:textId="77777777" w:rsidTr="003613F2">
        <w:tc>
          <w:tcPr>
            <w:tcW w:w="5633" w:type="dxa"/>
            <w:tcBorders>
              <w:top w:val="single" w:sz="4" w:space="0" w:color="213657"/>
              <w:left w:val="single" w:sz="4" w:space="0" w:color="213657"/>
              <w:bottom w:val="single" w:sz="4" w:space="0" w:color="213657"/>
              <w:right w:val="single" w:sz="4" w:space="0" w:color="213657"/>
            </w:tcBorders>
          </w:tcPr>
          <w:p w14:paraId="35EC4D49" w14:textId="77777777" w:rsidR="0044523F" w:rsidRPr="00AF44F8" w:rsidRDefault="0044523F" w:rsidP="00C51975">
            <w:pPr>
              <w:pStyle w:val="TableTextLeft"/>
              <w:spacing w:before="30" w:after="30"/>
            </w:pPr>
            <w:r w:rsidRPr="00AF44F8">
              <w:t>Findings and/or recommendations under consideration</w:t>
            </w:r>
          </w:p>
        </w:tc>
        <w:tc>
          <w:tcPr>
            <w:tcW w:w="1840" w:type="dxa"/>
            <w:tcBorders>
              <w:top w:val="single" w:sz="4" w:space="0" w:color="213657"/>
              <w:left w:val="single" w:sz="4" w:space="0" w:color="213657"/>
              <w:bottom w:val="single" w:sz="4" w:space="0" w:color="213657"/>
              <w:right w:val="single" w:sz="4" w:space="0" w:color="213657"/>
            </w:tcBorders>
          </w:tcPr>
          <w:p w14:paraId="455DB100" w14:textId="21100902" w:rsidR="0044523F" w:rsidRPr="006C4AC3" w:rsidRDefault="0044523F" w:rsidP="00C51975">
            <w:pPr>
              <w:pStyle w:val="TableTextLeft"/>
              <w:spacing w:before="30" w:after="30"/>
            </w:pPr>
            <w:r w:rsidRPr="006C4AC3">
              <w:t>140 (</w:t>
            </w:r>
            <w:r w:rsidR="00AD2B5D" w:rsidRPr="006C4AC3">
              <w:t>51</w:t>
            </w:r>
            <w:r w:rsidRPr="006C4AC3">
              <w:t>%)</w:t>
            </w:r>
          </w:p>
        </w:tc>
        <w:tc>
          <w:tcPr>
            <w:tcW w:w="1571" w:type="dxa"/>
            <w:tcBorders>
              <w:top w:val="single" w:sz="4" w:space="0" w:color="213657"/>
              <w:left w:val="single" w:sz="4" w:space="0" w:color="213657"/>
              <w:bottom w:val="single" w:sz="4" w:space="0" w:color="213657"/>
              <w:right w:val="single" w:sz="4" w:space="0" w:color="213657"/>
            </w:tcBorders>
          </w:tcPr>
          <w:p w14:paraId="365C31C8" w14:textId="6F10E4A2" w:rsidR="0044523F" w:rsidRPr="006C4AC3" w:rsidRDefault="0044523F" w:rsidP="00C51975">
            <w:pPr>
              <w:pStyle w:val="TableTextLeft"/>
              <w:spacing w:before="30" w:after="30"/>
            </w:pPr>
            <w:r w:rsidRPr="006C4AC3">
              <w:t>173 (</w:t>
            </w:r>
            <w:r w:rsidR="00F0525B" w:rsidRPr="006C4AC3">
              <w:t>50</w:t>
            </w:r>
            <w:r w:rsidRPr="006C4AC3">
              <w:t>%)</w:t>
            </w:r>
          </w:p>
        </w:tc>
      </w:tr>
    </w:tbl>
    <w:p w14:paraId="291B3567" w14:textId="0190FFF3" w:rsidR="00CB669E" w:rsidRDefault="00CB669E" w:rsidP="00C51975">
      <w:pPr>
        <w:pStyle w:val="ChartorTableNote"/>
      </w:pPr>
      <w:r>
        <w:t xml:space="preserve"># </w:t>
      </w:r>
      <w:r w:rsidR="0044523F">
        <w:t xml:space="preserve"> </w:t>
      </w:r>
      <w:r w:rsidR="00705E86" w:rsidRPr="00705E86">
        <w:t xml:space="preserve">Entities could respond with </w:t>
      </w:r>
      <w:r w:rsidRPr="00CB669E">
        <w:t>Y/N/NA</w:t>
      </w:r>
      <w:r w:rsidR="00705E86">
        <w:t xml:space="preserve"> </w:t>
      </w:r>
      <w:r w:rsidR="00705E86" w:rsidRPr="00705E86">
        <w:t>for each evaluation, and each cohort. Any evaluations which selected "N" for all cohorts being assessed were treated as an NA/blank response and were excluded from analysis. Proportions reported here are from all evaluations where at least one specific cohort was reported as being assessed and will not add up to 100% as entities could select multiple cohorts.</w:t>
      </w:r>
    </w:p>
    <w:p w14:paraId="24A5F664" w14:textId="169D8850" w:rsidR="0044523F" w:rsidRPr="00AA07E8" w:rsidRDefault="0044523F" w:rsidP="00AA07E8">
      <w:pPr>
        <w:pStyle w:val="ChartorTableNote"/>
      </w:pPr>
      <w:r>
        <w:t>*Questions were not mandatory, and thus the total proportions may not add up to 100% due to missing data.</w:t>
      </w:r>
      <w:r>
        <w:br w:type="page"/>
      </w:r>
    </w:p>
    <w:p w14:paraId="446C1F94" w14:textId="67C29AEA" w:rsidR="0019709B" w:rsidRDefault="0044523F" w:rsidP="00DF3440">
      <w:pPr>
        <w:pStyle w:val="Heading1"/>
      </w:pPr>
      <w:bookmarkStart w:id="32" w:name="_Toc189820837"/>
      <w:r>
        <w:lastRenderedPageBreak/>
        <w:t xml:space="preserve">Appendix </w:t>
      </w:r>
      <w:r w:rsidR="008236CB">
        <w:t>5</w:t>
      </w:r>
      <w:r w:rsidR="00CF7B75">
        <w:t xml:space="preserve">: </w:t>
      </w:r>
      <w:r w:rsidR="0019709B">
        <w:t>Survey results (table format)</w:t>
      </w:r>
      <w:bookmarkEnd w:id="32"/>
    </w:p>
    <w:p w14:paraId="548168D3" w14:textId="77777777" w:rsidR="00513159" w:rsidRDefault="00513159" w:rsidP="00DF3440">
      <w:pPr>
        <w:ind w:right="-144"/>
        <w:rPr>
          <w:sz w:val="18"/>
          <w:szCs w:val="16"/>
        </w:rPr>
      </w:pPr>
      <w:r>
        <w:rPr>
          <w:sz w:val="18"/>
          <w:szCs w:val="16"/>
        </w:rPr>
        <w:t>For questions marked with an asterisk (*) sign in the table below, entities were able to select multiple choices. Proportions here reflect the number of entities selecting a choice from the total number of respondents and will not add up to 100%</w:t>
      </w:r>
    </w:p>
    <w:p w14:paraId="039F5015" w14:textId="77777777" w:rsidR="00513159" w:rsidRDefault="00513159" w:rsidP="00513159">
      <w:pPr>
        <w:ind w:right="-144"/>
        <w:rPr>
          <w:sz w:val="18"/>
          <w:szCs w:val="16"/>
        </w:rPr>
      </w:pPr>
      <w:r>
        <w:rPr>
          <w:sz w:val="18"/>
          <w:szCs w:val="16"/>
        </w:rPr>
        <w:t>Questions were not mandatory, and thus the total proportions may not add up to 100% due to missing data.</w:t>
      </w:r>
    </w:p>
    <w:p w14:paraId="5D5C91B4" w14:textId="2254CAD6" w:rsidR="00513159" w:rsidRPr="00A4528E" w:rsidRDefault="00513159" w:rsidP="00513159">
      <w:pPr>
        <w:ind w:right="-144"/>
      </w:pPr>
      <w:r>
        <w:rPr>
          <w:sz w:val="18"/>
        </w:rPr>
        <w:t>For certain questions, analysis is presented only in aggregate (</w:t>
      </w:r>
      <w:r w:rsidR="006352F9">
        <w:rPr>
          <w:sz w:val="18"/>
        </w:rPr>
        <w:t>without large agency breakdown).</w:t>
      </w:r>
    </w:p>
    <w:p w14:paraId="72995A96" w14:textId="6AF1A22E" w:rsidR="00AA232A" w:rsidRPr="00297621" w:rsidRDefault="00AA232A" w:rsidP="0038701E">
      <w:pPr>
        <w:pStyle w:val="ChartMainHeading"/>
        <w:jc w:val="left"/>
      </w:pPr>
      <w:r w:rsidRPr="00297621">
        <w:t xml:space="preserve">Table </w:t>
      </w:r>
      <w:r w:rsidR="00390065">
        <w:t>3</w:t>
      </w:r>
      <w:r w:rsidRPr="00213DBC">
        <w:t>: Survey results table</w:t>
      </w:r>
    </w:p>
    <w:tbl>
      <w:tblPr>
        <w:tblStyle w:val="TableGrid"/>
        <w:tblW w:w="9062" w:type="dxa"/>
        <w:tblBorders>
          <w:top w:val="single" w:sz="8" w:space="0" w:color="213657"/>
          <w:left w:val="single" w:sz="8" w:space="0" w:color="213657"/>
          <w:bottom w:val="single" w:sz="8" w:space="0" w:color="213657"/>
          <w:right w:val="single" w:sz="8" w:space="0" w:color="213657"/>
          <w:insideH w:val="single" w:sz="8" w:space="0" w:color="213657"/>
          <w:insideV w:val="single" w:sz="8" w:space="0" w:color="213657"/>
        </w:tblBorders>
        <w:tblLook w:val="04A0" w:firstRow="1" w:lastRow="0" w:firstColumn="1" w:lastColumn="0" w:noHBand="0" w:noVBand="1"/>
      </w:tblPr>
      <w:tblGrid>
        <w:gridCol w:w="5660"/>
        <w:gridCol w:w="1560"/>
        <w:gridCol w:w="1842"/>
      </w:tblGrid>
      <w:tr w:rsidR="00513159" w:rsidRPr="00CB544B" w14:paraId="51E18E31" w14:textId="77777777" w:rsidTr="00C6006F">
        <w:trPr>
          <w:cnfStyle w:val="100000000000" w:firstRow="1" w:lastRow="0" w:firstColumn="0" w:lastColumn="0" w:oddVBand="0" w:evenVBand="0" w:oddHBand="0" w:evenHBand="0" w:firstRowFirstColumn="0" w:firstRowLastColumn="0" w:lastRowFirstColumn="0" w:lastRowLastColumn="0"/>
          <w:tblHeader/>
        </w:trPr>
        <w:tc>
          <w:tcPr>
            <w:tcW w:w="5660" w:type="dxa"/>
            <w:shd w:val="clear" w:color="auto" w:fill="213657"/>
          </w:tcPr>
          <w:p w14:paraId="11CFD88C" w14:textId="77777777" w:rsidR="00513159" w:rsidRPr="00C6006F" w:rsidRDefault="00513159" w:rsidP="00C6006F">
            <w:pPr>
              <w:pStyle w:val="TableColumnHeadingLeft"/>
              <w:rPr>
                <w:b/>
                <w:bCs/>
                <w:color w:val="FFFFFF" w:themeColor="background1"/>
              </w:rPr>
            </w:pPr>
            <w:bookmarkStart w:id="33" w:name="_Hlk189817927"/>
            <w:bookmarkStart w:id="34" w:name="_Hlk189218163"/>
            <w:r w:rsidRPr="00C6006F">
              <w:rPr>
                <w:b/>
                <w:bCs/>
                <w:color w:val="FFFFFF" w:themeColor="background1"/>
              </w:rPr>
              <w:t>Survey question</w:t>
            </w:r>
          </w:p>
        </w:tc>
        <w:tc>
          <w:tcPr>
            <w:tcW w:w="1560" w:type="dxa"/>
            <w:shd w:val="clear" w:color="auto" w:fill="213657"/>
          </w:tcPr>
          <w:p w14:paraId="6DB33F0F" w14:textId="43D48EE9" w:rsidR="00513159" w:rsidRPr="00C6006F" w:rsidRDefault="00513159" w:rsidP="00C6006F">
            <w:pPr>
              <w:pStyle w:val="TableColumnHeadingLeft"/>
              <w:rPr>
                <w:b/>
                <w:bCs/>
                <w:color w:val="FFFFFF" w:themeColor="background1"/>
              </w:rPr>
            </w:pPr>
            <w:r w:rsidRPr="00C6006F">
              <w:rPr>
                <w:b/>
                <w:bCs/>
                <w:color w:val="FFFFFF" w:themeColor="background1"/>
              </w:rPr>
              <w:t xml:space="preserve">Large entities </w:t>
            </w:r>
            <w:r w:rsidR="00C6006F">
              <w:rPr>
                <w:b/>
                <w:bCs/>
                <w:color w:val="FFFFFF" w:themeColor="background1"/>
              </w:rPr>
              <w:br/>
            </w:r>
            <w:r w:rsidRPr="00C6006F">
              <w:rPr>
                <w:b/>
                <w:bCs/>
                <w:color w:val="FFFFFF" w:themeColor="background1"/>
              </w:rPr>
              <w:t>(n = 34, if not specified otherwise)</w:t>
            </w:r>
          </w:p>
        </w:tc>
        <w:tc>
          <w:tcPr>
            <w:tcW w:w="1842" w:type="dxa"/>
            <w:shd w:val="clear" w:color="auto" w:fill="213657"/>
          </w:tcPr>
          <w:p w14:paraId="1087183D" w14:textId="77777777" w:rsidR="00513159" w:rsidRPr="00C6006F" w:rsidRDefault="00513159" w:rsidP="00C6006F">
            <w:pPr>
              <w:pStyle w:val="TableColumnHeadingLeft"/>
              <w:rPr>
                <w:b/>
                <w:bCs/>
                <w:color w:val="FFFFFF" w:themeColor="background1"/>
              </w:rPr>
            </w:pPr>
            <w:r w:rsidRPr="00C6006F">
              <w:rPr>
                <w:b/>
                <w:bCs/>
                <w:color w:val="FFFFFF" w:themeColor="background1"/>
              </w:rPr>
              <w:t xml:space="preserve">Overall Proportion </w:t>
            </w:r>
          </w:p>
          <w:p w14:paraId="29B9A451" w14:textId="77777777" w:rsidR="00513159" w:rsidRPr="00C6006F" w:rsidRDefault="00513159" w:rsidP="00C6006F">
            <w:pPr>
              <w:pStyle w:val="TableColumnHeadingLeft"/>
              <w:rPr>
                <w:b/>
                <w:bCs/>
                <w:color w:val="FFFFFF" w:themeColor="background1"/>
              </w:rPr>
            </w:pPr>
            <w:r w:rsidRPr="00C6006F">
              <w:rPr>
                <w:b/>
                <w:bCs/>
                <w:color w:val="FFFFFF" w:themeColor="background1"/>
              </w:rPr>
              <w:t>(n = 92, if not specified otherwise)</w:t>
            </w:r>
          </w:p>
        </w:tc>
      </w:tr>
      <w:bookmarkEnd w:id="33"/>
      <w:tr w:rsidR="00513159" w14:paraId="55ABC515" w14:textId="77777777" w:rsidTr="00C6006F">
        <w:trPr>
          <w:trHeight w:val="52"/>
        </w:trPr>
        <w:tc>
          <w:tcPr>
            <w:tcW w:w="5660" w:type="dxa"/>
          </w:tcPr>
          <w:p w14:paraId="5518D4AD" w14:textId="77777777" w:rsidR="00513159" w:rsidRPr="00C6006F" w:rsidRDefault="00513159" w:rsidP="00C6006F">
            <w:pPr>
              <w:pStyle w:val="TableTextLeft"/>
              <w:spacing w:before="20" w:after="20"/>
              <w:rPr>
                <w:rStyle w:val="Strong"/>
              </w:rPr>
            </w:pPr>
            <w:r w:rsidRPr="00C6006F">
              <w:rPr>
                <w:rStyle w:val="Strong"/>
              </w:rPr>
              <w:t>Entity and governance characteristics</w:t>
            </w:r>
          </w:p>
        </w:tc>
        <w:tc>
          <w:tcPr>
            <w:tcW w:w="1560" w:type="dxa"/>
          </w:tcPr>
          <w:p w14:paraId="34A3D9C0" w14:textId="77777777" w:rsidR="00513159" w:rsidRPr="00C6006F" w:rsidRDefault="00513159" w:rsidP="00C6006F">
            <w:pPr>
              <w:pStyle w:val="TableTextLeft"/>
              <w:spacing w:before="20" w:after="20"/>
              <w:rPr>
                <w:rStyle w:val="Strong"/>
              </w:rPr>
            </w:pPr>
          </w:p>
        </w:tc>
        <w:tc>
          <w:tcPr>
            <w:tcW w:w="1842" w:type="dxa"/>
          </w:tcPr>
          <w:p w14:paraId="0CE5599E" w14:textId="77777777" w:rsidR="00513159" w:rsidRPr="00C6006F" w:rsidRDefault="00513159" w:rsidP="00C6006F">
            <w:pPr>
              <w:pStyle w:val="TableTextLeft"/>
              <w:spacing w:before="20" w:after="20"/>
              <w:rPr>
                <w:rStyle w:val="Strong"/>
              </w:rPr>
            </w:pPr>
          </w:p>
        </w:tc>
      </w:tr>
      <w:tr w:rsidR="00513159" w14:paraId="153BB27B" w14:textId="77777777" w:rsidTr="00C6006F">
        <w:trPr>
          <w:trHeight w:val="170"/>
        </w:trPr>
        <w:tc>
          <w:tcPr>
            <w:tcW w:w="5660" w:type="dxa"/>
          </w:tcPr>
          <w:p w14:paraId="39B4A9CB" w14:textId="3F73A8ED" w:rsidR="00513159" w:rsidRPr="00E84E22" w:rsidRDefault="00513159" w:rsidP="00C6006F">
            <w:pPr>
              <w:pStyle w:val="TableTextLeft"/>
              <w:spacing w:before="20" w:after="20"/>
            </w:pPr>
            <w:r w:rsidRPr="00E84E22">
              <w:t>Does your agency have a senior officer (SES or equivalent) with oversight responsibility for evaluation at an enterprise</w:t>
            </w:r>
            <w:r w:rsidR="00AD4DCC">
              <w:noBreakHyphen/>
            </w:r>
            <w:r w:rsidRPr="00E84E22">
              <w:t>level? (Q. 5)</w:t>
            </w:r>
          </w:p>
        </w:tc>
        <w:tc>
          <w:tcPr>
            <w:tcW w:w="1560" w:type="dxa"/>
          </w:tcPr>
          <w:p w14:paraId="62E2B18D" w14:textId="77777777" w:rsidR="00513159" w:rsidRPr="00E84E22" w:rsidRDefault="00513159" w:rsidP="00C6006F">
            <w:pPr>
              <w:pStyle w:val="TableTextLeft"/>
              <w:spacing w:before="20" w:after="20"/>
            </w:pPr>
            <w:r>
              <w:t>53%</w:t>
            </w:r>
          </w:p>
        </w:tc>
        <w:tc>
          <w:tcPr>
            <w:tcW w:w="1842" w:type="dxa"/>
          </w:tcPr>
          <w:p w14:paraId="2DC26223" w14:textId="77777777" w:rsidR="00513159" w:rsidRPr="00E84E22" w:rsidRDefault="00513159" w:rsidP="00C6006F">
            <w:pPr>
              <w:pStyle w:val="TableTextLeft"/>
              <w:spacing w:before="20" w:after="20"/>
            </w:pPr>
            <w:r w:rsidRPr="00E84E22">
              <w:t>35%</w:t>
            </w:r>
          </w:p>
        </w:tc>
      </w:tr>
      <w:tr w:rsidR="00513159" w14:paraId="5D075F42" w14:textId="77777777" w:rsidTr="00C6006F">
        <w:trPr>
          <w:trHeight w:val="170"/>
        </w:trPr>
        <w:tc>
          <w:tcPr>
            <w:tcW w:w="5660" w:type="dxa"/>
          </w:tcPr>
          <w:p w14:paraId="2E3AE363" w14:textId="77777777" w:rsidR="00513159" w:rsidRPr="00E84E22" w:rsidRDefault="00513159" w:rsidP="00C6006F">
            <w:pPr>
              <w:pStyle w:val="TableTextLeft"/>
              <w:spacing w:before="20" w:after="20"/>
            </w:pPr>
            <w:r w:rsidRPr="00E84E22">
              <w:t>Does your agency have a dedicated evaluation unit or function?</w:t>
            </w:r>
            <w:r>
              <w:t xml:space="preserve"> (serving part</w:t>
            </w:r>
            <w:r w:rsidRPr="00E84E22">
              <w:t xml:space="preserve"> </w:t>
            </w:r>
            <w:r>
              <w:t xml:space="preserve">or </w:t>
            </w:r>
            <w:proofErr w:type="gramStart"/>
            <w:r>
              <w:t>all of</w:t>
            </w:r>
            <w:proofErr w:type="gramEnd"/>
            <w:r>
              <w:t xml:space="preserve"> your entity) </w:t>
            </w:r>
            <w:r w:rsidRPr="00E84E22">
              <w:t xml:space="preserve">(Q. 6) </w:t>
            </w:r>
          </w:p>
        </w:tc>
        <w:tc>
          <w:tcPr>
            <w:tcW w:w="1560" w:type="dxa"/>
          </w:tcPr>
          <w:p w14:paraId="24322A7A" w14:textId="77777777" w:rsidR="00513159" w:rsidRPr="00E84E22" w:rsidRDefault="00513159" w:rsidP="00C6006F">
            <w:pPr>
              <w:pStyle w:val="TableTextLeft"/>
              <w:spacing w:before="20" w:after="20"/>
            </w:pPr>
            <w:r>
              <w:t>53%</w:t>
            </w:r>
          </w:p>
        </w:tc>
        <w:tc>
          <w:tcPr>
            <w:tcW w:w="1842" w:type="dxa"/>
          </w:tcPr>
          <w:p w14:paraId="3394582C" w14:textId="3D90BC04" w:rsidR="00513159" w:rsidRPr="00E84E22" w:rsidRDefault="00513159" w:rsidP="00C6006F">
            <w:pPr>
              <w:pStyle w:val="TableTextLeft"/>
              <w:spacing w:before="20" w:after="20"/>
            </w:pPr>
            <w:r w:rsidRPr="00E84E22">
              <w:t>30% (2</w:t>
            </w:r>
            <w:r w:rsidR="001E48EF">
              <w:t>8</w:t>
            </w:r>
            <w:r w:rsidRPr="00E84E22">
              <w:t xml:space="preserve"> entities)</w:t>
            </w:r>
          </w:p>
        </w:tc>
      </w:tr>
      <w:tr w:rsidR="00513159" w14:paraId="543EF9EE" w14:textId="77777777" w:rsidTr="00C6006F">
        <w:trPr>
          <w:trHeight w:val="170"/>
        </w:trPr>
        <w:tc>
          <w:tcPr>
            <w:tcW w:w="5660" w:type="dxa"/>
          </w:tcPr>
          <w:p w14:paraId="7EDE478E" w14:textId="33737BE0" w:rsidR="00513159" w:rsidRPr="00E84E22" w:rsidRDefault="00513159" w:rsidP="00C6006F">
            <w:pPr>
              <w:pStyle w:val="TableTextLeft"/>
              <w:spacing w:before="20" w:after="20"/>
            </w:pPr>
            <w:r w:rsidRPr="00E84E22">
              <w:t>What was the Average Staffing Level (ASL) for the unit or function in 2023</w:t>
            </w:r>
            <w:r w:rsidR="00AD4DCC">
              <w:noBreakHyphen/>
            </w:r>
            <w:r w:rsidRPr="00E84E22">
              <w:t>24? (Q. 6.3</w:t>
            </w:r>
            <w:r>
              <w:t>, average</w:t>
            </w:r>
            <w:r w:rsidRPr="00E84E22">
              <w:t>)</w:t>
            </w:r>
          </w:p>
        </w:tc>
        <w:tc>
          <w:tcPr>
            <w:tcW w:w="1560" w:type="dxa"/>
          </w:tcPr>
          <w:p w14:paraId="306C17F6" w14:textId="77777777" w:rsidR="00513159" w:rsidRPr="00E84E22" w:rsidRDefault="00513159" w:rsidP="00C6006F">
            <w:pPr>
              <w:pStyle w:val="TableTextLeft"/>
              <w:spacing w:before="20" w:after="20"/>
            </w:pPr>
            <w:r>
              <w:t>11 ASL</w:t>
            </w:r>
          </w:p>
        </w:tc>
        <w:tc>
          <w:tcPr>
            <w:tcW w:w="1842" w:type="dxa"/>
          </w:tcPr>
          <w:p w14:paraId="3DDFF822" w14:textId="77777777" w:rsidR="00513159" w:rsidRPr="00E84E22" w:rsidRDefault="00513159" w:rsidP="00C6006F">
            <w:pPr>
              <w:pStyle w:val="TableTextLeft"/>
              <w:spacing w:before="20" w:after="20"/>
            </w:pPr>
            <w:r w:rsidRPr="00E84E22">
              <w:t>8.3 ASL</w:t>
            </w:r>
          </w:p>
        </w:tc>
      </w:tr>
      <w:tr w:rsidR="00513159" w:rsidRPr="009927C1" w14:paraId="1D2EC8A2" w14:textId="77777777" w:rsidTr="00C6006F">
        <w:trPr>
          <w:trHeight w:val="170"/>
        </w:trPr>
        <w:tc>
          <w:tcPr>
            <w:tcW w:w="5660" w:type="dxa"/>
          </w:tcPr>
          <w:p w14:paraId="0F07078A" w14:textId="46F053F6" w:rsidR="00513159" w:rsidRPr="00E84E22" w:rsidRDefault="00513159" w:rsidP="00C6006F">
            <w:pPr>
              <w:pStyle w:val="TableTextLeft"/>
              <w:spacing w:before="20" w:after="20"/>
            </w:pPr>
            <w:r w:rsidRPr="00E84E22">
              <w:t>Has there been any decision to substantially change the level of ASL in the evaluation unit or function since 2022</w:t>
            </w:r>
            <w:r w:rsidR="00AD4DCC">
              <w:noBreakHyphen/>
            </w:r>
            <w:r w:rsidRPr="00E84E22">
              <w:t>23? (Q. 6.4) (for n=27)</w:t>
            </w:r>
          </w:p>
        </w:tc>
        <w:tc>
          <w:tcPr>
            <w:tcW w:w="1560" w:type="dxa"/>
          </w:tcPr>
          <w:p w14:paraId="1BB8F813" w14:textId="77777777" w:rsidR="00513159" w:rsidRPr="00E84E22" w:rsidRDefault="00513159" w:rsidP="00C6006F">
            <w:pPr>
              <w:pStyle w:val="TableTextLeft"/>
              <w:spacing w:before="20" w:after="20"/>
            </w:pPr>
          </w:p>
        </w:tc>
        <w:tc>
          <w:tcPr>
            <w:tcW w:w="1842" w:type="dxa"/>
          </w:tcPr>
          <w:p w14:paraId="2211BA8F" w14:textId="77777777" w:rsidR="00513159" w:rsidRPr="00E84E22" w:rsidRDefault="00513159" w:rsidP="00C6006F">
            <w:pPr>
              <w:pStyle w:val="TableTextLeft"/>
              <w:spacing w:before="20" w:after="20"/>
            </w:pPr>
          </w:p>
        </w:tc>
      </w:tr>
      <w:tr w:rsidR="00513159" w:rsidRPr="009927C1" w14:paraId="6D93BB1C" w14:textId="77777777" w:rsidTr="00C6006F">
        <w:trPr>
          <w:trHeight w:val="170"/>
        </w:trPr>
        <w:tc>
          <w:tcPr>
            <w:tcW w:w="5660" w:type="dxa"/>
          </w:tcPr>
          <w:p w14:paraId="26D3A9AC" w14:textId="3900A955" w:rsidR="00513159" w:rsidRPr="00E84E22" w:rsidRDefault="00C6006F" w:rsidP="00C6006F">
            <w:pPr>
              <w:pStyle w:val="TableTextLeft"/>
              <w:spacing w:before="20" w:after="20"/>
            </w:pPr>
            <w:r w:rsidRPr="00C51975">
              <w:tab/>
            </w:r>
            <w:r w:rsidR="00513159" w:rsidRPr="00E84E22">
              <w:t>Increase</w:t>
            </w:r>
          </w:p>
        </w:tc>
        <w:tc>
          <w:tcPr>
            <w:tcW w:w="1560" w:type="dxa"/>
          </w:tcPr>
          <w:p w14:paraId="2120F584" w14:textId="77777777" w:rsidR="00513159" w:rsidRPr="00E84E22" w:rsidRDefault="00513159" w:rsidP="00C6006F">
            <w:pPr>
              <w:pStyle w:val="TableTextLeft"/>
              <w:spacing w:before="20" w:after="20"/>
            </w:pPr>
            <w:r>
              <w:t>50%</w:t>
            </w:r>
          </w:p>
        </w:tc>
        <w:tc>
          <w:tcPr>
            <w:tcW w:w="1842" w:type="dxa"/>
          </w:tcPr>
          <w:p w14:paraId="08778E1E" w14:textId="77777777" w:rsidR="00513159" w:rsidRPr="00E84E22" w:rsidRDefault="00513159" w:rsidP="00C6006F">
            <w:pPr>
              <w:pStyle w:val="TableTextLeft"/>
              <w:spacing w:before="20" w:after="20"/>
            </w:pPr>
            <w:r w:rsidRPr="00E84E22">
              <w:t>43%</w:t>
            </w:r>
          </w:p>
        </w:tc>
      </w:tr>
      <w:tr w:rsidR="00513159" w:rsidRPr="009927C1" w14:paraId="20AB06A7" w14:textId="77777777" w:rsidTr="00C6006F">
        <w:trPr>
          <w:trHeight w:val="170"/>
        </w:trPr>
        <w:tc>
          <w:tcPr>
            <w:tcW w:w="5660" w:type="dxa"/>
          </w:tcPr>
          <w:p w14:paraId="577E1370" w14:textId="49C99AB4" w:rsidR="00513159" w:rsidRPr="00E84E22" w:rsidRDefault="00C6006F" w:rsidP="00C6006F">
            <w:pPr>
              <w:pStyle w:val="TableTextLeft"/>
              <w:spacing w:before="20" w:after="20"/>
            </w:pPr>
            <w:r w:rsidRPr="00C51975">
              <w:tab/>
            </w:r>
            <w:r w:rsidR="00513159" w:rsidRPr="00E84E22">
              <w:t>Decrease</w:t>
            </w:r>
          </w:p>
        </w:tc>
        <w:tc>
          <w:tcPr>
            <w:tcW w:w="1560" w:type="dxa"/>
          </w:tcPr>
          <w:p w14:paraId="1ABC89AE" w14:textId="77777777" w:rsidR="00513159" w:rsidRPr="00E84E22" w:rsidRDefault="00513159" w:rsidP="00C6006F">
            <w:pPr>
              <w:pStyle w:val="TableTextLeft"/>
              <w:spacing w:before="20" w:after="20"/>
            </w:pPr>
            <w:r>
              <w:t>6%</w:t>
            </w:r>
          </w:p>
        </w:tc>
        <w:tc>
          <w:tcPr>
            <w:tcW w:w="1842" w:type="dxa"/>
          </w:tcPr>
          <w:p w14:paraId="4DFA9175" w14:textId="77777777" w:rsidR="00513159" w:rsidRPr="00E84E22" w:rsidRDefault="00513159" w:rsidP="00C6006F">
            <w:pPr>
              <w:pStyle w:val="TableTextLeft"/>
              <w:spacing w:before="20" w:after="20"/>
            </w:pPr>
            <w:r w:rsidRPr="00E84E22">
              <w:t>3.5%</w:t>
            </w:r>
          </w:p>
        </w:tc>
      </w:tr>
      <w:tr w:rsidR="00513159" w:rsidRPr="009927C1" w14:paraId="7546A6BC" w14:textId="77777777" w:rsidTr="00C6006F">
        <w:trPr>
          <w:trHeight w:val="52"/>
        </w:trPr>
        <w:tc>
          <w:tcPr>
            <w:tcW w:w="5660" w:type="dxa"/>
          </w:tcPr>
          <w:p w14:paraId="5C2B03A4" w14:textId="33B5BB60" w:rsidR="00513159" w:rsidRPr="00E84E22" w:rsidRDefault="00C6006F" w:rsidP="00C6006F">
            <w:pPr>
              <w:pStyle w:val="TableTextLeft"/>
              <w:spacing w:before="20" w:after="20"/>
            </w:pPr>
            <w:r w:rsidRPr="00C51975">
              <w:tab/>
            </w:r>
            <w:r w:rsidR="00513159" w:rsidRPr="00E84E22">
              <w:t>No change</w:t>
            </w:r>
          </w:p>
        </w:tc>
        <w:tc>
          <w:tcPr>
            <w:tcW w:w="1560" w:type="dxa"/>
          </w:tcPr>
          <w:p w14:paraId="793795A6" w14:textId="77777777" w:rsidR="00513159" w:rsidRPr="00E84E22" w:rsidRDefault="00513159" w:rsidP="00C6006F">
            <w:pPr>
              <w:pStyle w:val="TableTextLeft"/>
              <w:spacing w:before="20" w:after="20"/>
            </w:pPr>
            <w:r>
              <w:t>44%</w:t>
            </w:r>
          </w:p>
        </w:tc>
        <w:tc>
          <w:tcPr>
            <w:tcW w:w="1842" w:type="dxa"/>
          </w:tcPr>
          <w:p w14:paraId="6474F0CC" w14:textId="77777777" w:rsidR="00513159" w:rsidRPr="00E84E22" w:rsidRDefault="00513159" w:rsidP="00C6006F">
            <w:pPr>
              <w:pStyle w:val="TableTextLeft"/>
              <w:spacing w:before="20" w:after="20"/>
            </w:pPr>
            <w:r w:rsidRPr="00E84E22">
              <w:t>53.5%</w:t>
            </w:r>
          </w:p>
        </w:tc>
      </w:tr>
      <w:tr w:rsidR="003A68DE" w:rsidRPr="009927C1" w14:paraId="27D867BA" w14:textId="77777777" w:rsidTr="00C6006F">
        <w:trPr>
          <w:trHeight w:val="170"/>
        </w:trPr>
        <w:tc>
          <w:tcPr>
            <w:tcW w:w="5660" w:type="dxa"/>
          </w:tcPr>
          <w:p w14:paraId="5064286E" w14:textId="0AF958FB" w:rsidR="003A68DE" w:rsidRPr="00E84E22" w:rsidRDefault="009870DB" w:rsidP="00C6006F">
            <w:pPr>
              <w:pStyle w:val="TableTextLeft"/>
              <w:spacing w:before="20" w:after="20"/>
            </w:pPr>
            <w:r w:rsidRPr="009870DB">
              <w:t>What type of services does the evaluation unit or function provide? (please select all that apply)</w:t>
            </w:r>
            <w:r>
              <w:t xml:space="preserve"> (</w:t>
            </w:r>
            <w:r w:rsidR="00447372">
              <w:t>Q6.5) (for n=</w:t>
            </w:r>
            <w:r w:rsidR="009800A1">
              <w:t>27)</w:t>
            </w:r>
          </w:p>
        </w:tc>
        <w:tc>
          <w:tcPr>
            <w:tcW w:w="1560" w:type="dxa"/>
          </w:tcPr>
          <w:p w14:paraId="2D6FE778" w14:textId="77777777" w:rsidR="003A68DE" w:rsidRDefault="003A68DE" w:rsidP="00C6006F">
            <w:pPr>
              <w:pStyle w:val="TableTextLeft"/>
              <w:spacing w:before="20" w:after="20"/>
            </w:pPr>
          </w:p>
        </w:tc>
        <w:tc>
          <w:tcPr>
            <w:tcW w:w="1842" w:type="dxa"/>
          </w:tcPr>
          <w:p w14:paraId="390FA276" w14:textId="77777777" w:rsidR="003A68DE" w:rsidRPr="00E84E22" w:rsidRDefault="003A68DE" w:rsidP="00C6006F">
            <w:pPr>
              <w:pStyle w:val="TableTextLeft"/>
              <w:spacing w:before="20" w:after="20"/>
            </w:pPr>
          </w:p>
        </w:tc>
      </w:tr>
      <w:tr w:rsidR="003A68DE" w:rsidRPr="009927C1" w14:paraId="4935B64D" w14:textId="77777777" w:rsidTr="00C6006F">
        <w:trPr>
          <w:trHeight w:val="170"/>
        </w:trPr>
        <w:tc>
          <w:tcPr>
            <w:tcW w:w="5660" w:type="dxa"/>
          </w:tcPr>
          <w:p w14:paraId="172E4D58" w14:textId="3DB72A57" w:rsidR="003A68DE" w:rsidRPr="00E84E22" w:rsidRDefault="00C6006F" w:rsidP="00C6006F">
            <w:pPr>
              <w:pStyle w:val="TableTextLeft"/>
              <w:spacing w:before="20" w:after="20"/>
            </w:pPr>
            <w:r w:rsidRPr="00C51975">
              <w:tab/>
            </w:r>
            <w:r w:rsidR="00691546" w:rsidRPr="00691546">
              <w:t>Advisory and support</w:t>
            </w:r>
          </w:p>
        </w:tc>
        <w:tc>
          <w:tcPr>
            <w:tcW w:w="1560" w:type="dxa"/>
          </w:tcPr>
          <w:p w14:paraId="6659D446" w14:textId="77777777" w:rsidR="003A68DE" w:rsidRDefault="003A68DE" w:rsidP="00C6006F">
            <w:pPr>
              <w:pStyle w:val="TableTextLeft"/>
              <w:spacing w:before="20" w:after="20"/>
            </w:pPr>
          </w:p>
        </w:tc>
        <w:tc>
          <w:tcPr>
            <w:tcW w:w="1842" w:type="dxa"/>
          </w:tcPr>
          <w:p w14:paraId="1F31812F" w14:textId="67F7C253" w:rsidR="003A68DE" w:rsidRPr="00E84E22" w:rsidRDefault="00691546" w:rsidP="00C6006F">
            <w:pPr>
              <w:pStyle w:val="TableTextLeft"/>
              <w:spacing w:before="20" w:after="20"/>
            </w:pPr>
            <w:r>
              <w:t>89%</w:t>
            </w:r>
          </w:p>
        </w:tc>
      </w:tr>
      <w:tr w:rsidR="003A68DE" w:rsidRPr="009927C1" w14:paraId="040E3E68" w14:textId="77777777" w:rsidTr="00C6006F">
        <w:trPr>
          <w:trHeight w:val="170"/>
        </w:trPr>
        <w:tc>
          <w:tcPr>
            <w:tcW w:w="5660" w:type="dxa"/>
          </w:tcPr>
          <w:p w14:paraId="0C7A604B" w14:textId="0073E740" w:rsidR="003A68DE" w:rsidRPr="00E84E22" w:rsidRDefault="00C6006F" w:rsidP="00C6006F">
            <w:pPr>
              <w:pStyle w:val="TableTextLeft"/>
              <w:spacing w:before="20" w:after="20"/>
            </w:pPr>
            <w:r w:rsidRPr="00C51975">
              <w:tab/>
            </w:r>
            <w:r w:rsidR="00EB39D2" w:rsidRPr="00EB39D2">
              <w:t>Capability building</w:t>
            </w:r>
          </w:p>
        </w:tc>
        <w:tc>
          <w:tcPr>
            <w:tcW w:w="1560" w:type="dxa"/>
          </w:tcPr>
          <w:p w14:paraId="4DCCE5C7" w14:textId="77777777" w:rsidR="003A68DE" w:rsidRDefault="003A68DE" w:rsidP="00C6006F">
            <w:pPr>
              <w:pStyle w:val="TableTextLeft"/>
              <w:spacing w:before="20" w:after="20"/>
            </w:pPr>
          </w:p>
        </w:tc>
        <w:tc>
          <w:tcPr>
            <w:tcW w:w="1842" w:type="dxa"/>
          </w:tcPr>
          <w:p w14:paraId="4897D68A" w14:textId="1C07CF1B" w:rsidR="003A68DE" w:rsidRPr="00E84E22" w:rsidRDefault="00EB39D2" w:rsidP="00C6006F">
            <w:pPr>
              <w:pStyle w:val="TableTextLeft"/>
              <w:spacing w:before="20" w:after="20"/>
            </w:pPr>
            <w:r>
              <w:t>82%</w:t>
            </w:r>
          </w:p>
        </w:tc>
      </w:tr>
      <w:tr w:rsidR="003A68DE" w:rsidRPr="009927C1" w14:paraId="5277AF70" w14:textId="77777777" w:rsidTr="00C6006F">
        <w:trPr>
          <w:trHeight w:val="170"/>
        </w:trPr>
        <w:tc>
          <w:tcPr>
            <w:tcW w:w="5660" w:type="dxa"/>
          </w:tcPr>
          <w:p w14:paraId="6E22D07D" w14:textId="2DB1C73A" w:rsidR="003A68DE" w:rsidRPr="00E84E22" w:rsidRDefault="00C6006F" w:rsidP="00C6006F">
            <w:pPr>
              <w:pStyle w:val="TableTextLeft"/>
              <w:spacing w:before="20" w:after="20"/>
            </w:pPr>
            <w:r w:rsidRPr="00C51975">
              <w:tab/>
            </w:r>
            <w:r w:rsidR="0078680E" w:rsidRPr="0078680E">
              <w:t>Commissioning</w:t>
            </w:r>
          </w:p>
        </w:tc>
        <w:tc>
          <w:tcPr>
            <w:tcW w:w="1560" w:type="dxa"/>
          </w:tcPr>
          <w:p w14:paraId="48A53356" w14:textId="77777777" w:rsidR="003A68DE" w:rsidRDefault="003A68DE" w:rsidP="00C6006F">
            <w:pPr>
              <w:pStyle w:val="TableTextLeft"/>
              <w:spacing w:before="20" w:after="20"/>
            </w:pPr>
          </w:p>
        </w:tc>
        <w:tc>
          <w:tcPr>
            <w:tcW w:w="1842" w:type="dxa"/>
          </w:tcPr>
          <w:p w14:paraId="04AF41B0" w14:textId="6D1EE6F7" w:rsidR="003A68DE" w:rsidRPr="00E84E22" w:rsidRDefault="00091811" w:rsidP="00C6006F">
            <w:pPr>
              <w:pStyle w:val="TableTextLeft"/>
              <w:spacing w:before="20" w:after="20"/>
            </w:pPr>
            <w:r w:rsidRPr="00091811">
              <w:t>71</w:t>
            </w:r>
            <w:r>
              <w:t>%</w:t>
            </w:r>
          </w:p>
        </w:tc>
      </w:tr>
      <w:tr w:rsidR="0078680E" w:rsidRPr="009927C1" w14:paraId="68E719C4" w14:textId="77777777" w:rsidTr="00C6006F">
        <w:trPr>
          <w:trHeight w:val="170"/>
        </w:trPr>
        <w:tc>
          <w:tcPr>
            <w:tcW w:w="5660" w:type="dxa"/>
          </w:tcPr>
          <w:p w14:paraId="45D8EC8C" w14:textId="56314C09" w:rsidR="0078680E" w:rsidRPr="00E84E22" w:rsidRDefault="00C6006F" w:rsidP="00C6006F">
            <w:pPr>
              <w:pStyle w:val="TableTextLeft"/>
              <w:spacing w:before="20" w:after="20"/>
            </w:pPr>
            <w:r w:rsidRPr="00C51975">
              <w:tab/>
            </w:r>
            <w:r w:rsidR="00392260" w:rsidRPr="00392260">
              <w:t>Delivery</w:t>
            </w:r>
          </w:p>
        </w:tc>
        <w:tc>
          <w:tcPr>
            <w:tcW w:w="1560" w:type="dxa"/>
          </w:tcPr>
          <w:p w14:paraId="2DF78370" w14:textId="77777777" w:rsidR="0078680E" w:rsidRDefault="0078680E" w:rsidP="00C6006F">
            <w:pPr>
              <w:pStyle w:val="TableTextLeft"/>
              <w:spacing w:before="20" w:after="20"/>
            </w:pPr>
          </w:p>
        </w:tc>
        <w:tc>
          <w:tcPr>
            <w:tcW w:w="1842" w:type="dxa"/>
          </w:tcPr>
          <w:p w14:paraId="0B7A2B98" w14:textId="3B374009" w:rsidR="0078680E" w:rsidRPr="00E84E22" w:rsidRDefault="00580EBA" w:rsidP="00C6006F">
            <w:pPr>
              <w:pStyle w:val="TableTextLeft"/>
              <w:spacing w:before="20" w:after="20"/>
            </w:pPr>
            <w:r>
              <w:t>71%</w:t>
            </w:r>
          </w:p>
        </w:tc>
      </w:tr>
      <w:tr w:rsidR="0078680E" w:rsidRPr="009927C1" w14:paraId="026FF767" w14:textId="77777777" w:rsidTr="00C6006F">
        <w:trPr>
          <w:trHeight w:val="170"/>
        </w:trPr>
        <w:tc>
          <w:tcPr>
            <w:tcW w:w="5660" w:type="dxa"/>
          </w:tcPr>
          <w:p w14:paraId="430EBD35" w14:textId="4A5F5B23" w:rsidR="0078680E" w:rsidRPr="00E84E22" w:rsidRDefault="00C6006F" w:rsidP="00C6006F">
            <w:pPr>
              <w:pStyle w:val="TableTextLeft"/>
              <w:spacing w:before="20" w:after="20"/>
            </w:pPr>
            <w:r w:rsidRPr="00C51975">
              <w:tab/>
            </w:r>
            <w:r w:rsidR="00392260" w:rsidRPr="00392260">
              <w:t>Evidence synthesis and translation</w:t>
            </w:r>
          </w:p>
        </w:tc>
        <w:tc>
          <w:tcPr>
            <w:tcW w:w="1560" w:type="dxa"/>
          </w:tcPr>
          <w:p w14:paraId="277D669C" w14:textId="77777777" w:rsidR="0078680E" w:rsidRDefault="0078680E" w:rsidP="00C6006F">
            <w:pPr>
              <w:pStyle w:val="TableTextLeft"/>
              <w:spacing w:before="20" w:after="20"/>
            </w:pPr>
          </w:p>
        </w:tc>
        <w:tc>
          <w:tcPr>
            <w:tcW w:w="1842" w:type="dxa"/>
          </w:tcPr>
          <w:p w14:paraId="10D625AC" w14:textId="16B0E0C1" w:rsidR="0078680E" w:rsidRPr="00E84E22" w:rsidRDefault="000714B4" w:rsidP="00C6006F">
            <w:pPr>
              <w:pStyle w:val="TableTextLeft"/>
              <w:spacing w:before="20" w:after="20"/>
            </w:pPr>
            <w:r>
              <w:t>64%</w:t>
            </w:r>
          </w:p>
        </w:tc>
      </w:tr>
      <w:tr w:rsidR="00392260" w:rsidRPr="009927C1" w14:paraId="70AEDCD2" w14:textId="77777777" w:rsidTr="00C6006F">
        <w:trPr>
          <w:trHeight w:val="170"/>
        </w:trPr>
        <w:tc>
          <w:tcPr>
            <w:tcW w:w="5660" w:type="dxa"/>
          </w:tcPr>
          <w:p w14:paraId="08FC5339" w14:textId="7EE2C2C3" w:rsidR="00392260" w:rsidRPr="00392260" w:rsidRDefault="00C6006F" w:rsidP="00C6006F">
            <w:pPr>
              <w:pStyle w:val="TableTextLeft"/>
              <w:spacing w:before="20" w:after="20"/>
            </w:pPr>
            <w:r w:rsidRPr="00C51975">
              <w:tab/>
            </w:r>
            <w:r w:rsidR="00580EBA" w:rsidRPr="00580EBA">
              <w:t>Other</w:t>
            </w:r>
          </w:p>
        </w:tc>
        <w:tc>
          <w:tcPr>
            <w:tcW w:w="1560" w:type="dxa"/>
          </w:tcPr>
          <w:p w14:paraId="53116734" w14:textId="77777777" w:rsidR="00392260" w:rsidRDefault="00392260" w:rsidP="00C6006F">
            <w:pPr>
              <w:pStyle w:val="TableTextLeft"/>
              <w:spacing w:before="20" w:after="20"/>
            </w:pPr>
          </w:p>
        </w:tc>
        <w:tc>
          <w:tcPr>
            <w:tcW w:w="1842" w:type="dxa"/>
          </w:tcPr>
          <w:p w14:paraId="5DB12A41" w14:textId="0073F2AD" w:rsidR="00392260" w:rsidRPr="00E84E22" w:rsidRDefault="000714B4" w:rsidP="00C6006F">
            <w:pPr>
              <w:pStyle w:val="TableTextLeft"/>
              <w:spacing w:before="20" w:after="20"/>
            </w:pPr>
            <w:r>
              <w:t>32%</w:t>
            </w:r>
          </w:p>
        </w:tc>
      </w:tr>
      <w:tr w:rsidR="00513159" w:rsidRPr="009927C1" w14:paraId="1E9E5E01" w14:textId="77777777" w:rsidTr="00C6006F">
        <w:trPr>
          <w:trHeight w:val="170"/>
        </w:trPr>
        <w:tc>
          <w:tcPr>
            <w:tcW w:w="5660" w:type="dxa"/>
          </w:tcPr>
          <w:p w14:paraId="32777854" w14:textId="77777777" w:rsidR="00513159" w:rsidRPr="00E84E22" w:rsidRDefault="00513159" w:rsidP="00C6006F">
            <w:pPr>
              <w:pStyle w:val="TableTextLeft"/>
              <w:spacing w:before="20" w:after="20"/>
            </w:pPr>
            <w:r w:rsidRPr="00E84E22">
              <w:t>Are there plans to establish a dedicated evaluation unit or function within your agency? (Q. 6.7)</w:t>
            </w:r>
            <w:r>
              <w:t xml:space="preserve"> (n = 65)</w:t>
            </w:r>
          </w:p>
        </w:tc>
        <w:tc>
          <w:tcPr>
            <w:tcW w:w="1560" w:type="dxa"/>
          </w:tcPr>
          <w:p w14:paraId="2C4FF613" w14:textId="77777777" w:rsidR="00513159" w:rsidRPr="00E84E22" w:rsidRDefault="00513159" w:rsidP="00C6006F">
            <w:pPr>
              <w:pStyle w:val="TableTextLeft"/>
              <w:spacing w:before="20" w:after="20"/>
            </w:pPr>
          </w:p>
        </w:tc>
        <w:tc>
          <w:tcPr>
            <w:tcW w:w="1842" w:type="dxa"/>
          </w:tcPr>
          <w:p w14:paraId="129FFC4A" w14:textId="77777777" w:rsidR="00513159" w:rsidRPr="00E84E22" w:rsidRDefault="00513159" w:rsidP="00C6006F">
            <w:pPr>
              <w:pStyle w:val="TableTextLeft"/>
              <w:spacing w:before="20" w:after="20"/>
            </w:pPr>
          </w:p>
        </w:tc>
      </w:tr>
      <w:tr w:rsidR="00513159" w:rsidRPr="009927C1" w14:paraId="11EDA399" w14:textId="77777777" w:rsidTr="00C6006F">
        <w:trPr>
          <w:trHeight w:val="170"/>
        </w:trPr>
        <w:tc>
          <w:tcPr>
            <w:tcW w:w="5660" w:type="dxa"/>
          </w:tcPr>
          <w:p w14:paraId="3C890BE7" w14:textId="34FDA040" w:rsidR="00513159" w:rsidRPr="00E84E22" w:rsidRDefault="00C6006F" w:rsidP="00C6006F">
            <w:pPr>
              <w:pStyle w:val="TableTextLeft"/>
              <w:spacing w:before="20" w:after="20"/>
            </w:pPr>
            <w:r w:rsidRPr="00C51975">
              <w:tab/>
            </w:r>
            <w:r w:rsidR="00513159" w:rsidRPr="00E84E22">
              <w:t>We have a unit or function which performs a similar role as an</w:t>
            </w:r>
            <w:r>
              <w:br/>
            </w:r>
            <w:r w:rsidRPr="00C51975">
              <w:tab/>
            </w:r>
            <w:r w:rsidR="00513159" w:rsidRPr="00E84E22">
              <w:t xml:space="preserve">evaluation unit  </w:t>
            </w:r>
          </w:p>
        </w:tc>
        <w:tc>
          <w:tcPr>
            <w:tcW w:w="1560" w:type="dxa"/>
          </w:tcPr>
          <w:p w14:paraId="709A77F4" w14:textId="77777777" w:rsidR="00513159" w:rsidRPr="00E84E22" w:rsidRDefault="00513159" w:rsidP="00C6006F">
            <w:pPr>
              <w:pStyle w:val="TableTextLeft"/>
              <w:spacing w:before="20" w:after="20"/>
            </w:pPr>
            <w:r>
              <w:t>19%</w:t>
            </w:r>
          </w:p>
        </w:tc>
        <w:tc>
          <w:tcPr>
            <w:tcW w:w="1842" w:type="dxa"/>
          </w:tcPr>
          <w:p w14:paraId="70F8C014" w14:textId="77777777" w:rsidR="00513159" w:rsidRPr="00E84E22" w:rsidRDefault="00513159" w:rsidP="00C6006F">
            <w:pPr>
              <w:pStyle w:val="TableTextLeft"/>
              <w:spacing w:before="20" w:after="20"/>
            </w:pPr>
            <w:r w:rsidRPr="00E84E22">
              <w:t>11%</w:t>
            </w:r>
          </w:p>
        </w:tc>
      </w:tr>
      <w:tr w:rsidR="00513159" w:rsidRPr="009927C1" w14:paraId="380A429B" w14:textId="77777777" w:rsidTr="00C6006F">
        <w:trPr>
          <w:trHeight w:val="170"/>
        </w:trPr>
        <w:tc>
          <w:tcPr>
            <w:tcW w:w="5660" w:type="dxa"/>
          </w:tcPr>
          <w:p w14:paraId="64A9E073" w14:textId="052D5751" w:rsidR="00513159" w:rsidRPr="00E84E22" w:rsidRDefault="00C6006F" w:rsidP="00C6006F">
            <w:pPr>
              <w:pStyle w:val="TableTextLeft"/>
              <w:spacing w:before="20" w:after="20"/>
            </w:pPr>
            <w:r w:rsidRPr="00C51975">
              <w:tab/>
            </w:r>
            <w:r w:rsidR="00513159" w:rsidRPr="00E84E22">
              <w:t>No plans exist</w:t>
            </w:r>
          </w:p>
        </w:tc>
        <w:tc>
          <w:tcPr>
            <w:tcW w:w="1560" w:type="dxa"/>
          </w:tcPr>
          <w:p w14:paraId="64147AA2" w14:textId="77777777" w:rsidR="00513159" w:rsidRPr="00E84E22" w:rsidRDefault="00513159" w:rsidP="00C6006F">
            <w:pPr>
              <w:pStyle w:val="TableTextLeft"/>
              <w:spacing w:before="20" w:after="20"/>
            </w:pPr>
            <w:r>
              <w:t>50%</w:t>
            </w:r>
          </w:p>
        </w:tc>
        <w:tc>
          <w:tcPr>
            <w:tcW w:w="1842" w:type="dxa"/>
          </w:tcPr>
          <w:p w14:paraId="00B19769" w14:textId="77777777" w:rsidR="00513159" w:rsidRPr="00E84E22" w:rsidRDefault="00513159" w:rsidP="00C6006F">
            <w:pPr>
              <w:pStyle w:val="TableTextLeft"/>
              <w:spacing w:before="20" w:after="20"/>
            </w:pPr>
            <w:r w:rsidRPr="00E84E22">
              <w:t>78%</w:t>
            </w:r>
          </w:p>
        </w:tc>
      </w:tr>
      <w:tr w:rsidR="00513159" w:rsidRPr="009927C1" w14:paraId="32FF582B" w14:textId="77777777" w:rsidTr="00C6006F">
        <w:trPr>
          <w:trHeight w:val="170"/>
        </w:trPr>
        <w:tc>
          <w:tcPr>
            <w:tcW w:w="5660" w:type="dxa"/>
          </w:tcPr>
          <w:p w14:paraId="7CA9F545" w14:textId="462ECA43" w:rsidR="00513159" w:rsidRPr="00E84E22" w:rsidRDefault="00C6006F" w:rsidP="00C6006F">
            <w:pPr>
              <w:pStyle w:val="TableTextLeft"/>
              <w:spacing w:before="20" w:after="20"/>
            </w:pPr>
            <w:r w:rsidRPr="00C51975">
              <w:tab/>
            </w:r>
            <w:r w:rsidR="00513159" w:rsidRPr="00E84E22">
              <w:t>Planned</w:t>
            </w:r>
          </w:p>
        </w:tc>
        <w:tc>
          <w:tcPr>
            <w:tcW w:w="1560" w:type="dxa"/>
          </w:tcPr>
          <w:p w14:paraId="1F334FE1" w14:textId="77777777" w:rsidR="00513159" w:rsidRPr="00E84E22" w:rsidRDefault="00513159" w:rsidP="00C6006F">
            <w:pPr>
              <w:pStyle w:val="TableTextLeft"/>
              <w:spacing w:before="20" w:after="20"/>
            </w:pPr>
            <w:r>
              <w:t>31%</w:t>
            </w:r>
          </w:p>
        </w:tc>
        <w:tc>
          <w:tcPr>
            <w:tcW w:w="1842" w:type="dxa"/>
          </w:tcPr>
          <w:p w14:paraId="0E8C2F4D" w14:textId="77777777" w:rsidR="00513159" w:rsidRPr="00E84E22" w:rsidRDefault="00513159" w:rsidP="00C6006F">
            <w:pPr>
              <w:pStyle w:val="TableTextLeft"/>
              <w:spacing w:before="20" w:after="20"/>
            </w:pPr>
            <w:r w:rsidRPr="00E84E22">
              <w:t>11%</w:t>
            </w:r>
          </w:p>
        </w:tc>
      </w:tr>
      <w:tr w:rsidR="00513159" w:rsidRPr="009927C1" w14:paraId="36B9E898" w14:textId="77777777" w:rsidTr="00C6006F">
        <w:trPr>
          <w:trHeight w:val="170"/>
        </w:trPr>
        <w:tc>
          <w:tcPr>
            <w:tcW w:w="5660" w:type="dxa"/>
          </w:tcPr>
          <w:p w14:paraId="08E63022" w14:textId="77777777" w:rsidR="00513159" w:rsidRPr="00E84E22" w:rsidRDefault="00513159" w:rsidP="00C6006F">
            <w:pPr>
              <w:pStyle w:val="TableTextLeft"/>
              <w:spacing w:before="20" w:after="20"/>
            </w:pPr>
            <w:r w:rsidRPr="00E84E22">
              <w:t xml:space="preserve">How many dedicated </w:t>
            </w:r>
            <w:proofErr w:type="gramStart"/>
            <w:r w:rsidRPr="00E84E22">
              <w:t>evaluation</w:t>
            </w:r>
            <w:proofErr w:type="gramEnd"/>
            <w:r w:rsidRPr="00E84E22">
              <w:t xml:space="preserve"> staff (ASL) work in your agency (outside of a dedicated evaluation unit or function)? (Q. 8</w:t>
            </w:r>
            <w:r>
              <w:t>, average</w:t>
            </w:r>
            <w:r w:rsidRPr="00E84E22">
              <w:t>)</w:t>
            </w:r>
          </w:p>
        </w:tc>
        <w:tc>
          <w:tcPr>
            <w:tcW w:w="1560" w:type="dxa"/>
          </w:tcPr>
          <w:p w14:paraId="01D138E9" w14:textId="77777777" w:rsidR="00513159" w:rsidRPr="00E84E22" w:rsidRDefault="00513159" w:rsidP="00C6006F">
            <w:pPr>
              <w:pStyle w:val="TableTextLeft"/>
              <w:spacing w:before="20" w:after="20"/>
            </w:pPr>
            <w:r>
              <w:t>8.3 ASL</w:t>
            </w:r>
          </w:p>
        </w:tc>
        <w:tc>
          <w:tcPr>
            <w:tcW w:w="1842" w:type="dxa"/>
          </w:tcPr>
          <w:p w14:paraId="5280EABB" w14:textId="77777777" w:rsidR="00513159" w:rsidRPr="00E84E22" w:rsidRDefault="00513159" w:rsidP="00C6006F">
            <w:pPr>
              <w:pStyle w:val="TableTextLeft"/>
              <w:spacing w:before="20" w:after="20"/>
            </w:pPr>
            <w:r w:rsidRPr="00E84E22">
              <w:t>6.4 ASL</w:t>
            </w:r>
          </w:p>
        </w:tc>
      </w:tr>
      <w:tr w:rsidR="00513159" w:rsidRPr="009927C1" w14:paraId="135D082D" w14:textId="77777777" w:rsidTr="00C6006F">
        <w:trPr>
          <w:trHeight w:val="170"/>
        </w:trPr>
        <w:tc>
          <w:tcPr>
            <w:tcW w:w="5660" w:type="dxa"/>
          </w:tcPr>
          <w:p w14:paraId="151CE5D7" w14:textId="68FEB7AB" w:rsidR="00513159" w:rsidRPr="00E84E22" w:rsidRDefault="00513159" w:rsidP="00C6006F">
            <w:pPr>
              <w:pStyle w:val="TableTextLeft"/>
              <w:spacing w:before="20" w:after="20"/>
            </w:pPr>
            <w:r w:rsidRPr="00E84E22">
              <w:t>Is evaluation considered in the context of enterprise</w:t>
            </w:r>
            <w:r w:rsidR="00AD4DCC">
              <w:noBreakHyphen/>
            </w:r>
            <w:r w:rsidRPr="00E84E22">
              <w:t>level business planning processes, such as</w:t>
            </w:r>
            <w:r>
              <w:t xml:space="preserve"> (please select all that apply)</w:t>
            </w:r>
            <w:r w:rsidRPr="00E84E22">
              <w:t>: (Q. 9) *</w:t>
            </w:r>
          </w:p>
        </w:tc>
        <w:tc>
          <w:tcPr>
            <w:tcW w:w="1560" w:type="dxa"/>
          </w:tcPr>
          <w:p w14:paraId="10AA1BAF" w14:textId="77777777" w:rsidR="00513159" w:rsidRPr="00E84E22" w:rsidRDefault="00513159" w:rsidP="00C6006F">
            <w:pPr>
              <w:pStyle w:val="TableTextLeft"/>
              <w:spacing w:before="20" w:after="20"/>
            </w:pPr>
          </w:p>
        </w:tc>
        <w:tc>
          <w:tcPr>
            <w:tcW w:w="1842" w:type="dxa"/>
          </w:tcPr>
          <w:p w14:paraId="68F4D35A" w14:textId="77777777" w:rsidR="00513159" w:rsidRPr="00E84E22" w:rsidRDefault="00513159" w:rsidP="00C6006F">
            <w:pPr>
              <w:pStyle w:val="TableTextLeft"/>
              <w:spacing w:before="20" w:after="20"/>
            </w:pPr>
          </w:p>
        </w:tc>
      </w:tr>
      <w:tr w:rsidR="00513159" w:rsidRPr="009927C1" w14:paraId="541BC0D0" w14:textId="77777777" w:rsidTr="00C6006F">
        <w:tc>
          <w:tcPr>
            <w:tcW w:w="5660" w:type="dxa"/>
          </w:tcPr>
          <w:p w14:paraId="730F7013" w14:textId="68F808C6" w:rsidR="00513159" w:rsidRPr="00E84E22" w:rsidRDefault="00C6006F" w:rsidP="00C6006F">
            <w:pPr>
              <w:pStyle w:val="TableTextLeft"/>
              <w:spacing w:before="20" w:after="20"/>
            </w:pPr>
            <w:r w:rsidRPr="00C51975">
              <w:tab/>
            </w:r>
            <w:r w:rsidR="00513159" w:rsidRPr="00E84E22">
              <w:t>Corporate performance reporting</w:t>
            </w:r>
          </w:p>
        </w:tc>
        <w:tc>
          <w:tcPr>
            <w:tcW w:w="1560" w:type="dxa"/>
          </w:tcPr>
          <w:p w14:paraId="324B7EEA" w14:textId="77777777" w:rsidR="00513159" w:rsidRPr="00E84E22" w:rsidRDefault="00513159" w:rsidP="00C6006F">
            <w:pPr>
              <w:pStyle w:val="TableTextLeft"/>
              <w:spacing w:before="20" w:after="20"/>
            </w:pPr>
            <w:r>
              <w:t>88%</w:t>
            </w:r>
          </w:p>
        </w:tc>
        <w:tc>
          <w:tcPr>
            <w:tcW w:w="1842" w:type="dxa"/>
          </w:tcPr>
          <w:p w14:paraId="1550B426" w14:textId="77777777" w:rsidR="00513159" w:rsidRPr="00E84E22" w:rsidRDefault="00513159" w:rsidP="00C6006F">
            <w:pPr>
              <w:pStyle w:val="TableTextLeft"/>
              <w:spacing w:before="20" w:after="20"/>
            </w:pPr>
            <w:r w:rsidRPr="00E84E22">
              <w:t>76%</w:t>
            </w:r>
          </w:p>
        </w:tc>
      </w:tr>
      <w:tr w:rsidR="00513159" w:rsidRPr="009927C1" w14:paraId="190089C9" w14:textId="77777777" w:rsidTr="00C6006F">
        <w:tc>
          <w:tcPr>
            <w:tcW w:w="5660" w:type="dxa"/>
          </w:tcPr>
          <w:p w14:paraId="47C0CF71" w14:textId="78BBE0A7" w:rsidR="00513159" w:rsidRPr="00E84E22" w:rsidRDefault="00C6006F" w:rsidP="00C6006F">
            <w:pPr>
              <w:pStyle w:val="TableTextLeft"/>
              <w:spacing w:before="20" w:after="20"/>
            </w:pPr>
            <w:r w:rsidRPr="00C51975">
              <w:tab/>
            </w:r>
            <w:r w:rsidR="00513159" w:rsidRPr="00E84E22">
              <w:t>Program management</w:t>
            </w:r>
          </w:p>
        </w:tc>
        <w:tc>
          <w:tcPr>
            <w:tcW w:w="1560" w:type="dxa"/>
          </w:tcPr>
          <w:p w14:paraId="4AE300C3" w14:textId="77777777" w:rsidR="00513159" w:rsidRPr="00E84E22" w:rsidRDefault="00513159" w:rsidP="00C6006F">
            <w:pPr>
              <w:pStyle w:val="TableTextLeft"/>
              <w:spacing w:before="20" w:after="20"/>
            </w:pPr>
            <w:r>
              <w:t>78%</w:t>
            </w:r>
          </w:p>
        </w:tc>
        <w:tc>
          <w:tcPr>
            <w:tcW w:w="1842" w:type="dxa"/>
          </w:tcPr>
          <w:p w14:paraId="01A10319" w14:textId="77777777" w:rsidR="00513159" w:rsidRPr="00E84E22" w:rsidRDefault="00513159" w:rsidP="00C6006F">
            <w:pPr>
              <w:pStyle w:val="TableTextLeft"/>
              <w:spacing w:before="20" w:after="20"/>
            </w:pPr>
            <w:r w:rsidRPr="00E84E22">
              <w:t>64%</w:t>
            </w:r>
          </w:p>
        </w:tc>
      </w:tr>
      <w:tr w:rsidR="00513159" w:rsidRPr="009927C1" w14:paraId="5596B9D5" w14:textId="77777777" w:rsidTr="00C6006F">
        <w:tc>
          <w:tcPr>
            <w:tcW w:w="5660" w:type="dxa"/>
          </w:tcPr>
          <w:p w14:paraId="44B2A43C" w14:textId="3F881B58" w:rsidR="00513159" w:rsidRPr="00E84E22" w:rsidRDefault="00C6006F" w:rsidP="00C6006F">
            <w:pPr>
              <w:pStyle w:val="TableTextLeft"/>
              <w:spacing w:before="20" w:after="20"/>
            </w:pPr>
            <w:r w:rsidRPr="00C51975">
              <w:tab/>
            </w:r>
            <w:r w:rsidR="00513159" w:rsidRPr="00E84E22">
              <w:t>Enterprise</w:t>
            </w:r>
            <w:r w:rsidR="00AD4DCC">
              <w:noBreakHyphen/>
            </w:r>
            <w:r w:rsidR="00513159" w:rsidRPr="00E84E22">
              <w:t>level risk management</w:t>
            </w:r>
          </w:p>
        </w:tc>
        <w:tc>
          <w:tcPr>
            <w:tcW w:w="1560" w:type="dxa"/>
          </w:tcPr>
          <w:p w14:paraId="14536A54" w14:textId="77777777" w:rsidR="00513159" w:rsidRPr="00E84E22" w:rsidRDefault="00513159" w:rsidP="00C6006F">
            <w:pPr>
              <w:pStyle w:val="TableTextLeft"/>
              <w:spacing w:before="20" w:after="20"/>
            </w:pPr>
            <w:r>
              <w:t>63%</w:t>
            </w:r>
          </w:p>
        </w:tc>
        <w:tc>
          <w:tcPr>
            <w:tcW w:w="1842" w:type="dxa"/>
          </w:tcPr>
          <w:p w14:paraId="5F22D01C" w14:textId="77777777" w:rsidR="00513159" w:rsidRPr="00E84E22" w:rsidRDefault="00513159" w:rsidP="00C6006F">
            <w:pPr>
              <w:pStyle w:val="TableTextLeft"/>
              <w:spacing w:before="20" w:after="20"/>
            </w:pPr>
            <w:r w:rsidRPr="00E84E22">
              <w:t>48%</w:t>
            </w:r>
          </w:p>
        </w:tc>
      </w:tr>
      <w:tr w:rsidR="00513159" w:rsidRPr="009927C1" w14:paraId="30FDB702" w14:textId="77777777" w:rsidTr="00C6006F">
        <w:tc>
          <w:tcPr>
            <w:tcW w:w="5660" w:type="dxa"/>
          </w:tcPr>
          <w:p w14:paraId="1263FD4B" w14:textId="3F260806" w:rsidR="00513159" w:rsidRPr="00E84E22" w:rsidRDefault="00C6006F" w:rsidP="00C6006F">
            <w:pPr>
              <w:pStyle w:val="TableTextLeft"/>
              <w:spacing w:before="20" w:after="20"/>
            </w:pPr>
            <w:r w:rsidRPr="00C51975">
              <w:tab/>
            </w:r>
            <w:r w:rsidR="00513159" w:rsidRPr="00E84E22">
              <w:t>Budget prioritisation processes</w:t>
            </w:r>
          </w:p>
        </w:tc>
        <w:tc>
          <w:tcPr>
            <w:tcW w:w="1560" w:type="dxa"/>
          </w:tcPr>
          <w:p w14:paraId="20F8E2B7" w14:textId="77777777" w:rsidR="00513159" w:rsidRPr="00E84E22" w:rsidRDefault="00513159" w:rsidP="00C6006F">
            <w:pPr>
              <w:pStyle w:val="TableTextLeft"/>
              <w:spacing w:before="20" w:after="20"/>
            </w:pPr>
            <w:r>
              <w:t>72%</w:t>
            </w:r>
          </w:p>
        </w:tc>
        <w:tc>
          <w:tcPr>
            <w:tcW w:w="1842" w:type="dxa"/>
          </w:tcPr>
          <w:p w14:paraId="071E505D" w14:textId="77777777" w:rsidR="00513159" w:rsidRPr="00E84E22" w:rsidRDefault="00513159" w:rsidP="00C6006F">
            <w:pPr>
              <w:pStyle w:val="TableTextLeft"/>
              <w:spacing w:before="20" w:after="20"/>
            </w:pPr>
            <w:r w:rsidRPr="00E84E22">
              <w:t>47%</w:t>
            </w:r>
          </w:p>
        </w:tc>
      </w:tr>
      <w:tr w:rsidR="00513159" w14:paraId="4FDDADD9" w14:textId="77777777" w:rsidTr="00C6006F">
        <w:tc>
          <w:tcPr>
            <w:tcW w:w="5660" w:type="dxa"/>
          </w:tcPr>
          <w:p w14:paraId="10629C8C" w14:textId="5669BF65" w:rsidR="00513159" w:rsidRPr="00E84E22" w:rsidRDefault="00C6006F" w:rsidP="00C6006F">
            <w:pPr>
              <w:pStyle w:val="TableTextLeft"/>
              <w:spacing w:before="20" w:after="20"/>
            </w:pPr>
            <w:r w:rsidRPr="00C51975">
              <w:tab/>
            </w:r>
            <w:r w:rsidR="00513159" w:rsidRPr="00E84E22">
              <w:t>Internal audit</w:t>
            </w:r>
          </w:p>
        </w:tc>
        <w:tc>
          <w:tcPr>
            <w:tcW w:w="1560" w:type="dxa"/>
          </w:tcPr>
          <w:p w14:paraId="321C7203" w14:textId="77777777" w:rsidR="00513159" w:rsidRPr="00E84E22" w:rsidRDefault="00513159" w:rsidP="00C6006F">
            <w:pPr>
              <w:pStyle w:val="TableTextLeft"/>
              <w:spacing w:before="20" w:after="20"/>
            </w:pPr>
            <w:r>
              <w:t>63%</w:t>
            </w:r>
          </w:p>
        </w:tc>
        <w:tc>
          <w:tcPr>
            <w:tcW w:w="1842" w:type="dxa"/>
          </w:tcPr>
          <w:p w14:paraId="084EBE0D" w14:textId="77777777" w:rsidR="00513159" w:rsidRPr="00E84E22" w:rsidRDefault="00513159" w:rsidP="00C6006F">
            <w:pPr>
              <w:pStyle w:val="TableTextLeft"/>
              <w:spacing w:before="20" w:after="20"/>
            </w:pPr>
            <w:r w:rsidRPr="00E84E22">
              <w:t>45%</w:t>
            </w:r>
          </w:p>
        </w:tc>
      </w:tr>
    </w:tbl>
    <w:p w14:paraId="489E7827" w14:textId="51D60540" w:rsidR="00D42EFB" w:rsidRDefault="0041177D" w:rsidP="009C5393">
      <w:pPr>
        <w:pStyle w:val="ChartMainHeading"/>
        <w:widowControl w:val="0"/>
        <w:jc w:val="left"/>
      </w:pPr>
      <w:r w:rsidRPr="00297621">
        <w:lastRenderedPageBreak/>
        <w:t xml:space="preserve">Table </w:t>
      </w:r>
      <w:r w:rsidR="009C5393">
        <w:t>3</w:t>
      </w:r>
      <w:r w:rsidRPr="00213DBC">
        <w:t>: Survey results table</w:t>
      </w:r>
      <w:r>
        <w:t xml:space="preserve"> (continued)</w:t>
      </w:r>
    </w:p>
    <w:tbl>
      <w:tblPr>
        <w:tblStyle w:val="TableGrid"/>
        <w:tblW w:w="9062" w:type="dxa"/>
        <w:tblBorders>
          <w:top w:val="single" w:sz="8" w:space="0" w:color="213657"/>
          <w:left w:val="single" w:sz="8" w:space="0" w:color="213657"/>
          <w:bottom w:val="single" w:sz="8" w:space="0" w:color="213657"/>
          <w:right w:val="single" w:sz="8" w:space="0" w:color="213657"/>
          <w:insideH w:val="single" w:sz="8" w:space="0" w:color="213657"/>
          <w:insideV w:val="single" w:sz="8" w:space="0" w:color="213657"/>
        </w:tblBorders>
        <w:tblLook w:val="04A0" w:firstRow="1" w:lastRow="0" w:firstColumn="1" w:lastColumn="0" w:noHBand="0" w:noVBand="1"/>
      </w:tblPr>
      <w:tblGrid>
        <w:gridCol w:w="5660"/>
        <w:gridCol w:w="1560"/>
        <w:gridCol w:w="1842"/>
      </w:tblGrid>
      <w:tr w:rsidR="004E3B10" w:rsidRPr="00CB544B" w14:paraId="79472A68" w14:textId="77777777">
        <w:trPr>
          <w:cnfStyle w:val="100000000000" w:firstRow="1" w:lastRow="0" w:firstColumn="0" w:lastColumn="0" w:oddVBand="0" w:evenVBand="0" w:oddHBand="0" w:evenHBand="0" w:firstRowFirstColumn="0" w:firstRowLastColumn="0" w:lastRowFirstColumn="0" w:lastRowLastColumn="0"/>
          <w:tblHeader/>
        </w:trPr>
        <w:tc>
          <w:tcPr>
            <w:tcW w:w="5660" w:type="dxa"/>
            <w:shd w:val="clear" w:color="auto" w:fill="213657"/>
          </w:tcPr>
          <w:p w14:paraId="7A2DC852" w14:textId="77777777" w:rsidR="004E3B10" w:rsidRPr="00C6006F" w:rsidRDefault="004E3B10">
            <w:pPr>
              <w:pStyle w:val="TableColumnHeadingLeft"/>
              <w:rPr>
                <w:b/>
                <w:bCs/>
                <w:color w:val="FFFFFF" w:themeColor="background1"/>
              </w:rPr>
            </w:pPr>
            <w:r w:rsidRPr="00C6006F">
              <w:rPr>
                <w:b/>
                <w:bCs/>
                <w:color w:val="FFFFFF" w:themeColor="background1"/>
              </w:rPr>
              <w:t>Survey question</w:t>
            </w:r>
          </w:p>
        </w:tc>
        <w:tc>
          <w:tcPr>
            <w:tcW w:w="1560" w:type="dxa"/>
            <w:shd w:val="clear" w:color="auto" w:fill="213657"/>
          </w:tcPr>
          <w:p w14:paraId="496AEDDF" w14:textId="77777777" w:rsidR="004E3B10" w:rsidRPr="00C6006F" w:rsidRDefault="004E3B10">
            <w:pPr>
              <w:pStyle w:val="TableColumnHeadingLeft"/>
              <w:rPr>
                <w:b/>
                <w:bCs/>
                <w:color w:val="FFFFFF" w:themeColor="background1"/>
              </w:rPr>
            </w:pPr>
            <w:r w:rsidRPr="00C6006F">
              <w:rPr>
                <w:b/>
                <w:bCs/>
                <w:color w:val="FFFFFF" w:themeColor="background1"/>
              </w:rPr>
              <w:t xml:space="preserve">Large entities </w:t>
            </w:r>
            <w:r>
              <w:rPr>
                <w:b/>
                <w:bCs/>
                <w:color w:val="FFFFFF" w:themeColor="background1"/>
              </w:rPr>
              <w:br/>
            </w:r>
            <w:r w:rsidRPr="00C6006F">
              <w:rPr>
                <w:b/>
                <w:bCs/>
                <w:color w:val="FFFFFF" w:themeColor="background1"/>
              </w:rPr>
              <w:t>(n = 34, if not specified otherwise)</w:t>
            </w:r>
          </w:p>
        </w:tc>
        <w:tc>
          <w:tcPr>
            <w:tcW w:w="1842" w:type="dxa"/>
            <w:shd w:val="clear" w:color="auto" w:fill="213657"/>
          </w:tcPr>
          <w:p w14:paraId="2634560F" w14:textId="77777777" w:rsidR="004E3B10" w:rsidRPr="00C6006F" w:rsidRDefault="004E3B10">
            <w:pPr>
              <w:pStyle w:val="TableColumnHeadingLeft"/>
              <w:rPr>
                <w:b/>
                <w:bCs/>
                <w:color w:val="FFFFFF" w:themeColor="background1"/>
              </w:rPr>
            </w:pPr>
            <w:r w:rsidRPr="00C6006F">
              <w:rPr>
                <w:b/>
                <w:bCs/>
                <w:color w:val="FFFFFF" w:themeColor="background1"/>
              </w:rPr>
              <w:t xml:space="preserve">Overall Proportion </w:t>
            </w:r>
          </w:p>
          <w:p w14:paraId="40D65351" w14:textId="77777777" w:rsidR="004E3B10" w:rsidRPr="00C6006F" w:rsidRDefault="004E3B10">
            <w:pPr>
              <w:pStyle w:val="TableColumnHeadingLeft"/>
              <w:rPr>
                <w:b/>
                <w:bCs/>
                <w:color w:val="FFFFFF" w:themeColor="background1"/>
              </w:rPr>
            </w:pPr>
            <w:r w:rsidRPr="00C6006F">
              <w:rPr>
                <w:b/>
                <w:bCs/>
                <w:color w:val="FFFFFF" w:themeColor="background1"/>
              </w:rPr>
              <w:t>(n = 92, if not specified otherwise)</w:t>
            </w:r>
          </w:p>
        </w:tc>
      </w:tr>
      <w:tr w:rsidR="00513159" w14:paraId="7E48EB73" w14:textId="77777777" w:rsidTr="00C6006F">
        <w:tc>
          <w:tcPr>
            <w:tcW w:w="5660" w:type="dxa"/>
          </w:tcPr>
          <w:p w14:paraId="06632F5C" w14:textId="77777777" w:rsidR="00513159" w:rsidRPr="00C6006F" w:rsidRDefault="00513159" w:rsidP="00C6006F">
            <w:pPr>
              <w:pStyle w:val="TableTextLeft"/>
              <w:spacing w:before="20" w:after="20"/>
              <w:rPr>
                <w:rStyle w:val="Strong"/>
              </w:rPr>
            </w:pPr>
            <w:r w:rsidRPr="00C6006F">
              <w:rPr>
                <w:rStyle w:val="Strong"/>
              </w:rPr>
              <w:t xml:space="preserve">Prioritisation and evaluation planning </w:t>
            </w:r>
          </w:p>
        </w:tc>
        <w:tc>
          <w:tcPr>
            <w:tcW w:w="1560" w:type="dxa"/>
          </w:tcPr>
          <w:p w14:paraId="261C8183" w14:textId="77777777" w:rsidR="00513159" w:rsidRPr="00C6006F" w:rsidRDefault="00513159" w:rsidP="00C6006F">
            <w:pPr>
              <w:pStyle w:val="TableTextLeft"/>
              <w:spacing w:before="20" w:after="20"/>
              <w:rPr>
                <w:rStyle w:val="Strong"/>
              </w:rPr>
            </w:pPr>
          </w:p>
        </w:tc>
        <w:tc>
          <w:tcPr>
            <w:tcW w:w="1842" w:type="dxa"/>
          </w:tcPr>
          <w:p w14:paraId="2EA1550F" w14:textId="77777777" w:rsidR="00513159" w:rsidRPr="00C6006F" w:rsidRDefault="00513159" w:rsidP="00C6006F">
            <w:pPr>
              <w:pStyle w:val="TableTextLeft"/>
              <w:spacing w:before="20" w:after="20"/>
              <w:rPr>
                <w:rStyle w:val="Strong"/>
              </w:rPr>
            </w:pPr>
          </w:p>
        </w:tc>
      </w:tr>
      <w:tr w:rsidR="00513159" w14:paraId="5475D80D" w14:textId="77777777" w:rsidTr="00C6006F">
        <w:tc>
          <w:tcPr>
            <w:tcW w:w="5660" w:type="dxa"/>
          </w:tcPr>
          <w:p w14:paraId="4E7D9429" w14:textId="1A51CCBD" w:rsidR="00513159" w:rsidRPr="00310361" w:rsidRDefault="00513159" w:rsidP="00C6006F">
            <w:pPr>
              <w:pStyle w:val="TableTextLeft"/>
              <w:spacing w:before="20" w:after="20"/>
            </w:pPr>
            <w:r w:rsidRPr="00310361">
              <w:t>Does your agency have an enterprise</w:t>
            </w:r>
            <w:r w:rsidR="00AD4DCC">
              <w:noBreakHyphen/>
            </w:r>
            <w:r w:rsidRPr="00310361">
              <w:t xml:space="preserve">level evaluation strategy or framework?  (Q. 10) </w:t>
            </w:r>
          </w:p>
        </w:tc>
        <w:tc>
          <w:tcPr>
            <w:tcW w:w="1560" w:type="dxa"/>
          </w:tcPr>
          <w:p w14:paraId="42A9CCA0" w14:textId="77777777" w:rsidR="00513159" w:rsidRPr="00310361" w:rsidRDefault="00513159" w:rsidP="00C6006F">
            <w:pPr>
              <w:pStyle w:val="TableTextLeft"/>
              <w:spacing w:before="20" w:after="20"/>
            </w:pPr>
          </w:p>
        </w:tc>
        <w:tc>
          <w:tcPr>
            <w:tcW w:w="1842" w:type="dxa"/>
          </w:tcPr>
          <w:p w14:paraId="071BE6E7" w14:textId="77777777" w:rsidR="00513159" w:rsidRPr="00310361" w:rsidRDefault="00513159" w:rsidP="00C6006F">
            <w:pPr>
              <w:pStyle w:val="TableTextLeft"/>
              <w:spacing w:before="20" w:after="20"/>
            </w:pPr>
          </w:p>
        </w:tc>
      </w:tr>
      <w:tr w:rsidR="00513159" w14:paraId="0EFEE0FF" w14:textId="77777777" w:rsidTr="00C6006F">
        <w:tc>
          <w:tcPr>
            <w:tcW w:w="5660" w:type="dxa"/>
          </w:tcPr>
          <w:p w14:paraId="47EE4409" w14:textId="47E27837" w:rsidR="00513159" w:rsidRPr="00310361" w:rsidRDefault="00C6006F" w:rsidP="00C6006F">
            <w:pPr>
              <w:pStyle w:val="TableTextLeft"/>
              <w:spacing w:before="20" w:after="20"/>
            </w:pPr>
            <w:r w:rsidRPr="00C51975">
              <w:tab/>
            </w:r>
            <w:r w:rsidR="00513159" w:rsidRPr="00310361">
              <w:t>Yes, evaluation framework</w:t>
            </w:r>
          </w:p>
        </w:tc>
        <w:tc>
          <w:tcPr>
            <w:tcW w:w="1560" w:type="dxa"/>
          </w:tcPr>
          <w:p w14:paraId="1AB4FAE4" w14:textId="77777777" w:rsidR="00513159" w:rsidRPr="00310361" w:rsidRDefault="00513159" w:rsidP="00C6006F">
            <w:pPr>
              <w:pStyle w:val="TableTextLeft"/>
              <w:spacing w:before="20" w:after="20"/>
            </w:pPr>
            <w:r>
              <w:t>3%</w:t>
            </w:r>
          </w:p>
        </w:tc>
        <w:tc>
          <w:tcPr>
            <w:tcW w:w="1842" w:type="dxa"/>
          </w:tcPr>
          <w:p w14:paraId="2C09CCB4" w14:textId="77777777" w:rsidR="00513159" w:rsidRPr="00310361" w:rsidRDefault="00513159" w:rsidP="00C6006F">
            <w:pPr>
              <w:pStyle w:val="TableTextLeft"/>
              <w:spacing w:before="20" w:after="20"/>
            </w:pPr>
            <w:r w:rsidRPr="00310361">
              <w:t>12%</w:t>
            </w:r>
          </w:p>
        </w:tc>
      </w:tr>
      <w:tr w:rsidR="00513159" w14:paraId="123682C2" w14:textId="77777777" w:rsidTr="00C6006F">
        <w:tc>
          <w:tcPr>
            <w:tcW w:w="5660" w:type="dxa"/>
          </w:tcPr>
          <w:p w14:paraId="630A54AD" w14:textId="4EAC67D4" w:rsidR="00513159" w:rsidRPr="00310361" w:rsidRDefault="00C6006F" w:rsidP="00C6006F">
            <w:pPr>
              <w:pStyle w:val="TableTextLeft"/>
              <w:spacing w:before="20" w:after="20"/>
            </w:pPr>
            <w:r w:rsidRPr="00C51975">
              <w:tab/>
            </w:r>
            <w:r w:rsidR="00513159" w:rsidRPr="00310361">
              <w:t>Yes, evaluation strategy</w:t>
            </w:r>
          </w:p>
        </w:tc>
        <w:tc>
          <w:tcPr>
            <w:tcW w:w="1560" w:type="dxa"/>
          </w:tcPr>
          <w:p w14:paraId="1E5F59F9" w14:textId="77777777" w:rsidR="00513159" w:rsidRPr="00310361" w:rsidRDefault="00513159" w:rsidP="00C6006F">
            <w:pPr>
              <w:pStyle w:val="TableTextLeft"/>
              <w:spacing w:before="20" w:after="20"/>
            </w:pPr>
            <w:r>
              <w:t>18%</w:t>
            </w:r>
          </w:p>
        </w:tc>
        <w:tc>
          <w:tcPr>
            <w:tcW w:w="1842" w:type="dxa"/>
          </w:tcPr>
          <w:p w14:paraId="4B0B793A" w14:textId="77777777" w:rsidR="00513159" w:rsidRPr="00310361" w:rsidRDefault="00513159" w:rsidP="00C6006F">
            <w:pPr>
              <w:pStyle w:val="TableTextLeft"/>
              <w:spacing w:before="20" w:after="20"/>
            </w:pPr>
            <w:r w:rsidRPr="00310361">
              <w:t>11%</w:t>
            </w:r>
          </w:p>
        </w:tc>
      </w:tr>
      <w:tr w:rsidR="00513159" w14:paraId="31C972F2" w14:textId="77777777" w:rsidTr="00C6006F">
        <w:tc>
          <w:tcPr>
            <w:tcW w:w="5660" w:type="dxa"/>
          </w:tcPr>
          <w:p w14:paraId="50431A67" w14:textId="2AD82394" w:rsidR="00513159" w:rsidRPr="00310361" w:rsidRDefault="00C6006F" w:rsidP="00C6006F">
            <w:pPr>
              <w:pStyle w:val="TableTextLeft"/>
              <w:spacing w:before="20" w:after="20"/>
            </w:pPr>
            <w:r w:rsidRPr="00C51975">
              <w:tab/>
            </w:r>
            <w:r w:rsidR="00513159" w:rsidRPr="00310361">
              <w:t>Yes, both</w:t>
            </w:r>
          </w:p>
        </w:tc>
        <w:tc>
          <w:tcPr>
            <w:tcW w:w="1560" w:type="dxa"/>
          </w:tcPr>
          <w:p w14:paraId="3958B7A9" w14:textId="77777777" w:rsidR="00513159" w:rsidRPr="00310361" w:rsidRDefault="00513159" w:rsidP="00C6006F">
            <w:pPr>
              <w:pStyle w:val="TableTextLeft"/>
              <w:spacing w:before="20" w:after="20"/>
            </w:pPr>
            <w:r>
              <w:t>6%</w:t>
            </w:r>
          </w:p>
        </w:tc>
        <w:tc>
          <w:tcPr>
            <w:tcW w:w="1842" w:type="dxa"/>
          </w:tcPr>
          <w:p w14:paraId="1B8AAADC" w14:textId="77777777" w:rsidR="00513159" w:rsidRPr="00310361" w:rsidRDefault="00513159" w:rsidP="00C6006F">
            <w:pPr>
              <w:pStyle w:val="TableTextLeft"/>
              <w:spacing w:before="20" w:after="20"/>
            </w:pPr>
            <w:r w:rsidRPr="00310361">
              <w:t>2%</w:t>
            </w:r>
          </w:p>
        </w:tc>
      </w:tr>
      <w:tr w:rsidR="00513159" w14:paraId="2B08EA47" w14:textId="77777777" w:rsidTr="00C6006F">
        <w:tc>
          <w:tcPr>
            <w:tcW w:w="5660" w:type="dxa"/>
          </w:tcPr>
          <w:p w14:paraId="184B6A29" w14:textId="6F4FC7A6" w:rsidR="00513159" w:rsidRPr="00310361" w:rsidRDefault="00C6006F" w:rsidP="00C6006F">
            <w:pPr>
              <w:pStyle w:val="TableTextLeft"/>
              <w:spacing w:before="20" w:after="20"/>
            </w:pPr>
            <w:r w:rsidRPr="00C51975">
              <w:tab/>
            </w:r>
            <w:r w:rsidR="00513159" w:rsidRPr="00310361">
              <w:t>No</w:t>
            </w:r>
          </w:p>
        </w:tc>
        <w:tc>
          <w:tcPr>
            <w:tcW w:w="1560" w:type="dxa"/>
          </w:tcPr>
          <w:p w14:paraId="20345BDF" w14:textId="77777777" w:rsidR="00513159" w:rsidRPr="00310361" w:rsidRDefault="00513159" w:rsidP="00C6006F">
            <w:pPr>
              <w:pStyle w:val="TableTextLeft"/>
              <w:spacing w:before="20" w:after="20"/>
            </w:pPr>
            <w:r>
              <w:t>73%</w:t>
            </w:r>
          </w:p>
        </w:tc>
        <w:tc>
          <w:tcPr>
            <w:tcW w:w="1842" w:type="dxa"/>
          </w:tcPr>
          <w:p w14:paraId="13B53D9A" w14:textId="77777777" w:rsidR="00513159" w:rsidRPr="00310361" w:rsidRDefault="00513159" w:rsidP="00C6006F">
            <w:pPr>
              <w:pStyle w:val="TableTextLeft"/>
              <w:spacing w:before="20" w:after="20"/>
            </w:pPr>
            <w:r w:rsidRPr="00310361">
              <w:t>75%</w:t>
            </w:r>
          </w:p>
        </w:tc>
      </w:tr>
      <w:tr w:rsidR="00513159" w14:paraId="1F570E9D" w14:textId="77777777" w:rsidTr="00C6006F">
        <w:tc>
          <w:tcPr>
            <w:tcW w:w="5660" w:type="dxa"/>
          </w:tcPr>
          <w:p w14:paraId="10107B84" w14:textId="77777777" w:rsidR="00513159" w:rsidRPr="00310361" w:rsidRDefault="00513159" w:rsidP="00C6006F">
            <w:pPr>
              <w:pStyle w:val="TableTextLeft"/>
              <w:spacing w:before="20" w:after="20"/>
            </w:pPr>
            <w:r w:rsidRPr="00310361">
              <w:t>Does your agency centrally monitor the status and use of evaluations?</w:t>
            </w:r>
            <w:r>
              <w:t xml:space="preserve"> (please select all that apply)</w:t>
            </w:r>
            <w:r w:rsidRPr="00310361">
              <w:t xml:space="preserve"> (Q. </w:t>
            </w:r>
            <w:proofErr w:type="gramStart"/>
            <w:r w:rsidRPr="00310361">
              <w:t>11)*</w:t>
            </w:r>
            <w:proofErr w:type="gramEnd"/>
            <w:r w:rsidRPr="00310361">
              <w:t xml:space="preserve"> (proportions are out of 47 respondents to this question</w:t>
            </w:r>
            <w:r>
              <w:t>, of which 18 were large agencies</w:t>
            </w:r>
            <w:r w:rsidRPr="00310361">
              <w:t>)</w:t>
            </w:r>
          </w:p>
        </w:tc>
        <w:tc>
          <w:tcPr>
            <w:tcW w:w="1560" w:type="dxa"/>
          </w:tcPr>
          <w:p w14:paraId="635F22A2" w14:textId="77777777" w:rsidR="00513159" w:rsidRPr="00310361" w:rsidRDefault="00513159" w:rsidP="00C6006F">
            <w:pPr>
              <w:pStyle w:val="TableTextLeft"/>
              <w:spacing w:before="20" w:after="20"/>
            </w:pPr>
          </w:p>
        </w:tc>
        <w:tc>
          <w:tcPr>
            <w:tcW w:w="1842" w:type="dxa"/>
          </w:tcPr>
          <w:p w14:paraId="53C09D15" w14:textId="77777777" w:rsidR="00513159" w:rsidRPr="00310361" w:rsidRDefault="00513159" w:rsidP="00C6006F">
            <w:pPr>
              <w:pStyle w:val="TableTextLeft"/>
              <w:spacing w:before="20" w:after="20"/>
            </w:pPr>
          </w:p>
        </w:tc>
      </w:tr>
      <w:tr w:rsidR="00513159" w14:paraId="654F7CEC" w14:textId="77777777" w:rsidTr="00C6006F">
        <w:tc>
          <w:tcPr>
            <w:tcW w:w="5660" w:type="dxa"/>
          </w:tcPr>
          <w:p w14:paraId="69D86AA9" w14:textId="039E478B" w:rsidR="00513159" w:rsidRPr="00310361" w:rsidRDefault="00C6006F" w:rsidP="00C6006F">
            <w:pPr>
              <w:pStyle w:val="TableTextLeft"/>
              <w:spacing w:before="20" w:after="20"/>
            </w:pPr>
            <w:r w:rsidRPr="00C51975">
              <w:tab/>
            </w:r>
            <w:r w:rsidR="00513159" w:rsidRPr="00310361">
              <w:t>Completed evaluations</w:t>
            </w:r>
          </w:p>
        </w:tc>
        <w:tc>
          <w:tcPr>
            <w:tcW w:w="1560" w:type="dxa"/>
          </w:tcPr>
          <w:p w14:paraId="2E80B621" w14:textId="77777777" w:rsidR="00513159" w:rsidRPr="00310361" w:rsidRDefault="00513159" w:rsidP="00C6006F">
            <w:pPr>
              <w:pStyle w:val="TableTextLeft"/>
              <w:spacing w:before="20" w:after="20"/>
            </w:pPr>
            <w:r>
              <w:t>94%</w:t>
            </w:r>
          </w:p>
        </w:tc>
        <w:tc>
          <w:tcPr>
            <w:tcW w:w="1842" w:type="dxa"/>
          </w:tcPr>
          <w:p w14:paraId="1AD7D693" w14:textId="77777777" w:rsidR="00513159" w:rsidRPr="00310361" w:rsidRDefault="00513159" w:rsidP="00C6006F">
            <w:pPr>
              <w:pStyle w:val="TableTextLeft"/>
              <w:spacing w:before="20" w:after="20"/>
            </w:pPr>
            <w:r w:rsidRPr="00310361">
              <w:t>85%</w:t>
            </w:r>
          </w:p>
        </w:tc>
      </w:tr>
      <w:tr w:rsidR="00513159" w14:paraId="5A65F350" w14:textId="77777777" w:rsidTr="00C6006F">
        <w:tc>
          <w:tcPr>
            <w:tcW w:w="5660" w:type="dxa"/>
          </w:tcPr>
          <w:p w14:paraId="35785A6D" w14:textId="2FF7338C" w:rsidR="00513159" w:rsidRPr="00310361" w:rsidRDefault="00C6006F" w:rsidP="00C6006F">
            <w:pPr>
              <w:pStyle w:val="TableTextLeft"/>
              <w:spacing w:before="20" w:after="20"/>
            </w:pPr>
            <w:r w:rsidRPr="00C51975">
              <w:tab/>
            </w:r>
            <w:r w:rsidR="00513159" w:rsidRPr="00310361">
              <w:t>Evaluations in progress</w:t>
            </w:r>
          </w:p>
        </w:tc>
        <w:tc>
          <w:tcPr>
            <w:tcW w:w="1560" w:type="dxa"/>
          </w:tcPr>
          <w:p w14:paraId="6531E8A1" w14:textId="77777777" w:rsidR="00513159" w:rsidRPr="00310361" w:rsidRDefault="00513159" w:rsidP="00C6006F">
            <w:pPr>
              <w:pStyle w:val="TableTextLeft"/>
              <w:spacing w:before="20" w:after="20"/>
            </w:pPr>
            <w:r>
              <w:t>83%</w:t>
            </w:r>
          </w:p>
        </w:tc>
        <w:tc>
          <w:tcPr>
            <w:tcW w:w="1842" w:type="dxa"/>
          </w:tcPr>
          <w:p w14:paraId="46B64AF2" w14:textId="77777777" w:rsidR="00513159" w:rsidRPr="00310361" w:rsidRDefault="00513159" w:rsidP="00C6006F">
            <w:pPr>
              <w:pStyle w:val="TableTextLeft"/>
              <w:spacing w:before="20" w:after="20"/>
            </w:pPr>
            <w:r w:rsidRPr="00310361">
              <w:t>74%</w:t>
            </w:r>
          </w:p>
        </w:tc>
      </w:tr>
      <w:tr w:rsidR="00513159" w14:paraId="1BD51B03" w14:textId="77777777" w:rsidTr="00C6006F">
        <w:tc>
          <w:tcPr>
            <w:tcW w:w="5660" w:type="dxa"/>
          </w:tcPr>
          <w:p w14:paraId="14343642" w14:textId="067F2ECE" w:rsidR="00513159" w:rsidRPr="00310361" w:rsidRDefault="00C6006F" w:rsidP="00C6006F">
            <w:pPr>
              <w:pStyle w:val="TableTextLeft"/>
              <w:spacing w:before="20" w:after="20"/>
            </w:pPr>
            <w:r w:rsidRPr="00C51975">
              <w:tab/>
            </w:r>
            <w:r w:rsidR="00513159" w:rsidRPr="00310361">
              <w:t>Planned evaluations</w:t>
            </w:r>
          </w:p>
        </w:tc>
        <w:tc>
          <w:tcPr>
            <w:tcW w:w="1560" w:type="dxa"/>
          </w:tcPr>
          <w:p w14:paraId="32122E8F" w14:textId="77777777" w:rsidR="00513159" w:rsidRPr="00310361" w:rsidRDefault="00513159" w:rsidP="00C6006F">
            <w:pPr>
              <w:pStyle w:val="TableTextLeft"/>
              <w:spacing w:before="20" w:after="20"/>
            </w:pPr>
            <w:r>
              <w:t>83%</w:t>
            </w:r>
          </w:p>
        </w:tc>
        <w:tc>
          <w:tcPr>
            <w:tcW w:w="1842" w:type="dxa"/>
          </w:tcPr>
          <w:p w14:paraId="7E9100B5" w14:textId="77777777" w:rsidR="00513159" w:rsidRPr="00310361" w:rsidRDefault="00513159" w:rsidP="00C6006F">
            <w:pPr>
              <w:pStyle w:val="TableTextLeft"/>
              <w:spacing w:before="20" w:after="20"/>
            </w:pPr>
            <w:r w:rsidRPr="00310361">
              <w:t>70%</w:t>
            </w:r>
          </w:p>
        </w:tc>
      </w:tr>
      <w:tr w:rsidR="00513159" w14:paraId="5823C291" w14:textId="77777777" w:rsidTr="00C6006F">
        <w:tc>
          <w:tcPr>
            <w:tcW w:w="5660" w:type="dxa"/>
          </w:tcPr>
          <w:p w14:paraId="597A1449" w14:textId="3D23CDA5" w:rsidR="00513159" w:rsidRPr="00310361" w:rsidRDefault="00C6006F" w:rsidP="00C6006F">
            <w:pPr>
              <w:pStyle w:val="TableTextLeft"/>
              <w:spacing w:before="20" w:after="20"/>
            </w:pPr>
            <w:r w:rsidRPr="00C51975">
              <w:tab/>
            </w:r>
            <w:r w:rsidR="00513159" w:rsidRPr="00310361">
              <w:t>Management responses to completed evaluations</w:t>
            </w:r>
          </w:p>
        </w:tc>
        <w:tc>
          <w:tcPr>
            <w:tcW w:w="1560" w:type="dxa"/>
          </w:tcPr>
          <w:p w14:paraId="3B691853" w14:textId="77777777" w:rsidR="00513159" w:rsidRPr="00310361" w:rsidRDefault="00513159" w:rsidP="00C6006F">
            <w:pPr>
              <w:pStyle w:val="TableTextLeft"/>
              <w:spacing w:before="20" w:after="20"/>
            </w:pPr>
            <w:r>
              <w:t>67%</w:t>
            </w:r>
          </w:p>
        </w:tc>
        <w:tc>
          <w:tcPr>
            <w:tcW w:w="1842" w:type="dxa"/>
          </w:tcPr>
          <w:p w14:paraId="49D6FFE5" w14:textId="69CD7A15" w:rsidR="00513159" w:rsidRPr="00310361" w:rsidRDefault="00513159" w:rsidP="00C6006F">
            <w:pPr>
              <w:pStyle w:val="TableTextLeft"/>
              <w:spacing w:before="20" w:after="20"/>
            </w:pPr>
            <w:r w:rsidRPr="00310361">
              <w:t>6</w:t>
            </w:r>
            <w:r w:rsidR="005C1B68">
              <w:t>2</w:t>
            </w:r>
            <w:r w:rsidRPr="00310361">
              <w:t>%</w:t>
            </w:r>
          </w:p>
        </w:tc>
      </w:tr>
      <w:tr w:rsidR="00513159" w14:paraId="0C5403DA" w14:textId="77777777" w:rsidTr="00C6006F">
        <w:tc>
          <w:tcPr>
            <w:tcW w:w="5660" w:type="dxa"/>
          </w:tcPr>
          <w:p w14:paraId="6EEC0E5D" w14:textId="4CC143F0" w:rsidR="00513159" w:rsidRPr="00310361" w:rsidRDefault="00C6006F" w:rsidP="00C6006F">
            <w:pPr>
              <w:pStyle w:val="TableTextLeft"/>
              <w:spacing w:before="20" w:after="20"/>
            </w:pPr>
            <w:r w:rsidRPr="00C51975">
              <w:tab/>
            </w:r>
            <w:r w:rsidR="00513159" w:rsidRPr="00310361">
              <w:t>Evaluation evidence use</w:t>
            </w:r>
          </w:p>
        </w:tc>
        <w:tc>
          <w:tcPr>
            <w:tcW w:w="1560" w:type="dxa"/>
          </w:tcPr>
          <w:p w14:paraId="70EFEFE2" w14:textId="77777777" w:rsidR="00513159" w:rsidRPr="00310361" w:rsidRDefault="00513159" w:rsidP="00C6006F">
            <w:pPr>
              <w:pStyle w:val="TableTextLeft"/>
              <w:spacing w:before="20" w:after="20"/>
            </w:pPr>
            <w:r>
              <w:t>9%</w:t>
            </w:r>
          </w:p>
        </w:tc>
        <w:tc>
          <w:tcPr>
            <w:tcW w:w="1842" w:type="dxa"/>
          </w:tcPr>
          <w:p w14:paraId="3FD292BC" w14:textId="77777777" w:rsidR="00513159" w:rsidRPr="00310361" w:rsidRDefault="00513159" w:rsidP="00C6006F">
            <w:pPr>
              <w:pStyle w:val="TableTextLeft"/>
              <w:spacing w:before="20" w:after="20"/>
            </w:pPr>
            <w:r w:rsidRPr="00310361">
              <w:t>43%</w:t>
            </w:r>
          </w:p>
        </w:tc>
      </w:tr>
      <w:tr w:rsidR="00513159" w14:paraId="224997C2" w14:textId="77777777" w:rsidTr="00C6006F">
        <w:tc>
          <w:tcPr>
            <w:tcW w:w="5660" w:type="dxa"/>
          </w:tcPr>
          <w:p w14:paraId="0E247599" w14:textId="77777777" w:rsidR="00513159" w:rsidRPr="00310361" w:rsidRDefault="00513159" w:rsidP="00C6006F">
            <w:pPr>
              <w:pStyle w:val="TableTextLeft"/>
              <w:spacing w:before="20" w:after="20"/>
            </w:pPr>
            <w:r w:rsidRPr="00310361">
              <w:t>Does your agency have a centrally managed forward work plan for conducting evaluations? (Q. 12) (n=91)</w:t>
            </w:r>
          </w:p>
        </w:tc>
        <w:tc>
          <w:tcPr>
            <w:tcW w:w="1560" w:type="dxa"/>
          </w:tcPr>
          <w:p w14:paraId="27C0394A" w14:textId="77777777" w:rsidR="00513159" w:rsidRPr="00310361" w:rsidRDefault="00513159" w:rsidP="00C6006F">
            <w:pPr>
              <w:pStyle w:val="TableTextLeft"/>
              <w:spacing w:before="20" w:after="20"/>
            </w:pPr>
            <w:r>
              <w:t>50%</w:t>
            </w:r>
          </w:p>
        </w:tc>
        <w:tc>
          <w:tcPr>
            <w:tcW w:w="1842" w:type="dxa"/>
          </w:tcPr>
          <w:p w14:paraId="14628308" w14:textId="77777777" w:rsidR="00513159" w:rsidRPr="00310361" w:rsidRDefault="00513159" w:rsidP="00C6006F">
            <w:pPr>
              <w:pStyle w:val="TableTextLeft"/>
              <w:spacing w:before="20" w:after="20"/>
            </w:pPr>
            <w:r w:rsidRPr="00310361">
              <w:t>41%</w:t>
            </w:r>
          </w:p>
        </w:tc>
      </w:tr>
      <w:tr w:rsidR="00513159" w14:paraId="5A311B76" w14:textId="77777777" w:rsidTr="00C6006F">
        <w:tc>
          <w:tcPr>
            <w:tcW w:w="5660" w:type="dxa"/>
          </w:tcPr>
          <w:p w14:paraId="7C4FBCBF" w14:textId="77777777" w:rsidR="00513159" w:rsidRPr="00310361" w:rsidRDefault="00513159" w:rsidP="00C6006F">
            <w:pPr>
              <w:pStyle w:val="TableTextLeft"/>
              <w:spacing w:before="20" w:after="20"/>
            </w:pPr>
            <w:r w:rsidRPr="00310361">
              <w:t>How does your agency currently identify, prioritise, and schedule evaluation activities?</w:t>
            </w:r>
            <w:r>
              <w:t xml:space="preserve"> (please select all that apply)</w:t>
            </w:r>
            <w:r w:rsidRPr="00310361">
              <w:t xml:space="preserve"> (Q. </w:t>
            </w:r>
            <w:proofErr w:type="gramStart"/>
            <w:r w:rsidRPr="00310361">
              <w:t>13)*</w:t>
            </w:r>
            <w:proofErr w:type="gramEnd"/>
            <w:r w:rsidRPr="00310361">
              <w:t xml:space="preserve"> (n=75</w:t>
            </w:r>
            <w:r>
              <w:t>, of which 32 were large agencies</w:t>
            </w:r>
            <w:r w:rsidRPr="00310361">
              <w:t>)</w:t>
            </w:r>
          </w:p>
        </w:tc>
        <w:tc>
          <w:tcPr>
            <w:tcW w:w="1560" w:type="dxa"/>
          </w:tcPr>
          <w:p w14:paraId="1A08F256" w14:textId="77777777" w:rsidR="00513159" w:rsidRPr="00310361" w:rsidRDefault="00513159" w:rsidP="00C6006F">
            <w:pPr>
              <w:pStyle w:val="TableTextLeft"/>
              <w:spacing w:before="20" w:after="20"/>
            </w:pPr>
          </w:p>
        </w:tc>
        <w:tc>
          <w:tcPr>
            <w:tcW w:w="1842" w:type="dxa"/>
          </w:tcPr>
          <w:p w14:paraId="644585F6" w14:textId="77777777" w:rsidR="00513159" w:rsidRPr="00310361" w:rsidRDefault="00513159" w:rsidP="00C6006F">
            <w:pPr>
              <w:pStyle w:val="TableTextLeft"/>
              <w:spacing w:before="20" w:after="20"/>
            </w:pPr>
          </w:p>
        </w:tc>
      </w:tr>
      <w:tr w:rsidR="00513159" w14:paraId="3D418ACD" w14:textId="77777777" w:rsidTr="00C6006F">
        <w:tc>
          <w:tcPr>
            <w:tcW w:w="5660" w:type="dxa"/>
          </w:tcPr>
          <w:p w14:paraId="28F769B1" w14:textId="480E7458" w:rsidR="00513159" w:rsidRPr="00310361" w:rsidRDefault="00C6006F" w:rsidP="00C6006F">
            <w:pPr>
              <w:pStyle w:val="TableTextLeft"/>
              <w:spacing w:before="20" w:after="20"/>
            </w:pPr>
            <w:r w:rsidRPr="00C51975">
              <w:tab/>
            </w:r>
            <w:r w:rsidR="00513159" w:rsidRPr="00310361">
              <w:t>Evaluation activities are managed by individual line areas</w:t>
            </w:r>
          </w:p>
        </w:tc>
        <w:tc>
          <w:tcPr>
            <w:tcW w:w="1560" w:type="dxa"/>
          </w:tcPr>
          <w:p w14:paraId="369E6D63" w14:textId="77777777" w:rsidR="00513159" w:rsidRPr="00310361" w:rsidRDefault="00513159" w:rsidP="00C6006F">
            <w:pPr>
              <w:pStyle w:val="TableTextLeft"/>
              <w:spacing w:before="20" w:after="20"/>
            </w:pPr>
            <w:r>
              <w:t>81%</w:t>
            </w:r>
          </w:p>
        </w:tc>
        <w:tc>
          <w:tcPr>
            <w:tcW w:w="1842" w:type="dxa"/>
          </w:tcPr>
          <w:p w14:paraId="76D750BE" w14:textId="77777777" w:rsidR="00513159" w:rsidRPr="00310361" w:rsidRDefault="00513159" w:rsidP="00C6006F">
            <w:pPr>
              <w:pStyle w:val="TableTextLeft"/>
              <w:spacing w:before="20" w:after="20"/>
            </w:pPr>
            <w:r w:rsidRPr="00310361">
              <w:t>61%</w:t>
            </w:r>
          </w:p>
        </w:tc>
      </w:tr>
      <w:tr w:rsidR="00513159" w14:paraId="407D57CC" w14:textId="77777777" w:rsidTr="00C6006F">
        <w:tc>
          <w:tcPr>
            <w:tcW w:w="5660" w:type="dxa"/>
          </w:tcPr>
          <w:p w14:paraId="1676A507" w14:textId="6914142C" w:rsidR="00513159" w:rsidRPr="00310361" w:rsidRDefault="00C6006F" w:rsidP="00C6006F">
            <w:pPr>
              <w:pStyle w:val="TableTextLeft"/>
              <w:spacing w:before="20" w:after="20"/>
            </w:pPr>
            <w:r w:rsidRPr="00C51975">
              <w:tab/>
            </w:r>
            <w:r w:rsidR="00513159" w:rsidRPr="00310361">
              <w:t>Driven by senior leadership</w:t>
            </w:r>
          </w:p>
        </w:tc>
        <w:tc>
          <w:tcPr>
            <w:tcW w:w="1560" w:type="dxa"/>
          </w:tcPr>
          <w:p w14:paraId="60A5CD1D" w14:textId="77777777" w:rsidR="00513159" w:rsidRPr="00310361" w:rsidRDefault="00513159" w:rsidP="00C6006F">
            <w:pPr>
              <w:pStyle w:val="TableTextLeft"/>
              <w:spacing w:before="20" w:after="20"/>
            </w:pPr>
            <w:r>
              <w:t>66%</w:t>
            </w:r>
          </w:p>
        </w:tc>
        <w:tc>
          <w:tcPr>
            <w:tcW w:w="1842" w:type="dxa"/>
          </w:tcPr>
          <w:p w14:paraId="53BACDFD" w14:textId="77777777" w:rsidR="00513159" w:rsidRPr="00310361" w:rsidRDefault="00513159" w:rsidP="00C6006F">
            <w:pPr>
              <w:pStyle w:val="TableTextLeft"/>
              <w:spacing w:before="20" w:after="20"/>
            </w:pPr>
            <w:r w:rsidRPr="00310361">
              <w:t>51%</w:t>
            </w:r>
          </w:p>
        </w:tc>
      </w:tr>
      <w:tr w:rsidR="00513159" w14:paraId="7AD3DBA8" w14:textId="77777777" w:rsidTr="00C6006F">
        <w:tc>
          <w:tcPr>
            <w:tcW w:w="5660" w:type="dxa"/>
          </w:tcPr>
          <w:p w14:paraId="239E14BD" w14:textId="1B457555" w:rsidR="00513159" w:rsidRPr="00310361" w:rsidRDefault="00C6006F" w:rsidP="00C6006F">
            <w:pPr>
              <w:pStyle w:val="TableTextLeft"/>
              <w:spacing w:before="20" w:after="20"/>
            </w:pPr>
            <w:r w:rsidRPr="00C51975">
              <w:tab/>
            </w:r>
            <w:r w:rsidR="00513159" w:rsidRPr="00310361">
              <w:t xml:space="preserve">Based on commitments made through Cabinet and Budget </w:t>
            </w:r>
            <w:r w:rsidRPr="00C51975">
              <w:tab/>
            </w:r>
            <w:r w:rsidR="00513159" w:rsidRPr="00310361">
              <w:t>processes</w:t>
            </w:r>
          </w:p>
        </w:tc>
        <w:tc>
          <w:tcPr>
            <w:tcW w:w="1560" w:type="dxa"/>
          </w:tcPr>
          <w:p w14:paraId="028E5228" w14:textId="77777777" w:rsidR="00513159" w:rsidRPr="00310361" w:rsidRDefault="00513159" w:rsidP="00C6006F">
            <w:pPr>
              <w:pStyle w:val="TableTextLeft"/>
              <w:spacing w:before="20" w:after="20"/>
            </w:pPr>
            <w:r>
              <w:t>59%</w:t>
            </w:r>
          </w:p>
        </w:tc>
        <w:tc>
          <w:tcPr>
            <w:tcW w:w="1842" w:type="dxa"/>
          </w:tcPr>
          <w:p w14:paraId="28F2848D" w14:textId="77777777" w:rsidR="00513159" w:rsidRPr="00310361" w:rsidRDefault="00513159" w:rsidP="00C6006F">
            <w:pPr>
              <w:pStyle w:val="TableTextLeft"/>
              <w:spacing w:before="20" w:after="20"/>
            </w:pPr>
            <w:r w:rsidRPr="00310361">
              <w:t>35%</w:t>
            </w:r>
          </w:p>
        </w:tc>
      </w:tr>
      <w:tr w:rsidR="00513159" w14:paraId="32E10839" w14:textId="77777777" w:rsidTr="00C6006F">
        <w:tc>
          <w:tcPr>
            <w:tcW w:w="5660" w:type="dxa"/>
          </w:tcPr>
          <w:p w14:paraId="2C9EA2FC" w14:textId="42F3CED2" w:rsidR="00513159" w:rsidRPr="00310361" w:rsidRDefault="00C6006F" w:rsidP="00C6006F">
            <w:pPr>
              <w:pStyle w:val="TableTextLeft"/>
              <w:spacing w:before="20" w:after="20"/>
            </w:pPr>
            <w:r w:rsidRPr="00C51975">
              <w:tab/>
            </w:r>
            <w:r w:rsidR="00513159" w:rsidRPr="00310361">
              <w:t xml:space="preserve">By exception, based on issues identified through routine risk, </w:t>
            </w:r>
            <w:r w:rsidRPr="00C51975">
              <w:tab/>
            </w:r>
            <w:r w:rsidR="00513159" w:rsidRPr="00310361">
              <w:t>performance, or audit activities</w:t>
            </w:r>
          </w:p>
        </w:tc>
        <w:tc>
          <w:tcPr>
            <w:tcW w:w="1560" w:type="dxa"/>
          </w:tcPr>
          <w:p w14:paraId="5CDF6733" w14:textId="77777777" w:rsidR="00513159" w:rsidRPr="00310361" w:rsidRDefault="00513159" w:rsidP="00C6006F">
            <w:pPr>
              <w:pStyle w:val="TableTextLeft"/>
              <w:spacing w:before="20" w:after="20"/>
            </w:pPr>
            <w:r>
              <w:t>50%</w:t>
            </w:r>
          </w:p>
        </w:tc>
        <w:tc>
          <w:tcPr>
            <w:tcW w:w="1842" w:type="dxa"/>
          </w:tcPr>
          <w:p w14:paraId="0186FE93" w14:textId="77777777" w:rsidR="00513159" w:rsidRPr="00310361" w:rsidRDefault="00513159" w:rsidP="00C6006F">
            <w:pPr>
              <w:pStyle w:val="TableTextLeft"/>
              <w:spacing w:before="20" w:after="20"/>
            </w:pPr>
            <w:r w:rsidRPr="00310361">
              <w:t>35%</w:t>
            </w:r>
          </w:p>
        </w:tc>
      </w:tr>
      <w:tr w:rsidR="00513159" w14:paraId="7ECFCD92" w14:textId="77777777" w:rsidTr="00C6006F">
        <w:tc>
          <w:tcPr>
            <w:tcW w:w="5660" w:type="dxa"/>
          </w:tcPr>
          <w:p w14:paraId="7E053CBC" w14:textId="2714350C" w:rsidR="00513159" w:rsidRPr="00310361" w:rsidRDefault="00C6006F" w:rsidP="00C6006F">
            <w:pPr>
              <w:pStyle w:val="TableTextLeft"/>
              <w:spacing w:before="20" w:after="20"/>
            </w:pPr>
            <w:r w:rsidRPr="00C51975">
              <w:tab/>
            </w:r>
            <w:r w:rsidR="00513159" w:rsidRPr="00310361">
              <w:t xml:space="preserve">Few evaluations are undertaken so no formal prioritisation or </w:t>
            </w:r>
            <w:r w:rsidRPr="00C51975">
              <w:tab/>
            </w:r>
            <w:r w:rsidR="00513159" w:rsidRPr="00310361">
              <w:t>scheduling is required</w:t>
            </w:r>
          </w:p>
        </w:tc>
        <w:tc>
          <w:tcPr>
            <w:tcW w:w="1560" w:type="dxa"/>
          </w:tcPr>
          <w:p w14:paraId="29F7EF52" w14:textId="77777777" w:rsidR="00513159" w:rsidRPr="00310361" w:rsidRDefault="00513159" w:rsidP="00C6006F">
            <w:pPr>
              <w:pStyle w:val="TableTextLeft"/>
              <w:spacing w:before="20" w:after="20"/>
            </w:pPr>
            <w:r>
              <w:t>25%</w:t>
            </w:r>
          </w:p>
        </w:tc>
        <w:tc>
          <w:tcPr>
            <w:tcW w:w="1842" w:type="dxa"/>
          </w:tcPr>
          <w:p w14:paraId="27A4F821" w14:textId="77777777" w:rsidR="00513159" w:rsidRPr="00310361" w:rsidRDefault="00513159" w:rsidP="00C6006F">
            <w:pPr>
              <w:pStyle w:val="TableTextLeft"/>
              <w:spacing w:before="20" w:after="20"/>
            </w:pPr>
            <w:r w:rsidRPr="00310361">
              <w:t>28%</w:t>
            </w:r>
          </w:p>
        </w:tc>
      </w:tr>
      <w:tr w:rsidR="00513159" w14:paraId="4EE42813" w14:textId="77777777" w:rsidTr="00C6006F">
        <w:tc>
          <w:tcPr>
            <w:tcW w:w="5660" w:type="dxa"/>
          </w:tcPr>
          <w:p w14:paraId="050E541A" w14:textId="5CA0D772" w:rsidR="00513159" w:rsidRPr="00310361" w:rsidRDefault="00C6006F" w:rsidP="00C6006F">
            <w:pPr>
              <w:pStyle w:val="TableTextLeft"/>
              <w:spacing w:before="20" w:after="20"/>
            </w:pPr>
            <w:r w:rsidRPr="00C51975">
              <w:tab/>
            </w:r>
            <w:r w:rsidR="00513159" w:rsidRPr="00310361">
              <w:t xml:space="preserve">Based on an enterprise level evaluation strategy and/or </w:t>
            </w:r>
            <w:r w:rsidRPr="00C51975">
              <w:tab/>
            </w:r>
            <w:r w:rsidR="00513159" w:rsidRPr="00310361">
              <w:t>framework</w:t>
            </w:r>
          </w:p>
        </w:tc>
        <w:tc>
          <w:tcPr>
            <w:tcW w:w="1560" w:type="dxa"/>
          </w:tcPr>
          <w:p w14:paraId="11BD18E1" w14:textId="77777777" w:rsidR="00513159" w:rsidRPr="00310361" w:rsidRDefault="00513159" w:rsidP="00C6006F">
            <w:pPr>
              <w:pStyle w:val="TableTextLeft"/>
              <w:spacing w:before="20" w:after="20"/>
            </w:pPr>
            <w:r>
              <w:t>41%</w:t>
            </w:r>
          </w:p>
        </w:tc>
        <w:tc>
          <w:tcPr>
            <w:tcW w:w="1842" w:type="dxa"/>
          </w:tcPr>
          <w:p w14:paraId="1E702264" w14:textId="77777777" w:rsidR="00513159" w:rsidRPr="00310361" w:rsidRDefault="00513159" w:rsidP="00C6006F">
            <w:pPr>
              <w:pStyle w:val="TableTextLeft"/>
              <w:spacing w:before="20" w:after="20"/>
            </w:pPr>
            <w:r w:rsidRPr="00310361">
              <w:t>28%</w:t>
            </w:r>
          </w:p>
        </w:tc>
      </w:tr>
      <w:tr w:rsidR="00513159" w14:paraId="2F0612F4" w14:textId="77777777" w:rsidTr="00C6006F">
        <w:tc>
          <w:tcPr>
            <w:tcW w:w="5660" w:type="dxa"/>
          </w:tcPr>
          <w:p w14:paraId="21E24143" w14:textId="77777777" w:rsidR="00513159" w:rsidRPr="00310361" w:rsidRDefault="00513159" w:rsidP="00C6006F">
            <w:pPr>
              <w:pStyle w:val="TableTextLeft"/>
              <w:spacing w:before="20" w:after="20"/>
            </w:pPr>
            <w:r w:rsidRPr="00310361">
              <w:t>How does your entity use evaluation</w:t>
            </w:r>
            <w:r>
              <w:t xml:space="preserve"> (please select all that apply)? </w:t>
            </w:r>
            <w:r w:rsidRPr="00310361">
              <w:t xml:space="preserve">(Q. </w:t>
            </w:r>
            <w:proofErr w:type="gramStart"/>
            <w:r w:rsidRPr="00310361">
              <w:t>14)*</w:t>
            </w:r>
            <w:proofErr w:type="gramEnd"/>
          </w:p>
        </w:tc>
        <w:tc>
          <w:tcPr>
            <w:tcW w:w="1560" w:type="dxa"/>
          </w:tcPr>
          <w:p w14:paraId="7FEE7171" w14:textId="77777777" w:rsidR="00513159" w:rsidRPr="00310361" w:rsidRDefault="00513159" w:rsidP="00C6006F">
            <w:pPr>
              <w:pStyle w:val="TableTextLeft"/>
              <w:spacing w:before="20" w:after="20"/>
            </w:pPr>
          </w:p>
        </w:tc>
        <w:tc>
          <w:tcPr>
            <w:tcW w:w="1842" w:type="dxa"/>
          </w:tcPr>
          <w:p w14:paraId="7982EE8A" w14:textId="77777777" w:rsidR="00513159" w:rsidRPr="00310361" w:rsidRDefault="00513159" w:rsidP="00C6006F">
            <w:pPr>
              <w:pStyle w:val="TableTextLeft"/>
              <w:spacing w:before="20" w:after="20"/>
            </w:pPr>
          </w:p>
        </w:tc>
      </w:tr>
      <w:tr w:rsidR="00513159" w14:paraId="443FB581" w14:textId="77777777" w:rsidTr="00C6006F">
        <w:tc>
          <w:tcPr>
            <w:tcW w:w="5660" w:type="dxa"/>
          </w:tcPr>
          <w:p w14:paraId="1711E6FF" w14:textId="7B9B0D3E" w:rsidR="00513159" w:rsidRPr="00310361" w:rsidRDefault="00C6006F" w:rsidP="00C6006F">
            <w:pPr>
              <w:pStyle w:val="TableTextLeft"/>
              <w:spacing w:before="20" w:after="20"/>
            </w:pPr>
            <w:r w:rsidRPr="00C51975">
              <w:tab/>
            </w:r>
            <w:r w:rsidR="00513159" w:rsidRPr="00310361">
              <w:t>Evaluation informs policy/program design or decision</w:t>
            </w:r>
            <w:r w:rsidR="00AD4DCC">
              <w:noBreakHyphen/>
            </w:r>
            <w:r w:rsidR="00513159" w:rsidRPr="00310361">
              <w:t>making</w:t>
            </w:r>
          </w:p>
        </w:tc>
        <w:tc>
          <w:tcPr>
            <w:tcW w:w="1560" w:type="dxa"/>
          </w:tcPr>
          <w:p w14:paraId="24D77BA3" w14:textId="77777777" w:rsidR="00513159" w:rsidRPr="00310361" w:rsidRDefault="00513159" w:rsidP="00C6006F">
            <w:pPr>
              <w:pStyle w:val="TableTextLeft"/>
              <w:spacing w:before="20" w:after="20"/>
            </w:pPr>
            <w:r>
              <w:t>82%</w:t>
            </w:r>
          </w:p>
        </w:tc>
        <w:tc>
          <w:tcPr>
            <w:tcW w:w="1842" w:type="dxa"/>
          </w:tcPr>
          <w:p w14:paraId="79AEDC20" w14:textId="77777777" w:rsidR="00513159" w:rsidRPr="00310361" w:rsidRDefault="00513159" w:rsidP="00C6006F">
            <w:pPr>
              <w:pStyle w:val="TableTextLeft"/>
              <w:spacing w:before="20" w:after="20"/>
            </w:pPr>
            <w:r w:rsidRPr="00310361">
              <w:t>68%</w:t>
            </w:r>
          </w:p>
        </w:tc>
      </w:tr>
      <w:tr w:rsidR="00513159" w14:paraId="72559A56" w14:textId="77777777" w:rsidTr="00C6006F">
        <w:tc>
          <w:tcPr>
            <w:tcW w:w="5660" w:type="dxa"/>
          </w:tcPr>
          <w:p w14:paraId="5B22F5B2" w14:textId="070EA5F9" w:rsidR="00513159" w:rsidRPr="00310361" w:rsidRDefault="00C6006F" w:rsidP="00C6006F">
            <w:pPr>
              <w:pStyle w:val="TableTextLeft"/>
              <w:spacing w:before="20" w:after="20"/>
            </w:pPr>
            <w:r w:rsidRPr="00C51975">
              <w:tab/>
            </w:r>
            <w:r w:rsidR="00513159" w:rsidRPr="00310361">
              <w:t xml:space="preserve">Outcome or impact evaluation is undertaken to inform whether </w:t>
            </w:r>
            <w:r w:rsidRPr="00C51975">
              <w:tab/>
            </w:r>
            <w:r w:rsidR="00513159" w:rsidRPr="00310361">
              <w:t>policies or programs achieve their objectives</w:t>
            </w:r>
          </w:p>
        </w:tc>
        <w:tc>
          <w:tcPr>
            <w:tcW w:w="1560" w:type="dxa"/>
          </w:tcPr>
          <w:p w14:paraId="673893B7" w14:textId="77777777" w:rsidR="00513159" w:rsidRPr="00310361" w:rsidRDefault="00513159" w:rsidP="00C6006F">
            <w:pPr>
              <w:pStyle w:val="TableTextLeft"/>
              <w:spacing w:before="20" w:after="20"/>
            </w:pPr>
            <w:r>
              <w:t>82%</w:t>
            </w:r>
          </w:p>
        </w:tc>
        <w:tc>
          <w:tcPr>
            <w:tcW w:w="1842" w:type="dxa"/>
          </w:tcPr>
          <w:p w14:paraId="0087BC76" w14:textId="77777777" w:rsidR="00513159" w:rsidRPr="00310361" w:rsidRDefault="00513159" w:rsidP="00C6006F">
            <w:pPr>
              <w:pStyle w:val="TableTextLeft"/>
              <w:spacing w:before="20" w:after="20"/>
            </w:pPr>
            <w:r w:rsidRPr="00310361">
              <w:t>6</w:t>
            </w:r>
            <w:r>
              <w:t>8</w:t>
            </w:r>
            <w:r w:rsidRPr="00310361">
              <w:t>%</w:t>
            </w:r>
          </w:p>
        </w:tc>
      </w:tr>
      <w:tr w:rsidR="00513159" w14:paraId="034E8A14" w14:textId="77777777" w:rsidTr="00C6006F">
        <w:tc>
          <w:tcPr>
            <w:tcW w:w="5660" w:type="dxa"/>
          </w:tcPr>
          <w:p w14:paraId="590EBA2C" w14:textId="4AC960D5" w:rsidR="00513159" w:rsidRPr="00310361" w:rsidRDefault="00C6006F" w:rsidP="00C6006F">
            <w:pPr>
              <w:pStyle w:val="TableTextLeft"/>
              <w:spacing w:before="20" w:after="20"/>
            </w:pPr>
            <w:r w:rsidRPr="00C51975">
              <w:tab/>
            </w:r>
            <w:r w:rsidR="00513159" w:rsidRPr="00310361">
              <w:t xml:space="preserve">Evaluation tools and approaches inform the development of </w:t>
            </w:r>
            <w:r w:rsidRPr="00C51975">
              <w:tab/>
            </w:r>
            <w:r w:rsidR="00513159" w:rsidRPr="00310361">
              <w:t>performance measures</w:t>
            </w:r>
          </w:p>
        </w:tc>
        <w:tc>
          <w:tcPr>
            <w:tcW w:w="1560" w:type="dxa"/>
          </w:tcPr>
          <w:p w14:paraId="250902C7" w14:textId="77777777" w:rsidR="00513159" w:rsidRPr="00310361" w:rsidRDefault="00513159" w:rsidP="00C6006F">
            <w:pPr>
              <w:pStyle w:val="TableTextLeft"/>
              <w:spacing w:before="20" w:after="20"/>
            </w:pPr>
            <w:r>
              <w:t>61%</w:t>
            </w:r>
          </w:p>
        </w:tc>
        <w:tc>
          <w:tcPr>
            <w:tcW w:w="1842" w:type="dxa"/>
          </w:tcPr>
          <w:p w14:paraId="65BC4922" w14:textId="77777777" w:rsidR="00513159" w:rsidRPr="00310361" w:rsidRDefault="00513159" w:rsidP="00C6006F">
            <w:pPr>
              <w:pStyle w:val="TableTextLeft"/>
              <w:spacing w:before="20" w:after="20"/>
            </w:pPr>
            <w:r w:rsidRPr="00310361">
              <w:t>55%</w:t>
            </w:r>
          </w:p>
        </w:tc>
      </w:tr>
      <w:tr w:rsidR="00513159" w14:paraId="05BECDFD" w14:textId="77777777" w:rsidTr="00C6006F">
        <w:tc>
          <w:tcPr>
            <w:tcW w:w="5660" w:type="dxa"/>
          </w:tcPr>
          <w:p w14:paraId="7713C3E1" w14:textId="78610AD9" w:rsidR="00513159" w:rsidRPr="00310361" w:rsidRDefault="00C6006F" w:rsidP="00C6006F">
            <w:pPr>
              <w:pStyle w:val="TableTextLeft"/>
              <w:spacing w:before="20" w:after="20"/>
            </w:pPr>
            <w:r w:rsidRPr="00C51975">
              <w:tab/>
            </w:r>
            <w:r w:rsidR="00513159" w:rsidRPr="00310361">
              <w:t xml:space="preserve">Evaluations support reporting on performance under the </w:t>
            </w:r>
            <w:r w:rsidRPr="00C51975">
              <w:tab/>
            </w:r>
            <w:r w:rsidR="00513159" w:rsidRPr="00310361">
              <w:t>Commonwealth Performance Framework</w:t>
            </w:r>
          </w:p>
        </w:tc>
        <w:tc>
          <w:tcPr>
            <w:tcW w:w="1560" w:type="dxa"/>
          </w:tcPr>
          <w:p w14:paraId="4C4E8BCC" w14:textId="77777777" w:rsidR="00513159" w:rsidRPr="00310361" w:rsidRDefault="00513159" w:rsidP="00C6006F">
            <w:pPr>
              <w:pStyle w:val="TableTextLeft"/>
              <w:spacing w:before="20" w:after="20"/>
            </w:pPr>
            <w:r>
              <w:t>48%</w:t>
            </w:r>
          </w:p>
        </w:tc>
        <w:tc>
          <w:tcPr>
            <w:tcW w:w="1842" w:type="dxa"/>
          </w:tcPr>
          <w:p w14:paraId="7C55E1A7" w14:textId="77777777" w:rsidR="00513159" w:rsidRPr="00310361" w:rsidRDefault="00513159" w:rsidP="00C6006F">
            <w:pPr>
              <w:pStyle w:val="TableTextLeft"/>
              <w:spacing w:before="20" w:after="20"/>
            </w:pPr>
            <w:r w:rsidRPr="00310361">
              <w:t>44%</w:t>
            </w:r>
          </w:p>
        </w:tc>
      </w:tr>
      <w:tr w:rsidR="00513159" w14:paraId="6AAB23F9" w14:textId="77777777" w:rsidTr="00C6006F">
        <w:tc>
          <w:tcPr>
            <w:tcW w:w="5660" w:type="dxa"/>
          </w:tcPr>
          <w:p w14:paraId="03F12261" w14:textId="7CF8B5A5" w:rsidR="00513159" w:rsidRPr="00310361" w:rsidRDefault="00C6006F" w:rsidP="00C6006F">
            <w:pPr>
              <w:pStyle w:val="TableTextLeft"/>
              <w:spacing w:before="20" w:after="20"/>
            </w:pPr>
            <w:r w:rsidRPr="00C51975">
              <w:tab/>
            </w:r>
            <w:r w:rsidR="00513159" w:rsidRPr="00310361">
              <w:t>Evaluation informs the direction of the agency</w:t>
            </w:r>
          </w:p>
        </w:tc>
        <w:tc>
          <w:tcPr>
            <w:tcW w:w="1560" w:type="dxa"/>
          </w:tcPr>
          <w:p w14:paraId="54C090F2" w14:textId="77777777" w:rsidR="00513159" w:rsidRPr="00310361" w:rsidRDefault="00513159" w:rsidP="00C6006F">
            <w:pPr>
              <w:pStyle w:val="TableTextLeft"/>
              <w:spacing w:before="20" w:after="20"/>
            </w:pPr>
            <w:r>
              <w:t>33%</w:t>
            </w:r>
          </w:p>
        </w:tc>
        <w:tc>
          <w:tcPr>
            <w:tcW w:w="1842" w:type="dxa"/>
          </w:tcPr>
          <w:p w14:paraId="7A85661B" w14:textId="77777777" w:rsidR="00513159" w:rsidRPr="00310361" w:rsidRDefault="00513159" w:rsidP="00C6006F">
            <w:pPr>
              <w:pStyle w:val="TableTextLeft"/>
              <w:spacing w:before="20" w:after="20"/>
            </w:pPr>
            <w:r w:rsidRPr="00310361">
              <w:t>34%</w:t>
            </w:r>
          </w:p>
        </w:tc>
      </w:tr>
      <w:tr w:rsidR="00513159" w14:paraId="08EBA43A" w14:textId="77777777" w:rsidTr="00C6006F">
        <w:tc>
          <w:tcPr>
            <w:tcW w:w="5660" w:type="dxa"/>
          </w:tcPr>
          <w:p w14:paraId="42900590" w14:textId="27E5F321" w:rsidR="00513159" w:rsidRPr="00310361" w:rsidRDefault="00C6006F" w:rsidP="00C6006F">
            <w:pPr>
              <w:pStyle w:val="TableTextLeft"/>
              <w:spacing w:before="20" w:after="20"/>
            </w:pPr>
            <w:r w:rsidRPr="00C51975">
              <w:tab/>
            </w:r>
            <w:r w:rsidR="00513159" w:rsidRPr="00310361">
              <w:t xml:space="preserve">Evaluations are undertaken but generally do not inform the </w:t>
            </w:r>
            <w:r w:rsidRPr="00C51975">
              <w:tab/>
            </w:r>
            <w:r w:rsidR="00513159" w:rsidRPr="00310361">
              <w:t>development of agency performance measures</w:t>
            </w:r>
          </w:p>
        </w:tc>
        <w:tc>
          <w:tcPr>
            <w:tcW w:w="1560" w:type="dxa"/>
          </w:tcPr>
          <w:p w14:paraId="2A3233B0" w14:textId="77777777" w:rsidR="00513159" w:rsidRPr="00310361" w:rsidRDefault="00513159" w:rsidP="00C6006F">
            <w:pPr>
              <w:pStyle w:val="TableTextLeft"/>
              <w:spacing w:before="20" w:after="20"/>
            </w:pPr>
            <w:r>
              <w:t>61%</w:t>
            </w:r>
          </w:p>
        </w:tc>
        <w:tc>
          <w:tcPr>
            <w:tcW w:w="1842" w:type="dxa"/>
          </w:tcPr>
          <w:p w14:paraId="62F5C0A0" w14:textId="77777777" w:rsidR="00513159" w:rsidRPr="00310361" w:rsidRDefault="00513159" w:rsidP="00C6006F">
            <w:pPr>
              <w:pStyle w:val="TableTextLeft"/>
              <w:spacing w:before="20" w:after="20"/>
            </w:pPr>
            <w:r w:rsidRPr="00310361">
              <w:t>22%</w:t>
            </w:r>
          </w:p>
        </w:tc>
      </w:tr>
      <w:tr w:rsidR="00513159" w14:paraId="71E70B7F" w14:textId="77777777" w:rsidTr="00C6006F">
        <w:tc>
          <w:tcPr>
            <w:tcW w:w="5660" w:type="dxa"/>
          </w:tcPr>
          <w:p w14:paraId="53080056" w14:textId="6A4E8796" w:rsidR="00513159" w:rsidRPr="0064011C" w:rsidRDefault="00C6006F" w:rsidP="00C6006F">
            <w:pPr>
              <w:pStyle w:val="TableTextLeft"/>
              <w:spacing w:before="20" w:after="20"/>
            </w:pPr>
            <w:r w:rsidRPr="00C51975">
              <w:tab/>
            </w:r>
            <w:r w:rsidR="00513159" w:rsidRPr="0064011C">
              <w:t xml:space="preserve">Evaluation is conducted during development or implementation </w:t>
            </w:r>
            <w:r w:rsidRPr="00C51975">
              <w:tab/>
            </w:r>
            <w:r w:rsidR="00513159" w:rsidRPr="0064011C">
              <w:t>of policies or programs to help assess whether they are on track</w:t>
            </w:r>
          </w:p>
        </w:tc>
        <w:tc>
          <w:tcPr>
            <w:tcW w:w="1560" w:type="dxa"/>
          </w:tcPr>
          <w:p w14:paraId="7501D714" w14:textId="77777777" w:rsidR="00513159" w:rsidRPr="0064011C" w:rsidRDefault="00513159" w:rsidP="00C6006F">
            <w:pPr>
              <w:pStyle w:val="TableTextLeft"/>
              <w:spacing w:before="20" w:after="20"/>
            </w:pPr>
            <w:r>
              <w:t>73%</w:t>
            </w:r>
          </w:p>
        </w:tc>
        <w:tc>
          <w:tcPr>
            <w:tcW w:w="1842" w:type="dxa"/>
          </w:tcPr>
          <w:p w14:paraId="62A5136C" w14:textId="77777777" w:rsidR="00513159" w:rsidRPr="0064011C" w:rsidRDefault="00513159" w:rsidP="00C6006F">
            <w:pPr>
              <w:pStyle w:val="TableTextLeft"/>
              <w:spacing w:before="20" w:after="20"/>
            </w:pPr>
            <w:r w:rsidRPr="0064011C">
              <w:t>52%</w:t>
            </w:r>
          </w:p>
        </w:tc>
      </w:tr>
    </w:tbl>
    <w:p w14:paraId="7AD0EAA9" w14:textId="20EAD6B8" w:rsidR="004E3B10" w:rsidRDefault="0041177D" w:rsidP="009C5393">
      <w:pPr>
        <w:pStyle w:val="ChartMainHeading"/>
        <w:widowControl w:val="0"/>
        <w:jc w:val="left"/>
      </w:pPr>
      <w:r w:rsidRPr="00297621">
        <w:lastRenderedPageBreak/>
        <w:t xml:space="preserve">Table </w:t>
      </w:r>
      <w:r w:rsidR="009C5393">
        <w:t>3</w:t>
      </w:r>
      <w:r w:rsidRPr="00213DBC">
        <w:t>: Survey results table</w:t>
      </w:r>
      <w:r>
        <w:t xml:space="preserve"> (continued)</w:t>
      </w:r>
    </w:p>
    <w:tbl>
      <w:tblPr>
        <w:tblStyle w:val="TableGrid"/>
        <w:tblW w:w="9062" w:type="dxa"/>
        <w:tblBorders>
          <w:top w:val="single" w:sz="8" w:space="0" w:color="213657"/>
          <w:left w:val="single" w:sz="8" w:space="0" w:color="213657"/>
          <w:bottom w:val="single" w:sz="8" w:space="0" w:color="213657"/>
          <w:right w:val="single" w:sz="8" w:space="0" w:color="213657"/>
          <w:insideH w:val="single" w:sz="8" w:space="0" w:color="213657"/>
          <w:insideV w:val="single" w:sz="8" w:space="0" w:color="213657"/>
        </w:tblBorders>
        <w:tblLook w:val="04A0" w:firstRow="1" w:lastRow="0" w:firstColumn="1" w:lastColumn="0" w:noHBand="0" w:noVBand="1"/>
      </w:tblPr>
      <w:tblGrid>
        <w:gridCol w:w="5660"/>
        <w:gridCol w:w="1560"/>
        <w:gridCol w:w="1842"/>
      </w:tblGrid>
      <w:tr w:rsidR="004E3B10" w:rsidRPr="00CB544B" w14:paraId="36A784E0" w14:textId="77777777">
        <w:trPr>
          <w:cnfStyle w:val="100000000000" w:firstRow="1" w:lastRow="0" w:firstColumn="0" w:lastColumn="0" w:oddVBand="0" w:evenVBand="0" w:oddHBand="0" w:evenHBand="0" w:firstRowFirstColumn="0" w:firstRowLastColumn="0" w:lastRowFirstColumn="0" w:lastRowLastColumn="0"/>
          <w:tblHeader/>
        </w:trPr>
        <w:tc>
          <w:tcPr>
            <w:tcW w:w="5660" w:type="dxa"/>
            <w:shd w:val="clear" w:color="auto" w:fill="213657"/>
          </w:tcPr>
          <w:p w14:paraId="368AAEEF" w14:textId="77777777" w:rsidR="004E3B10" w:rsidRPr="00C6006F" w:rsidRDefault="004E3B10">
            <w:pPr>
              <w:pStyle w:val="TableColumnHeadingLeft"/>
              <w:rPr>
                <w:b/>
                <w:bCs/>
                <w:color w:val="FFFFFF" w:themeColor="background1"/>
              </w:rPr>
            </w:pPr>
            <w:r w:rsidRPr="00C6006F">
              <w:rPr>
                <w:b/>
                <w:bCs/>
                <w:color w:val="FFFFFF" w:themeColor="background1"/>
              </w:rPr>
              <w:t>Survey question</w:t>
            </w:r>
          </w:p>
        </w:tc>
        <w:tc>
          <w:tcPr>
            <w:tcW w:w="1560" w:type="dxa"/>
            <w:shd w:val="clear" w:color="auto" w:fill="213657"/>
          </w:tcPr>
          <w:p w14:paraId="0165D2CE" w14:textId="77777777" w:rsidR="004E3B10" w:rsidRPr="00C6006F" w:rsidRDefault="004E3B10">
            <w:pPr>
              <w:pStyle w:val="TableColumnHeadingLeft"/>
              <w:rPr>
                <w:b/>
                <w:bCs/>
                <w:color w:val="FFFFFF" w:themeColor="background1"/>
              </w:rPr>
            </w:pPr>
            <w:r w:rsidRPr="00C6006F">
              <w:rPr>
                <w:b/>
                <w:bCs/>
                <w:color w:val="FFFFFF" w:themeColor="background1"/>
              </w:rPr>
              <w:t xml:space="preserve">Large entities </w:t>
            </w:r>
            <w:r>
              <w:rPr>
                <w:b/>
                <w:bCs/>
                <w:color w:val="FFFFFF" w:themeColor="background1"/>
              </w:rPr>
              <w:br/>
            </w:r>
            <w:r w:rsidRPr="00C6006F">
              <w:rPr>
                <w:b/>
                <w:bCs/>
                <w:color w:val="FFFFFF" w:themeColor="background1"/>
              </w:rPr>
              <w:t>(n = 34, if not specified otherwise)</w:t>
            </w:r>
          </w:p>
        </w:tc>
        <w:tc>
          <w:tcPr>
            <w:tcW w:w="1842" w:type="dxa"/>
            <w:shd w:val="clear" w:color="auto" w:fill="213657"/>
          </w:tcPr>
          <w:p w14:paraId="3A54E35B" w14:textId="77777777" w:rsidR="004E3B10" w:rsidRPr="00C6006F" w:rsidRDefault="004E3B10">
            <w:pPr>
              <w:pStyle w:val="TableColumnHeadingLeft"/>
              <w:rPr>
                <w:b/>
                <w:bCs/>
                <w:color w:val="FFFFFF" w:themeColor="background1"/>
              </w:rPr>
            </w:pPr>
            <w:r w:rsidRPr="00C6006F">
              <w:rPr>
                <w:b/>
                <w:bCs/>
                <w:color w:val="FFFFFF" w:themeColor="background1"/>
              </w:rPr>
              <w:t xml:space="preserve">Overall Proportion </w:t>
            </w:r>
          </w:p>
          <w:p w14:paraId="65A2EE94" w14:textId="77777777" w:rsidR="004E3B10" w:rsidRPr="00C6006F" w:rsidRDefault="004E3B10">
            <w:pPr>
              <w:pStyle w:val="TableColumnHeadingLeft"/>
              <w:rPr>
                <w:b/>
                <w:bCs/>
                <w:color w:val="FFFFFF" w:themeColor="background1"/>
              </w:rPr>
            </w:pPr>
            <w:r w:rsidRPr="00C6006F">
              <w:rPr>
                <w:b/>
                <w:bCs/>
                <w:color w:val="FFFFFF" w:themeColor="background1"/>
              </w:rPr>
              <w:t>(n = 92, if not specified otherwise)</w:t>
            </w:r>
          </w:p>
        </w:tc>
      </w:tr>
      <w:tr w:rsidR="00513159" w14:paraId="5649DC43" w14:textId="77777777" w:rsidTr="00C6006F">
        <w:tc>
          <w:tcPr>
            <w:tcW w:w="5660" w:type="dxa"/>
          </w:tcPr>
          <w:p w14:paraId="47B0EB3E" w14:textId="77777777" w:rsidR="00513159" w:rsidRPr="00C6006F" w:rsidRDefault="00513159" w:rsidP="00C6006F">
            <w:pPr>
              <w:pStyle w:val="TableTextLeft"/>
              <w:spacing w:before="20" w:after="20"/>
              <w:rPr>
                <w:rStyle w:val="Strong"/>
              </w:rPr>
            </w:pPr>
            <w:r w:rsidRPr="00C6006F">
              <w:rPr>
                <w:rStyle w:val="Strong"/>
              </w:rPr>
              <w:t>Evaluation delivery</w:t>
            </w:r>
          </w:p>
        </w:tc>
        <w:tc>
          <w:tcPr>
            <w:tcW w:w="1560" w:type="dxa"/>
          </w:tcPr>
          <w:p w14:paraId="693D76C6" w14:textId="77777777" w:rsidR="00513159" w:rsidRPr="00C6006F" w:rsidRDefault="00513159" w:rsidP="00C6006F">
            <w:pPr>
              <w:pStyle w:val="TableTextLeft"/>
              <w:spacing w:before="20" w:after="20"/>
              <w:rPr>
                <w:rStyle w:val="Strong"/>
              </w:rPr>
            </w:pPr>
          </w:p>
        </w:tc>
        <w:tc>
          <w:tcPr>
            <w:tcW w:w="1842" w:type="dxa"/>
          </w:tcPr>
          <w:p w14:paraId="76026E2E" w14:textId="77777777" w:rsidR="00513159" w:rsidRPr="00C6006F" w:rsidRDefault="00513159" w:rsidP="00C6006F">
            <w:pPr>
              <w:pStyle w:val="TableTextLeft"/>
              <w:spacing w:before="20" w:after="20"/>
              <w:rPr>
                <w:rStyle w:val="Strong"/>
              </w:rPr>
            </w:pPr>
          </w:p>
        </w:tc>
      </w:tr>
      <w:tr w:rsidR="00513159" w14:paraId="068FA296" w14:textId="77777777" w:rsidTr="00C6006F">
        <w:tc>
          <w:tcPr>
            <w:tcW w:w="5660" w:type="dxa"/>
          </w:tcPr>
          <w:p w14:paraId="6A93D26D" w14:textId="77777777" w:rsidR="00513159" w:rsidRPr="0064011C" w:rsidRDefault="00513159" w:rsidP="00C6006F">
            <w:pPr>
              <w:pStyle w:val="TableTextLeft"/>
              <w:spacing w:before="20" w:after="20"/>
            </w:pPr>
            <w:r w:rsidRPr="0064011C">
              <w:t>Does your agency use any defined processes to assure the quality of its evaluations? (Q. 15)</w:t>
            </w:r>
          </w:p>
        </w:tc>
        <w:tc>
          <w:tcPr>
            <w:tcW w:w="1560" w:type="dxa"/>
          </w:tcPr>
          <w:p w14:paraId="43FC8281" w14:textId="77777777" w:rsidR="00513159" w:rsidRPr="0064011C" w:rsidRDefault="00513159" w:rsidP="00C6006F">
            <w:pPr>
              <w:pStyle w:val="TableTextLeft"/>
              <w:spacing w:before="20" w:after="20"/>
            </w:pPr>
            <w:r>
              <w:t>50%</w:t>
            </w:r>
          </w:p>
        </w:tc>
        <w:tc>
          <w:tcPr>
            <w:tcW w:w="1842" w:type="dxa"/>
          </w:tcPr>
          <w:p w14:paraId="49275FB6" w14:textId="77777777" w:rsidR="00513159" w:rsidRPr="0064011C" w:rsidRDefault="00513159" w:rsidP="00C6006F">
            <w:pPr>
              <w:pStyle w:val="TableTextLeft"/>
              <w:spacing w:before="20" w:after="20"/>
            </w:pPr>
            <w:r w:rsidRPr="0064011C">
              <w:t>38%</w:t>
            </w:r>
          </w:p>
        </w:tc>
      </w:tr>
      <w:tr w:rsidR="00513159" w14:paraId="7624B6DF" w14:textId="77777777" w:rsidTr="00C6006F">
        <w:tc>
          <w:tcPr>
            <w:tcW w:w="5660" w:type="dxa"/>
          </w:tcPr>
          <w:p w14:paraId="4F5D0352" w14:textId="77777777" w:rsidR="00513159" w:rsidRPr="0064011C" w:rsidRDefault="00513159" w:rsidP="00C6006F">
            <w:pPr>
              <w:pStyle w:val="TableTextLeft"/>
              <w:spacing w:before="20" w:after="20"/>
            </w:pPr>
            <w:r w:rsidRPr="0064011C">
              <w:t>What proportion of evaluation work commences early in the policy/program cycle? (Q. 16)</w:t>
            </w:r>
          </w:p>
        </w:tc>
        <w:tc>
          <w:tcPr>
            <w:tcW w:w="1560" w:type="dxa"/>
          </w:tcPr>
          <w:p w14:paraId="3E554EC9" w14:textId="77777777" w:rsidR="00513159" w:rsidRPr="0064011C" w:rsidRDefault="00513159" w:rsidP="00C6006F">
            <w:pPr>
              <w:pStyle w:val="TableTextLeft"/>
              <w:spacing w:before="20" w:after="20"/>
            </w:pPr>
          </w:p>
        </w:tc>
        <w:tc>
          <w:tcPr>
            <w:tcW w:w="1842" w:type="dxa"/>
          </w:tcPr>
          <w:p w14:paraId="69BC415F" w14:textId="77777777" w:rsidR="00513159" w:rsidRPr="0064011C" w:rsidRDefault="00513159" w:rsidP="00C6006F">
            <w:pPr>
              <w:pStyle w:val="TableTextLeft"/>
              <w:spacing w:before="20" w:after="20"/>
            </w:pPr>
          </w:p>
        </w:tc>
      </w:tr>
      <w:tr w:rsidR="00513159" w14:paraId="0684C549" w14:textId="77777777" w:rsidTr="00C6006F">
        <w:tc>
          <w:tcPr>
            <w:tcW w:w="5660" w:type="dxa"/>
          </w:tcPr>
          <w:p w14:paraId="79886F49" w14:textId="3C1B9030" w:rsidR="00513159" w:rsidRPr="0064011C" w:rsidRDefault="00C6006F" w:rsidP="00C6006F">
            <w:pPr>
              <w:pStyle w:val="TableTextLeft"/>
              <w:spacing w:before="20" w:after="20"/>
            </w:pPr>
            <w:r w:rsidRPr="00C51975">
              <w:tab/>
            </w:r>
            <w:r w:rsidR="00513159" w:rsidRPr="0064011C">
              <w:t>Almost all evaluations (&gt;75%)</w:t>
            </w:r>
          </w:p>
        </w:tc>
        <w:tc>
          <w:tcPr>
            <w:tcW w:w="1560" w:type="dxa"/>
          </w:tcPr>
          <w:p w14:paraId="0222417A" w14:textId="77777777" w:rsidR="00513159" w:rsidRPr="0064011C" w:rsidRDefault="00513159" w:rsidP="00C6006F">
            <w:pPr>
              <w:pStyle w:val="TableTextLeft"/>
              <w:spacing w:before="20" w:after="20"/>
            </w:pPr>
            <w:r>
              <w:t>15%</w:t>
            </w:r>
          </w:p>
        </w:tc>
        <w:tc>
          <w:tcPr>
            <w:tcW w:w="1842" w:type="dxa"/>
          </w:tcPr>
          <w:p w14:paraId="7736A5D5" w14:textId="77777777" w:rsidR="00513159" w:rsidRPr="0064011C" w:rsidRDefault="00513159" w:rsidP="00C6006F">
            <w:pPr>
              <w:pStyle w:val="TableTextLeft"/>
              <w:spacing w:before="20" w:after="20"/>
            </w:pPr>
            <w:r w:rsidRPr="0064011C">
              <w:t>7%</w:t>
            </w:r>
          </w:p>
        </w:tc>
      </w:tr>
      <w:tr w:rsidR="00513159" w14:paraId="2717320A" w14:textId="77777777" w:rsidTr="00C6006F">
        <w:tc>
          <w:tcPr>
            <w:tcW w:w="5660" w:type="dxa"/>
          </w:tcPr>
          <w:p w14:paraId="2E91311A" w14:textId="2515991E" w:rsidR="00513159" w:rsidRPr="0064011C" w:rsidRDefault="00C6006F" w:rsidP="00C6006F">
            <w:pPr>
              <w:pStyle w:val="TableTextLeft"/>
              <w:spacing w:before="20" w:after="20"/>
            </w:pPr>
            <w:r w:rsidRPr="00C51975">
              <w:tab/>
            </w:r>
            <w:r w:rsidR="00513159" w:rsidRPr="0064011C">
              <w:t>Most evaluations (51%</w:t>
            </w:r>
            <w:r w:rsidR="00AD4DCC">
              <w:noBreakHyphen/>
            </w:r>
            <w:r w:rsidR="00513159" w:rsidRPr="0064011C">
              <w:t>74%)</w:t>
            </w:r>
          </w:p>
        </w:tc>
        <w:tc>
          <w:tcPr>
            <w:tcW w:w="1560" w:type="dxa"/>
          </w:tcPr>
          <w:p w14:paraId="13157309" w14:textId="77777777" w:rsidR="00513159" w:rsidRPr="0064011C" w:rsidRDefault="00513159" w:rsidP="00C6006F">
            <w:pPr>
              <w:pStyle w:val="TableTextLeft"/>
              <w:spacing w:before="20" w:after="20"/>
            </w:pPr>
            <w:r>
              <w:t>9%</w:t>
            </w:r>
          </w:p>
        </w:tc>
        <w:tc>
          <w:tcPr>
            <w:tcW w:w="1842" w:type="dxa"/>
          </w:tcPr>
          <w:p w14:paraId="38EAE9C6" w14:textId="77777777" w:rsidR="00513159" w:rsidRPr="0064011C" w:rsidRDefault="00513159" w:rsidP="00C6006F">
            <w:pPr>
              <w:pStyle w:val="TableTextLeft"/>
              <w:spacing w:before="20" w:after="20"/>
            </w:pPr>
            <w:r w:rsidRPr="0064011C">
              <w:t>11%</w:t>
            </w:r>
          </w:p>
        </w:tc>
      </w:tr>
      <w:tr w:rsidR="00513159" w14:paraId="12851753" w14:textId="77777777" w:rsidTr="00C6006F">
        <w:tc>
          <w:tcPr>
            <w:tcW w:w="5660" w:type="dxa"/>
          </w:tcPr>
          <w:p w14:paraId="3FE76CB2" w14:textId="69A46E12" w:rsidR="00513159" w:rsidRPr="0064011C" w:rsidRDefault="00C6006F" w:rsidP="00C6006F">
            <w:pPr>
              <w:pStyle w:val="TableTextLeft"/>
              <w:spacing w:before="20" w:after="20"/>
            </w:pPr>
            <w:r w:rsidRPr="00C51975">
              <w:tab/>
            </w:r>
            <w:r w:rsidR="00513159" w:rsidRPr="0064011C">
              <w:t>Some evaluations (26%</w:t>
            </w:r>
            <w:r w:rsidR="00AD4DCC">
              <w:noBreakHyphen/>
            </w:r>
            <w:r w:rsidR="00513159" w:rsidRPr="0064011C">
              <w:t>50%)</w:t>
            </w:r>
          </w:p>
        </w:tc>
        <w:tc>
          <w:tcPr>
            <w:tcW w:w="1560" w:type="dxa"/>
          </w:tcPr>
          <w:p w14:paraId="2C41B1F2" w14:textId="77777777" w:rsidR="00513159" w:rsidRPr="0064011C" w:rsidRDefault="00513159" w:rsidP="00C6006F">
            <w:pPr>
              <w:pStyle w:val="TableTextLeft"/>
              <w:spacing w:before="20" w:after="20"/>
            </w:pPr>
            <w:r>
              <w:t>23.5%</w:t>
            </w:r>
          </w:p>
        </w:tc>
        <w:tc>
          <w:tcPr>
            <w:tcW w:w="1842" w:type="dxa"/>
          </w:tcPr>
          <w:p w14:paraId="6F545D1D" w14:textId="77777777" w:rsidR="00513159" w:rsidRPr="0064011C" w:rsidRDefault="00513159" w:rsidP="00C6006F">
            <w:pPr>
              <w:pStyle w:val="TableTextLeft"/>
              <w:spacing w:before="20" w:after="20"/>
            </w:pPr>
            <w:r w:rsidRPr="0064011C">
              <w:t>18%</w:t>
            </w:r>
          </w:p>
        </w:tc>
      </w:tr>
      <w:tr w:rsidR="00513159" w14:paraId="0462F4B6" w14:textId="77777777" w:rsidTr="00C6006F">
        <w:tc>
          <w:tcPr>
            <w:tcW w:w="5660" w:type="dxa"/>
          </w:tcPr>
          <w:p w14:paraId="16DC9350" w14:textId="6256586C" w:rsidR="00513159" w:rsidRPr="0064011C" w:rsidRDefault="00C6006F" w:rsidP="00C6006F">
            <w:pPr>
              <w:pStyle w:val="TableTextLeft"/>
              <w:spacing w:before="20" w:after="20"/>
            </w:pPr>
            <w:r w:rsidRPr="00C51975">
              <w:tab/>
            </w:r>
            <w:r w:rsidR="00513159" w:rsidRPr="0064011C">
              <w:t>Very few evaluations (&lt;25%)</w:t>
            </w:r>
          </w:p>
        </w:tc>
        <w:tc>
          <w:tcPr>
            <w:tcW w:w="1560" w:type="dxa"/>
          </w:tcPr>
          <w:p w14:paraId="270C1478" w14:textId="77777777" w:rsidR="00513159" w:rsidRPr="0064011C" w:rsidRDefault="00513159" w:rsidP="00C6006F">
            <w:pPr>
              <w:pStyle w:val="TableTextLeft"/>
              <w:spacing w:before="20" w:after="20"/>
            </w:pPr>
            <w:r>
              <w:t>23.5%</w:t>
            </w:r>
          </w:p>
        </w:tc>
        <w:tc>
          <w:tcPr>
            <w:tcW w:w="1842" w:type="dxa"/>
          </w:tcPr>
          <w:p w14:paraId="157A001C" w14:textId="77777777" w:rsidR="00513159" w:rsidRPr="0064011C" w:rsidRDefault="00513159" w:rsidP="00C6006F">
            <w:pPr>
              <w:pStyle w:val="TableTextLeft"/>
              <w:spacing w:before="20" w:after="20"/>
            </w:pPr>
            <w:r w:rsidRPr="0064011C">
              <w:t>14%</w:t>
            </w:r>
          </w:p>
        </w:tc>
      </w:tr>
      <w:tr w:rsidR="00513159" w14:paraId="4B80AE77" w14:textId="77777777" w:rsidTr="00C6006F">
        <w:tc>
          <w:tcPr>
            <w:tcW w:w="5660" w:type="dxa"/>
          </w:tcPr>
          <w:p w14:paraId="6352A8FB" w14:textId="3BADC1D5" w:rsidR="00513159" w:rsidRPr="0064011C" w:rsidRDefault="00C6006F" w:rsidP="00C6006F">
            <w:pPr>
              <w:pStyle w:val="TableTextLeft"/>
              <w:spacing w:before="20" w:after="20"/>
            </w:pPr>
            <w:r w:rsidRPr="00C51975">
              <w:tab/>
            </w:r>
            <w:r w:rsidR="00513159" w:rsidRPr="0064011C">
              <w:t>N/A or unsure</w:t>
            </w:r>
          </w:p>
        </w:tc>
        <w:tc>
          <w:tcPr>
            <w:tcW w:w="1560" w:type="dxa"/>
          </w:tcPr>
          <w:p w14:paraId="75298E3B" w14:textId="77777777" w:rsidR="00513159" w:rsidRPr="0064011C" w:rsidRDefault="00513159" w:rsidP="00C6006F">
            <w:pPr>
              <w:pStyle w:val="TableTextLeft"/>
              <w:spacing w:before="20" w:after="20"/>
            </w:pPr>
            <w:r>
              <w:t>29%</w:t>
            </w:r>
          </w:p>
        </w:tc>
        <w:tc>
          <w:tcPr>
            <w:tcW w:w="1842" w:type="dxa"/>
          </w:tcPr>
          <w:p w14:paraId="56426099" w14:textId="77777777" w:rsidR="00513159" w:rsidRPr="0064011C" w:rsidRDefault="00513159" w:rsidP="00C6006F">
            <w:pPr>
              <w:pStyle w:val="TableTextLeft"/>
              <w:spacing w:before="20" w:after="20"/>
            </w:pPr>
            <w:r w:rsidRPr="0064011C">
              <w:t>50%</w:t>
            </w:r>
          </w:p>
        </w:tc>
      </w:tr>
      <w:tr w:rsidR="00513159" w14:paraId="3A48868E" w14:textId="77777777" w:rsidTr="00C6006F">
        <w:tc>
          <w:tcPr>
            <w:tcW w:w="5660" w:type="dxa"/>
          </w:tcPr>
          <w:p w14:paraId="22B1DFC0" w14:textId="77777777" w:rsidR="00513159" w:rsidRPr="0064011C" w:rsidRDefault="00513159" w:rsidP="00C6006F">
            <w:pPr>
              <w:pStyle w:val="TableTextLeft"/>
              <w:spacing w:before="20" w:after="20"/>
            </w:pPr>
            <w:r w:rsidRPr="0064011C">
              <w:t>Does your entity use external evaluation services? (Q. 17)</w:t>
            </w:r>
          </w:p>
        </w:tc>
        <w:tc>
          <w:tcPr>
            <w:tcW w:w="1560" w:type="dxa"/>
          </w:tcPr>
          <w:p w14:paraId="1CE19E65" w14:textId="77777777" w:rsidR="00513159" w:rsidRPr="0064011C" w:rsidRDefault="00513159" w:rsidP="00C6006F">
            <w:pPr>
              <w:pStyle w:val="TableTextLeft"/>
              <w:spacing w:before="20" w:after="20"/>
            </w:pPr>
          </w:p>
        </w:tc>
        <w:tc>
          <w:tcPr>
            <w:tcW w:w="1842" w:type="dxa"/>
          </w:tcPr>
          <w:p w14:paraId="168653C6" w14:textId="77777777" w:rsidR="00513159" w:rsidRPr="0064011C" w:rsidRDefault="00513159" w:rsidP="00C6006F">
            <w:pPr>
              <w:pStyle w:val="TableTextLeft"/>
              <w:spacing w:before="20" w:after="20"/>
            </w:pPr>
          </w:p>
        </w:tc>
      </w:tr>
      <w:tr w:rsidR="00513159" w14:paraId="31DF9058" w14:textId="77777777" w:rsidTr="00C6006F">
        <w:tc>
          <w:tcPr>
            <w:tcW w:w="5660" w:type="dxa"/>
          </w:tcPr>
          <w:p w14:paraId="0B5ED533" w14:textId="7666603D" w:rsidR="00513159" w:rsidRPr="0064011C" w:rsidRDefault="00C6006F" w:rsidP="00C6006F">
            <w:pPr>
              <w:pStyle w:val="TableTextLeft"/>
              <w:spacing w:before="20" w:after="20"/>
            </w:pPr>
            <w:r w:rsidRPr="00C51975">
              <w:tab/>
            </w:r>
            <w:r w:rsidR="00513159" w:rsidRPr="0064011C">
              <w:t>External service providers</w:t>
            </w:r>
          </w:p>
        </w:tc>
        <w:tc>
          <w:tcPr>
            <w:tcW w:w="1560" w:type="dxa"/>
          </w:tcPr>
          <w:p w14:paraId="5025B050" w14:textId="77777777" w:rsidR="00513159" w:rsidRPr="0064011C" w:rsidRDefault="00513159" w:rsidP="00C6006F">
            <w:pPr>
              <w:pStyle w:val="TableTextLeft"/>
              <w:spacing w:before="20" w:after="20"/>
            </w:pPr>
            <w:r>
              <w:t>73%</w:t>
            </w:r>
          </w:p>
        </w:tc>
        <w:tc>
          <w:tcPr>
            <w:tcW w:w="1842" w:type="dxa"/>
          </w:tcPr>
          <w:p w14:paraId="50E9BC09" w14:textId="77777777" w:rsidR="00513159" w:rsidRPr="0064011C" w:rsidRDefault="00513159" w:rsidP="00C6006F">
            <w:pPr>
              <w:pStyle w:val="TableTextLeft"/>
              <w:spacing w:before="20" w:after="20"/>
            </w:pPr>
            <w:r w:rsidRPr="0064011C">
              <w:t>59%</w:t>
            </w:r>
          </w:p>
        </w:tc>
      </w:tr>
      <w:tr w:rsidR="00513159" w14:paraId="49F0D793" w14:textId="77777777" w:rsidTr="00C6006F">
        <w:tc>
          <w:tcPr>
            <w:tcW w:w="5660" w:type="dxa"/>
          </w:tcPr>
          <w:p w14:paraId="68B14919" w14:textId="0E7A5A2F" w:rsidR="00513159" w:rsidRPr="0064011C" w:rsidRDefault="00C6006F" w:rsidP="00C6006F">
            <w:pPr>
              <w:pStyle w:val="TableTextLeft"/>
              <w:spacing w:before="20" w:after="20"/>
            </w:pPr>
            <w:r w:rsidRPr="00C51975">
              <w:tab/>
            </w:r>
            <w:r w:rsidR="00513159" w:rsidRPr="0064011C">
              <w:t>Evaluation is conducted in</w:t>
            </w:r>
            <w:r w:rsidR="00AD4DCC">
              <w:noBreakHyphen/>
            </w:r>
            <w:r w:rsidR="00513159" w:rsidRPr="0064011C">
              <w:t>house</w:t>
            </w:r>
          </w:p>
        </w:tc>
        <w:tc>
          <w:tcPr>
            <w:tcW w:w="1560" w:type="dxa"/>
          </w:tcPr>
          <w:p w14:paraId="744E28B5" w14:textId="77777777" w:rsidR="00513159" w:rsidRPr="0064011C" w:rsidRDefault="00513159" w:rsidP="00C6006F">
            <w:pPr>
              <w:pStyle w:val="TableTextLeft"/>
              <w:spacing w:before="20" w:after="20"/>
            </w:pPr>
            <w:r>
              <w:t>3%</w:t>
            </w:r>
          </w:p>
        </w:tc>
        <w:tc>
          <w:tcPr>
            <w:tcW w:w="1842" w:type="dxa"/>
          </w:tcPr>
          <w:p w14:paraId="757CA5C8" w14:textId="77777777" w:rsidR="00513159" w:rsidRPr="0064011C" w:rsidRDefault="00513159" w:rsidP="00C6006F">
            <w:pPr>
              <w:pStyle w:val="TableTextLeft"/>
              <w:spacing w:before="20" w:after="20"/>
            </w:pPr>
            <w:r w:rsidRPr="0064011C">
              <w:t>4.5%</w:t>
            </w:r>
          </w:p>
        </w:tc>
      </w:tr>
      <w:tr w:rsidR="00513159" w14:paraId="6799C98C" w14:textId="77777777" w:rsidTr="00C6006F">
        <w:tc>
          <w:tcPr>
            <w:tcW w:w="5660" w:type="dxa"/>
          </w:tcPr>
          <w:p w14:paraId="378B0E3A" w14:textId="5F8085D9" w:rsidR="00513159" w:rsidRPr="0064011C" w:rsidRDefault="00C6006F" w:rsidP="00C6006F">
            <w:pPr>
              <w:pStyle w:val="TableTextLeft"/>
              <w:spacing w:before="20" w:after="20"/>
            </w:pPr>
            <w:r w:rsidRPr="00C51975">
              <w:tab/>
            </w:r>
            <w:r w:rsidR="00513159" w:rsidRPr="0064011C">
              <w:t xml:space="preserve">Performance monitoring/reporting are used rather than </w:t>
            </w:r>
            <w:r w:rsidRPr="00C51975">
              <w:tab/>
            </w:r>
            <w:r w:rsidR="00513159" w:rsidRPr="0064011C">
              <w:t>evaluation</w:t>
            </w:r>
          </w:p>
        </w:tc>
        <w:tc>
          <w:tcPr>
            <w:tcW w:w="1560" w:type="dxa"/>
          </w:tcPr>
          <w:p w14:paraId="6CAD8928" w14:textId="77777777" w:rsidR="00513159" w:rsidRPr="0064011C" w:rsidRDefault="00513159" w:rsidP="00C6006F">
            <w:pPr>
              <w:pStyle w:val="TableTextLeft"/>
              <w:spacing w:before="20" w:after="20"/>
            </w:pPr>
            <w:r>
              <w:t>12%</w:t>
            </w:r>
          </w:p>
        </w:tc>
        <w:tc>
          <w:tcPr>
            <w:tcW w:w="1842" w:type="dxa"/>
          </w:tcPr>
          <w:p w14:paraId="5873A550" w14:textId="77777777" w:rsidR="00513159" w:rsidRPr="0064011C" w:rsidRDefault="00513159" w:rsidP="00C6006F">
            <w:pPr>
              <w:pStyle w:val="TableTextLeft"/>
              <w:spacing w:before="20" w:after="20"/>
            </w:pPr>
            <w:r w:rsidRPr="0064011C">
              <w:t>19%</w:t>
            </w:r>
          </w:p>
        </w:tc>
      </w:tr>
      <w:tr w:rsidR="00513159" w14:paraId="3E80F568" w14:textId="77777777" w:rsidTr="00C6006F">
        <w:tc>
          <w:tcPr>
            <w:tcW w:w="5660" w:type="dxa"/>
          </w:tcPr>
          <w:p w14:paraId="11D5F7BF" w14:textId="28B02455" w:rsidR="00513159" w:rsidRPr="0064011C" w:rsidRDefault="00C6006F" w:rsidP="00C6006F">
            <w:pPr>
              <w:pStyle w:val="TableTextLeft"/>
              <w:spacing w:before="20" w:after="20"/>
            </w:pPr>
            <w:r w:rsidRPr="00C51975">
              <w:tab/>
            </w:r>
            <w:r w:rsidR="00513159" w:rsidRPr="0064011C">
              <w:t>Other arrangements</w:t>
            </w:r>
          </w:p>
        </w:tc>
        <w:tc>
          <w:tcPr>
            <w:tcW w:w="1560" w:type="dxa"/>
          </w:tcPr>
          <w:p w14:paraId="588E25D7" w14:textId="77777777" w:rsidR="00513159" w:rsidRPr="0064011C" w:rsidRDefault="00513159" w:rsidP="00C6006F">
            <w:pPr>
              <w:pStyle w:val="TableTextLeft"/>
              <w:spacing w:before="20" w:after="20"/>
            </w:pPr>
            <w:r>
              <w:t>12%</w:t>
            </w:r>
          </w:p>
        </w:tc>
        <w:tc>
          <w:tcPr>
            <w:tcW w:w="1842" w:type="dxa"/>
          </w:tcPr>
          <w:p w14:paraId="604E7F92" w14:textId="77777777" w:rsidR="00513159" w:rsidRPr="0064011C" w:rsidRDefault="00513159" w:rsidP="00C6006F">
            <w:pPr>
              <w:pStyle w:val="TableTextLeft"/>
              <w:spacing w:before="20" w:after="20"/>
            </w:pPr>
            <w:r w:rsidRPr="0064011C">
              <w:t>12%</w:t>
            </w:r>
          </w:p>
        </w:tc>
      </w:tr>
      <w:tr w:rsidR="00513159" w14:paraId="66BA041F" w14:textId="77777777" w:rsidTr="00C6006F">
        <w:tc>
          <w:tcPr>
            <w:tcW w:w="5660" w:type="dxa"/>
          </w:tcPr>
          <w:p w14:paraId="745369CD" w14:textId="2EBAE2B0" w:rsidR="00513159" w:rsidRPr="0064011C" w:rsidRDefault="00C6006F" w:rsidP="00C6006F">
            <w:pPr>
              <w:pStyle w:val="TableTextLeft"/>
              <w:spacing w:before="20" w:after="20"/>
            </w:pPr>
            <w:r w:rsidRPr="00C51975">
              <w:tab/>
            </w:r>
            <w:r w:rsidR="00513159" w:rsidRPr="0064011C">
              <w:t>Evaluation is not undertaken at all</w:t>
            </w:r>
          </w:p>
        </w:tc>
        <w:tc>
          <w:tcPr>
            <w:tcW w:w="1560" w:type="dxa"/>
          </w:tcPr>
          <w:p w14:paraId="3F0EC134" w14:textId="77777777" w:rsidR="00513159" w:rsidRPr="0064011C" w:rsidRDefault="00513159" w:rsidP="00C6006F">
            <w:pPr>
              <w:pStyle w:val="TableTextLeft"/>
              <w:spacing w:before="20" w:after="20"/>
            </w:pPr>
            <w:r>
              <w:t>0%</w:t>
            </w:r>
          </w:p>
        </w:tc>
        <w:tc>
          <w:tcPr>
            <w:tcW w:w="1842" w:type="dxa"/>
          </w:tcPr>
          <w:p w14:paraId="3416B8BD" w14:textId="77777777" w:rsidR="00513159" w:rsidRPr="0064011C" w:rsidRDefault="00513159" w:rsidP="00C6006F">
            <w:pPr>
              <w:pStyle w:val="TableTextLeft"/>
              <w:spacing w:before="20" w:after="20"/>
            </w:pPr>
            <w:r w:rsidRPr="0064011C">
              <w:t>5.5%</w:t>
            </w:r>
          </w:p>
        </w:tc>
      </w:tr>
      <w:tr w:rsidR="00513159" w14:paraId="04DD465B" w14:textId="77777777" w:rsidTr="00C6006F">
        <w:tc>
          <w:tcPr>
            <w:tcW w:w="5660" w:type="dxa"/>
          </w:tcPr>
          <w:p w14:paraId="093D14D2" w14:textId="77777777" w:rsidR="00513159" w:rsidRPr="0064011C" w:rsidRDefault="00513159" w:rsidP="00C6006F">
            <w:pPr>
              <w:pStyle w:val="TableTextLeft"/>
              <w:spacing w:before="20" w:after="20"/>
            </w:pPr>
            <w:r w:rsidRPr="0064011C">
              <w:t>What proportion of evaluations are conducted by evaluators from outside your entity? (Q. 18)</w:t>
            </w:r>
          </w:p>
        </w:tc>
        <w:tc>
          <w:tcPr>
            <w:tcW w:w="1560" w:type="dxa"/>
          </w:tcPr>
          <w:p w14:paraId="075483ED" w14:textId="77777777" w:rsidR="00513159" w:rsidRPr="0064011C" w:rsidRDefault="00513159" w:rsidP="00C6006F">
            <w:pPr>
              <w:pStyle w:val="TableTextLeft"/>
              <w:spacing w:before="20" w:after="20"/>
            </w:pPr>
          </w:p>
        </w:tc>
        <w:tc>
          <w:tcPr>
            <w:tcW w:w="1842" w:type="dxa"/>
          </w:tcPr>
          <w:p w14:paraId="5055C116" w14:textId="77777777" w:rsidR="00513159" w:rsidRPr="0064011C" w:rsidRDefault="00513159" w:rsidP="00C6006F">
            <w:pPr>
              <w:pStyle w:val="TableTextLeft"/>
              <w:spacing w:before="20" w:after="20"/>
            </w:pPr>
          </w:p>
        </w:tc>
      </w:tr>
      <w:tr w:rsidR="00513159" w14:paraId="13831BF0" w14:textId="77777777" w:rsidTr="00C6006F">
        <w:tc>
          <w:tcPr>
            <w:tcW w:w="5660" w:type="dxa"/>
          </w:tcPr>
          <w:p w14:paraId="37E0D0F9" w14:textId="67D29BD6" w:rsidR="00513159" w:rsidRPr="0064011C" w:rsidRDefault="00C6006F" w:rsidP="00C6006F">
            <w:pPr>
              <w:pStyle w:val="TableTextLeft"/>
              <w:spacing w:before="20" w:after="20"/>
            </w:pPr>
            <w:r w:rsidRPr="00C51975">
              <w:tab/>
            </w:r>
            <w:r w:rsidR="00513159" w:rsidRPr="0064011C">
              <w:t>Almost all evaluations (&gt;75%)</w:t>
            </w:r>
          </w:p>
        </w:tc>
        <w:tc>
          <w:tcPr>
            <w:tcW w:w="1560" w:type="dxa"/>
          </w:tcPr>
          <w:p w14:paraId="46BDB7F9" w14:textId="77777777" w:rsidR="00513159" w:rsidRPr="0064011C" w:rsidRDefault="00513159" w:rsidP="00C6006F">
            <w:pPr>
              <w:pStyle w:val="TableTextLeft"/>
              <w:spacing w:before="20" w:after="20"/>
            </w:pPr>
            <w:r>
              <w:t>24%</w:t>
            </w:r>
          </w:p>
        </w:tc>
        <w:tc>
          <w:tcPr>
            <w:tcW w:w="1842" w:type="dxa"/>
          </w:tcPr>
          <w:p w14:paraId="7747AB4A" w14:textId="77777777" w:rsidR="00513159" w:rsidRPr="0064011C" w:rsidRDefault="00513159" w:rsidP="00C6006F">
            <w:pPr>
              <w:pStyle w:val="TableTextLeft"/>
              <w:spacing w:before="20" w:after="20"/>
            </w:pPr>
            <w:r w:rsidRPr="0064011C">
              <w:t>17%</w:t>
            </w:r>
          </w:p>
        </w:tc>
      </w:tr>
      <w:tr w:rsidR="00513159" w14:paraId="3449555C" w14:textId="77777777" w:rsidTr="00C6006F">
        <w:tc>
          <w:tcPr>
            <w:tcW w:w="5660" w:type="dxa"/>
          </w:tcPr>
          <w:p w14:paraId="27D388F3" w14:textId="673D5A45" w:rsidR="00513159" w:rsidRPr="0064011C" w:rsidRDefault="00C6006F" w:rsidP="00C6006F">
            <w:pPr>
              <w:pStyle w:val="TableTextLeft"/>
              <w:spacing w:before="20" w:after="20"/>
            </w:pPr>
            <w:r w:rsidRPr="00C51975">
              <w:tab/>
            </w:r>
            <w:r w:rsidR="00513159" w:rsidRPr="0064011C">
              <w:t>Most evaluations (51%</w:t>
            </w:r>
            <w:r w:rsidR="00AD4DCC">
              <w:noBreakHyphen/>
            </w:r>
            <w:r w:rsidR="00513159" w:rsidRPr="0064011C">
              <w:t>74%)</w:t>
            </w:r>
          </w:p>
        </w:tc>
        <w:tc>
          <w:tcPr>
            <w:tcW w:w="1560" w:type="dxa"/>
          </w:tcPr>
          <w:p w14:paraId="7939A60B" w14:textId="77777777" w:rsidR="00513159" w:rsidRPr="0064011C" w:rsidRDefault="00513159" w:rsidP="00C6006F">
            <w:pPr>
              <w:pStyle w:val="TableTextLeft"/>
              <w:spacing w:before="20" w:after="20"/>
            </w:pPr>
            <w:r>
              <w:t>3%</w:t>
            </w:r>
          </w:p>
        </w:tc>
        <w:tc>
          <w:tcPr>
            <w:tcW w:w="1842" w:type="dxa"/>
          </w:tcPr>
          <w:p w14:paraId="33A3F70C" w14:textId="77777777" w:rsidR="00513159" w:rsidRPr="0064011C" w:rsidRDefault="00513159" w:rsidP="00C6006F">
            <w:pPr>
              <w:pStyle w:val="TableTextLeft"/>
              <w:spacing w:before="20" w:after="20"/>
            </w:pPr>
            <w:r w:rsidRPr="0064011C">
              <w:t>5%</w:t>
            </w:r>
          </w:p>
        </w:tc>
      </w:tr>
      <w:tr w:rsidR="00513159" w14:paraId="46F621E7" w14:textId="77777777" w:rsidTr="00C6006F">
        <w:tc>
          <w:tcPr>
            <w:tcW w:w="5660" w:type="dxa"/>
          </w:tcPr>
          <w:p w14:paraId="7C5C87A1" w14:textId="07B10A43" w:rsidR="00513159" w:rsidRPr="0064011C" w:rsidRDefault="00C6006F" w:rsidP="00C6006F">
            <w:pPr>
              <w:pStyle w:val="TableTextLeft"/>
              <w:spacing w:before="20" w:after="20"/>
            </w:pPr>
            <w:r w:rsidRPr="00C51975">
              <w:tab/>
            </w:r>
            <w:r w:rsidR="00513159" w:rsidRPr="0064011C">
              <w:t>Some evaluations (26%</w:t>
            </w:r>
            <w:r w:rsidR="00AD4DCC">
              <w:noBreakHyphen/>
            </w:r>
            <w:r w:rsidR="00513159" w:rsidRPr="0064011C">
              <w:t>50%)</w:t>
            </w:r>
          </w:p>
        </w:tc>
        <w:tc>
          <w:tcPr>
            <w:tcW w:w="1560" w:type="dxa"/>
          </w:tcPr>
          <w:p w14:paraId="04CC2A32" w14:textId="77777777" w:rsidR="00513159" w:rsidRPr="0064011C" w:rsidRDefault="00513159" w:rsidP="00C6006F">
            <w:pPr>
              <w:pStyle w:val="TableTextLeft"/>
              <w:spacing w:before="20" w:after="20"/>
            </w:pPr>
            <w:r>
              <w:t>21%</w:t>
            </w:r>
          </w:p>
        </w:tc>
        <w:tc>
          <w:tcPr>
            <w:tcW w:w="1842" w:type="dxa"/>
          </w:tcPr>
          <w:p w14:paraId="277B79A3" w14:textId="77777777" w:rsidR="00513159" w:rsidRPr="0064011C" w:rsidRDefault="00513159" w:rsidP="00C6006F">
            <w:pPr>
              <w:pStyle w:val="TableTextLeft"/>
              <w:spacing w:before="20" w:after="20"/>
            </w:pPr>
            <w:r w:rsidRPr="0064011C">
              <w:t>43%</w:t>
            </w:r>
          </w:p>
        </w:tc>
      </w:tr>
      <w:tr w:rsidR="00513159" w14:paraId="70FF5C58" w14:textId="77777777" w:rsidTr="00C6006F">
        <w:tc>
          <w:tcPr>
            <w:tcW w:w="5660" w:type="dxa"/>
          </w:tcPr>
          <w:p w14:paraId="6B7F83E4" w14:textId="414BAC5D" w:rsidR="00513159" w:rsidRPr="0064011C" w:rsidRDefault="00C6006F" w:rsidP="00C6006F">
            <w:pPr>
              <w:pStyle w:val="TableTextLeft"/>
              <w:spacing w:before="20" w:after="20"/>
            </w:pPr>
            <w:r w:rsidRPr="00C51975">
              <w:tab/>
            </w:r>
            <w:r w:rsidR="00513159" w:rsidRPr="0064011C">
              <w:t>Very few evaluations (&lt;25%)</w:t>
            </w:r>
          </w:p>
        </w:tc>
        <w:tc>
          <w:tcPr>
            <w:tcW w:w="1560" w:type="dxa"/>
          </w:tcPr>
          <w:p w14:paraId="15F3AE07" w14:textId="77777777" w:rsidR="00513159" w:rsidRPr="0064011C" w:rsidRDefault="00513159" w:rsidP="00C6006F">
            <w:pPr>
              <w:pStyle w:val="TableTextLeft"/>
              <w:spacing w:before="20" w:after="20"/>
            </w:pPr>
            <w:r>
              <w:t>17%</w:t>
            </w:r>
          </w:p>
        </w:tc>
        <w:tc>
          <w:tcPr>
            <w:tcW w:w="1842" w:type="dxa"/>
          </w:tcPr>
          <w:p w14:paraId="4068011C" w14:textId="77777777" w:rsidR="00513159" w:rsidRPr="0064011C" w:rsidRDefault="00513159" w:rsidP="00C6006F">
            <w:pPr>
              <w:pStyle w:val="TableTextLeft"/>
              <w:spacing w:before="20" w:after="20"/>
            </w:pPr>
            <w:r w:rsidRPr="0064011C">
              <w:t>17%</w:t>
            </w:r>
          </w:p>
        </w:tc>
      </w:tr>
      <w:tr w:rsidR="00513159" w14:paraId="1C117BAE" w14:textId="77777777" w:rsidTr="00C6006F">
        <w:tc>
          <w:tcPr>
            <w:tcW w:w="5660" w:type="dxa"/>
          </w:tcPr>
          <w:p w14:paraId="0F869F9F" w14:textId="34891C6E" w:rsidR="00513159" w:rsidRPr="0064011C" w:rsidRDefault="00C6006F" w:rsidP="00C6006F">
            <w:pPr>
              <w:pStyle w:val="TableTextLeft"/>
              <w:spacing w:before="20" w:after="20"/>
            </w:pPr>
            <w:r w:rsidRPr="00C51975">
              <w:tab/>
            </w:r>
            <w:r w:rsidR="00513159" w:rsidRPr="0064011C">
              <w:t>N/A or unsure</w:t>
            </w:r>
          </w:p>
        </w:tc>
        <w:tc>
          <w:tcPr>
            <w:tcW w:w="1560" w:type="dxa"/>
          </w:tcPr>
          <w:p w14:paraId="3AA64FC8" w14:textId="77777777" w:rsidR="00513159" w:rsidRPr="0064011C" w:rsidRDefault="00513159" w:rsidP="00C6006F">
            <w:pPr>
              <w:pStyle w:val="TableTextLeft"/>
              <w:spacing w:before="20" w:after="20"/>
            </w:pPr>
            <w:r>
              <w:t>35%</w:t>
            </w:r>
          </w:p>
        </w:tc>
        <w:tc>
          <w:tcPr>
            <w:tcW w:w="1842" w:type="dxa"/>
          </w:tcPr>
          <w:p w14:paraId="194F8E44" w14:textId="77777777" w:rsidR="00513159" w:rsidRPr="0064011C" w:rsidRDefault="00513159" w:rsidP="00C6006F">
            <w:pPr>
              <w:pStyle w:val="TableTextLeft"/>
              <w:spacing w:before="20" w:after="20"/>
            </w:pPr>
            <w:r w:rsidRPr="0064011C">
              <w:t>18%</w:t>
            </w:r>
          </w:p>
        </w:tc>
      </w:tr>
      <w:tr w:rsidR="00513159" w14:paraId="441263A2" w14:textId="77777777" w:rsidTr="00C6006F">
        <w:tc>
          <w:tcPr>
            <w:tcW w:w="5660" w:type="dxa"/>
          </w:tcPr>
          <w:p w14:paraId="65C285CB" w14:textId="77777777" w:rsidR="00513159" w:rsidRPr="00C6006F" w:rsidRDefault="00513159" w:rsidP="00C6006F">
            <w:pPr>
              <w:pStyle w:val="TableTextLeft"/>
              <w:spacing w:before="20" w:after="20"/>
              <w:rPr>
                <w:rStyle w:val="Strong"/>
              </w:rPr>
            </w:pPr>
            <w:r w:rsidRPr="00C6006F">
              <w:rPr>
                <w:rStyle w:val="Strong"/>
              </w:rPr>
              <w:t>What are the motivations for evaluation within your entity? (please select all that apply) (Q. 19) *</w:t>
            </w:r>
          </w:p>
        </w:tc>
        <w:tc>
          <w:tcPr>
            <w:tcW w:w="1560" w:type="dxa"/>
          </w:tcPr>
          <w:p w14:paraId="7293B6CD" w14:textId="77777777" w:rsidR="00513159" w:rsidRPr="00C6006F" w:rsidRDefault="00513159" w:rsidP="00C6006F">
            <w:pPr>
              <w:pStyle w:val="TableTextLeft"/>
              <w:spacing w:before="20" w:after="20"/>
              <w:rPr>
                <w:rStyle w:val="Strong"/>
              </w:rPr>
            </w:pPr>
          </w:p>
        </w:tc>
        <w:tc>
          <w:tcPr>
            <w:tcW w:w="1842" w:type="dxa"/>
          </w:tcPr>
          <w:p w14:paraId="27D8D28E" w14:textId="77777777" w:rsidR="00513159" w:rsidRPr="00C6006F" w:rsidRDefault="00513159" w:rsidP="00C6006F">
            <w:pPr>
              <w:pStyle w:val="TableTextLeft"/>
              <w:spacing w:before="20" w:after="20"/>
              <w:rPr>
                <w:rStyle w:val="Strong"/>
              </w:rPr>
            </w:pPr>
          </w:p>
        </w:tc>
      </w:tr>
      <w:tr w:rsidR="00513159" w14:paraId="475F5F4F" w14:textId="77777777" w:rsidTr="00C6006F">
        <w:tc>
          <w:tcPr>
            <w:tcW w:w="5660" w:type="dxa"/>
          </w:tcPr>
          <w:p w14:paraId="108513B9" w14:textId="321F617F" w:rsidR="00513159" w:rsidRPr="0064011C" w:rsidRDefault="00C6006F" w:rsidP="00C6006F">
            <w:pPr>
              <w:pStyle w:val="TableTextLeft"/>
              <w:spacing w:before="20" w:after="20"/>
            </w:pPr>
            <w:r w:rsidRPr="00C51975">
              <w:tab/>
            </w:r>
            <w:r w:rsidR="00513159" w:rsidRPr="0064011C">
              <w:t>To improve implementation</w:t>
            </w:r>
          </w:p>
        </w:tc>
        <w:tc>
          <w:tcPr>
            <w:tcW w:w="1560" w:type="dxa"/>
          </w:tcPr>
          <w:p w14:paraId="5C5259D3" w14:textId="77777777" w:rsidR="00513159" w:rsidRPr="0064011C" w:rsidRDefault="00513159" w:rsidP="00C6006F">
            <w:pPr>
              <w:pStyle w:val="TableTextLeft"/>
              <w:spacing w:before="20" w:after="20"/>
            </w:pPr>
            <w:r>
              <w:t>88%</w:t>
            </w:r>
          </w:p>
        </w:tc>
        <w:tc>
          <w:tcPr>
            <w:tcW w:w="1842" w:type="dxa"/>
          </w:tcPr>
          <w:p w14:paraId="5E4CE7A4" w14:textId="77777777" w:rsidR="00513159" w:rsidRPr="0064011C" w:rsidRDefault="00513159" w:rsidP="00C6006F">
            <w:pPr>
              <w:pStyle w:val="TableTextLeft"/>
              <w:spacing w:before="20" w:after="20"/>
            </w:pPr>
            <w:r w:rsidRPr="0064011C">
              <w:t>77%</w:t>
            </w:r>
          </w:p>
        </w:tc>
      </w:tr>
      <w:tr w:rsidR="00513159" w14:paraId="6E6BF100" w14:textId="77777777" w:rsidTr="00C6006F">
        <w:tc>
          <w:tcPr>
            <w:tcW w:w="5660" w:type="dxa"/>
          </w:tcPr>
          <w:p w14:paraId="30D846A5" w14:textId="41BED527" w:rsidR="00513159" w:rsidRPr="0064011C" w:rsidRDefault="00C6006F" w:rsidP="00C6006F">
            <w:pPr>
              <w:pStyle w:val="TableTextLeft"/>
              <w:spacing w:before="20" w:after="20"/>
            </w:pPr>
            <w:r w:rsidRPr="00C51975">
              <w:tab/>
            </w:r>
            <w:r w:rsidR="00513159" w:rsidRPr="0064011C">
              <w:t>To enhance accountability</w:t>
            </w:r>
          </w:p>
        </w:tc>
        <w:tc>
          <w:tcPr>
            <w:tcW w:w="1560" w:type="dxa"/>
          </w:tcPr>
          <w:p w14:paraId="741B05D3" w14:textId="77777777" w:rsidR="00513159" w:rsidRPr="0064011C" w:rsidRDefault="00513159" w:rsidP="00C6006F">
            <w:pPr>
              <w:pStyle w:val="TableTextLeft"/>
              <w:spacing w:before="20" w:after="20"/>
            </w:pPr>
            <w:r>
              <w:t>76%</w:t>
            </w:r>
          </w:p>
        </w:tc>
        <w:tc>
          <w:tcPr>
            <w:tcW w:w="1842" w:type="dxa"/>
          </w:tcPr>
          <w:p w14:paraId="4BBB6058" w14:textId="77777777" w:rsidR="00513159" w:rsidRPr="0064011C" w:rsidRDefault="00513159" w:rsidP="00C6006F">
            <w:pPr>
              <w:pStyle w:val="TableTextLeft"/>
              <w:spacing w:before="20" w:after="20"/>
            </w:pPr>
            <w:r w:rsidRPr="0064011C">
              <w:t>67%</w:t>
            </w:r>
          </w:p>
        </w:tc>
      </w:tr>
      <w:tr w:rsidR="00513159" w14:paraId="13BE10E7" w14:textId="77777777" w:rsidTr="00C6006F">
        <w:tc>
          <w:tcPr>
            <w:tcW w:w="5660" w:type="dxa"/>
          </w:tcPr>
          <w:p w14:paraId="3E096F75" w14:textId="1F169226" w:rsidR="00513159" w:rsidRPr="0064011C" w:rsidRDefault="00C6006F" w:rsidP="00C6006F">
            <w:pPr>
              <w:pStyle w:val="TableTextLeft"/>
              <w:spacing w:before="20" w:after="20"/>
            </w:pPr>
            <w:r w:rsidRPr="00C51975">
              <w:tab/>
            </w:r>
            <w:r w:rsidR="00513159" w:rsidRPr="0064011C">
              <w:t>To promote transparency</w:t>
            </w:r>
          </w:p>
        </w:tc>
        <w:tc>
          <w:tcPr>
            <w:tcW w:w="1560" w:type="dxa"/>
          </w:tcPr>
          <w:p w14:paraId="0B05A90F" w14:textId="77777777" w:rsidR="00513159" w:rsidRPr="0064011C" w:rsidRDefault="00513159" w:rsidP="00C6006F">
            <w:pPr>
              <w:pStyle w:val="TableTextLeft"/>
              <w:spacing w:before="20" w:after="20"/>
            </w:pPr>
            <w:r>
              <w:t>65%</w:t>
            </w:r>
          </w:p>
        </w:tc>
        <w:tc>
          <w:tcPr>
            <w:tcW w:w="1842" w:type="dxa"/>
          </w:tcPr>
          <w:p w14:paraId="733357D9" w14:textId="77777777" w:rsidR="00513159" w:rsidRPr="0064011C" w:rsidRDefault="00513159" w:rsidP="00C6006F">
            <w:pPr>
              <w:pStyle w:val="TableTextLeft"/>
              <w:spacing w:before="20" w:after="20"/>
            </w:pPr>
            <w:r w:rsidRPr="0064011C">
              <w:t>63%</w:t>
            </w:r>
          </w:p>
        </w:tc>
      </w:tr>
      <w:tr w:rsidR="00513159" w14:paraId="637274B6" w14:textId="77777777" w:rsidTr="00C6006F">
        <w:tc>
          <w:tcPr>
            <w:tcW w:w="5660" w:type="dxa"/>
          </w:tcPr>
          <w:p w14:paraId="7D9B2523" w14:textId="358AD308" w:rsidR="00513159" w:rsidRPr="0064011C" w:rsidRDefault="00C6006F" w:rsidP="00C6006F">
            <w:pPr>
              <w:pStyle w:val="TableTextLeft"/>
              <w:spacing w:before="20" w:after="20"/>
            </w:pPr>
            <w:r w:rsidRPr="00C51975">
              <w:tab/>
            </w:r>
            <w:r w:rsidR="00513159">
              <w:t>To build greater knowledge</w:t>
            </w:r>
          </w:p>
        </w:tc>
        <w:tc>
          <w:tcPr>
            <w:tcW w:w="1560" w:type="dxa"/>
          </w:tcPr>
          <w:p w14:paraId="43ECAAE6" w14:textId="77777777" w:rsidR="00513159" w:rsidRPr="0064011C" w:rsidRDefault="00513159" w:rsidP="00C6006F">
            <w:pPr>
              <w:pStyle w:val="TableTextLeft"/>
              <w:spacing w:before="20" w:after="20"/>
            </w:pPr>
            <w:r>
              <w:t>68%</w:t>
            </w:r>
          </w:p>
        </w:tc>
        <w:tc>
          <w:tcPr>
            <w:tcW w:w="1842" w:type="dxa"/>
          </w:tcPr>
          <w:p w14:paraId="696504B5" w14:textId="77777777" w:rsidR="00513159" w:rsidRPr="0064011C" w:rsidRDefault="00513159" w:rsidP="00C6006F">
            <w:pPr>
              <w:pStyle w:val="TableTextLeft"/>
              <w:spacing w:before="20" w:after="20"/>
            </w:pPr>
            <w:r>
              <w:t>61%</w:t>
            </w:r>
          </w:p>
        </w:tc>
      </w:tr>
      <w:tr w:rsidR="00513159" w14:paraId="0F87DBD9" w14:textId="77777777" w:rsidTr="00C6006F">
        <w:tc>
          <w:tcPr>
            <w:tcW w:w="5660" w:type="dxa"/>
          </w:tcPr>
          <w:p w14:paraId="38F4459B" w14:textId="53079665" w:rsidR="00513159" w:rsidRPr="0064011C" w:rsidRDefault="00C6006F" w:rsidP="00C6006F">
            <w:pPr>
              <w:pStyle w:val="TableTextLeft"/>
              <w:spacing w:before="20" w:after="20"/>
            </w:pPr>
            <w:r w:rsidRPr="00C51975">
              <w:tab/>
            </w:r>
            <w:r w:rsidR="00513159" w:rsidRPr="0064011C">
              <w:t>To understand the impact of an intervention</w:t>
            </w:r>
          </w:p>
        </w:tc>
        <w:tc>
          <w:tcPr>
            <w:tcW w:w="1560" w:type="dxa"/>
          </w:tcPr>
          <w:p w14:paraId="0E1F1CD5" w14:textId="77777777" w:rsidR="00513159" w:rsidRPr="0064011C" w:rsidRDefault="00513159" w:rsidP="00C6006F">
            <w:pPr>
              <w:pStyle w:val="TableTextLeft"/>
              <w:spacing w:before="20" w:after="20"/>
            </w:pPr>
            <w:r>
              <w:t>71%</w:t>
            </w:r>
          </w:p>
        </w:tc>
        <w:tc>
          <w:tcPr>
            <w:tcW w:w="1842" w:type="dxa"/>
          </w:tcPr>
          <w:p w14:paraId="5AA1E2D5" w14:textId="77777777" w:rsidR="00513159" w:rsidRPr="0064011C" w:rsidRDefault="00513159" w:rsidP="00C6006F">
            <w:pPr>
              <w:pStyle w:val="TableTextLeft"/>
              <w:spacing w:before="20" w:after="20"/>
            </w:pPr>
            <w:r w:rsidRPr="0064011C">
              <w:t>55%</w:t>
            </w:r>
          </w:p>
        </w:tc>
      </w:tr>
      <w:tr w:rsidR="00513159" w14:paraId="11CB37D1" w14:textId="77777777" w:rsidTr="00C6006F">
        <w:tc>
          <w:tcPr>
            <w:tcW w:w="5660" w:type="dxa"/>
          </w:tcPr>
          <w:p w14:paraId="6A09DED5" w14:textId="790C9CEE" w:rsidR="00513159" w:rsidRPr="0064011C" w:rsidRDefault="00C6006F" w:rsidP="00C6006F">
            <w:pPr>
              <w:pStyle w:val="TableTextLeft"/>
              <w:spacing w:before="20" w:after="20"/>
            </w:pPr>
            <w:r w:rsidRPr="00C51975">
              <w:tab/>
            </w:r>
            <w:r w:rsidR="00513159" w:rsidRPr="0064011C">
              <w:t>To give stakeholders a voice</w:t>
            </w:r>
          </w:p>
        </w:tc>
        <w:tc>
          <w:tcPr>
            <w:tcW w:w="1560" w:type="dxa"/>
          </w:tcPr>
          <w:p w14:paraId="17B68AC4" w14:textId="77777777" w:rsidR="00513159" w:rsidRPr="0064011C" w:rsidRDefault="00513159" w:rsidP="00C6006F">
            <w:pPr>
              <w:pStyle w:val="TableTextLeft"/>
              <w:spacing w:before="20" w:after="20"/>
            </w:pPr>
            <w:r>
              <w:t>59%</w:t>
            </w:r>
          </w:p>
        </w:tc>
        <w:tc>
          <w:tcPr>
            <w:tcW w:w="1842" w:type="dxa"/>
          </w:tcPr>
          <w:p w14:paraId="50F63E92" w14:textId="77777777" w:rsidR="00513159" w:rsidRPr="0064011C" w:rsidRDefault="00513159" w:rsidP="00C6006F">
            <w:pPr>
              <w:pStyle w:val="TableTextLeft"/>
              <w:spacing w:before="20" w:after="20"/>
            </w:pPr>
            <w:r w:rsidRPr="0064011C">
              <w:t>51%</w:t>
            </w:r>
          </w:p>
        </w:tc>
      </w:tr>
      <w:tr w:rsidR="00513159" w14:paraId="70F901BD" w14:textId="77777777" w:rsidTr="00C6006F">
        <w:tc>
          <w:tcPr>
            <w:tcW w:w="5660" w:type="dxa"/>
          </w:tcPr>
          <w:p w14:paraId="3C28F90F" w14:textId="0B57A700" w:rsidR="00513159" w:rsidRPr="0064011C" w:rsidRDefault="00C6006F" w:rsidP="00C6006F">
            <w:pPr>
              <w:pStyle w:val="TableTextLeft"/>
              <w:spacing w:before="20" w:after="20"/>
            </w:pPr>
            <w:r w:rsidRPr="00C51975">
              <w:tab/>
            </w:r>
            <w:r w:rsidR="00513159" w:rsidRPr="004527B2">
              <w:t>To help plan future interventions</w:t>
            </w:r>
          </w:p>
        </w:tc>
        <w:tc>
          <w:tcPr>
            <w:tcW w:w="1560" w:type="dxa"/>
          </w:tcPr>
          <w:p w14:paraId="0AE78DC4" w14:textId="77777777" w:rsidR="00513159" w:rsidRPr="0064011C" w:rsidRDefault="00513159" w:rsidP="00C6006F">
            <w:pPr>
              <w:pStyle w:val="TableTextLeft"/>
              <w:spacing w:before="20" w:after="20"/>
            </w:pPr>
            <w:r>
              <w:t>62%</w:t>
            </w:r>
          </w:p>
        </w:tc>
        <w:tc>
          <w:tcPr>
            <w:tcW w:w="1842" w:type="dxa"/>
          </w:tcPr>
          <w:p w14:paraId="70365F75" w14:textId="77777777" w:rsidR="00513159" w:rsidRPr="0064011C" w:rsidRDefault="00513159" w:rsidP="00C6006F">
            <w:pPr>
              <w:pStyle w:val="TableTextLeft"/>
              <w:spacing w:before="20" w:after="20"/>
            </w:pPr>
            <w:r w:rsidRPr="00E257B9">
              <w:t>4</w:t>
            </w:r>
            <w:r>
              <w:t>9%</w:t>
            </w:r>
          </w:p>
        </w:tc>
      </w:tr>
      <w:tr w:rsidR="00513159" w14:paraId="5BCBD6B0" w14:textId="77777777" w:rsidTr="00C6006F">
        <w:tc>
          <w:tcPr>
            <w:tcW w:w="5660" w:type="dxa"/>
          </w:tcPr>
          <w:p w14:paraId="1BC4A1C7" w14:textId="699123F0" w:rsidR="00513159" w:rsidRPr="0064011C" w:rsidRDefault="00C6006F" w:rsidP="00C6006F">
            <w:pPr>
              <w:pStyle w:val="TableTextLeft"/>
              <w:spacing w:before="20" w:after="20"/>
            </w:pPr>
            <w:r w:rsidRPr="00C51975">
              <w:tab/>
            </w:r>
            <w:r w:rsidR="00513159" w:rsidRPr="004527B2">
              <w:t>To meet legislative requirements</w:t>
            </w:r>
          </w:p>
        </w:tc>
        <w:tc>
          <w:tcPr>
            <w:tcW w:w="1560" w:type="dxa"/>
          </w:tcPr>
          <w:p w14:paraId="617F1B58" w14:textId="77777777" w:rsidR="00513159" w:rsidRPr="0064011C" w:rsidRDefault="00513159" w:rsidP="00C6006F">
            <w:pPr>
              <w:pStyle w:val="TableTextLeft"/>
              <w:spacing w:before="20" w:after="20"/>
            </w:pPr>
            <w:r>
              <w:t>59%</w:t>
            </w:r>
          </w:p>
        </w:tc>
        <w:tc>
          <w:tcPr>
            <w:tcW w:w="1842" w:type="dxa"/>
          </w:tcPr>
          <w:p w14:paraId="6448E6D1" w14:textId="77777777" w:rsidR="00513159" w:rsidRPr="0064011C" w:rsidRDefault="00513159" w:rsidP="00C6006F">
            <w:pPr>
              <w:pStyle w:val="TableTextLeft"/>
              <w:spacing w:before="20" w:after="20"/>
            </w:pPr>
            <w:r w:rsidRPr="00E257B9">
              <w:t>45</w:t>
            </w:r>
            <w:r>
              <w:t>%</w:t>
            </w:r>
          </w:p>
        </w:tc>
      </w:tr>
      <w:tr w:rsidR="00513159" w14:paraId="02699026" w14:textId="77777777" w:rsidTr="00C6006F">
        <w:tc>
          <w:tcPr>
            <w:tcW w:w="5660" w:type="dxa"/>
          </w:tcPr>
          <w:p w14:paraId="35F7F3F5" w14:textId="5A8D0E8E" w:rsidR="00513159" w:rsidRPr="0064011C" w:rsidRDefault="00C6006F" w:rsidP="00C6006F">
            <w:pPr>
              <w:pStyle w:val="TableTextLeft"/>
              <w:spacing w:before="20" w:after="20"/>
            </w:pPr>
            <w:r w:rsidRPr="00C51975">
              <w:tab/>
            </w:r>
            <w:r w:rsidR="00513159" w:rsidRPr="004527B2">
              <w:t>To assess whether a program is needed</w:t>
            </w:r>
          </w:p>
        </w:tc>
        <w:tc>
          <w:tcPr>
            <w:tcW w:w="1560" w:type="dxa"/>
          </w:tcPr>
          <w:p w14:paraId="0456C590" w14:textId="77777777" w:rsidR="00513159" w:rsidRPr="0064011C" w:rsidRDefault="00513159" w:rsidP="00C6006F">
            <w:pPr>
              <w:pStyle w:val="TableTextLeft"/>
              <w:spacing w:before="20" w:after="20"/>
            </w:pPr>
            <w:r>
              <w:t>68%</w:t>
            </w:r>
          </w:p>
        </w:tc>
        <w:tc>
          <w:tcPr>
            <w:tcW w:w="1842" w:type="dxa"/>
          </w:tcPr>
          <w:p w14:paraId="0FE5EAB3" w14:textId="77777777" w:rsidR="00513159" w:rsidRPr="0064011C" w:rsidRDefault="00513159" w:rsidP="00C6006F">
            <w:pPr>
              <w:pStyle w:val="TableTextLeft"/>
              <w:spacing w:before="20" w:after="20"/>
            </w:pPr>
            <w:r w:rsidRPr="00E257B9">
              <w:t>43</w:t>
            </w:r>
            <w:r>
              <w:t>%</w:t>
            </w:r>
          </w:p>
        </w:tc>
      </w:tr>
      <w:tr w:rsidR="00513159" w14:paraId="1E90EF07" w14:textId="77777777" w:rsidTr="00C6006F">
        <w:tc>
          <w:tcPr>
            <w:tcW w:w="5660" w:type="dxa"/>
          </w:tcPr>
          <w:p w14:paraId="26CBC159" w14:textId="400EE8C5" w:rsidR="00513159" w:rsidRPr="0064011C" w:rsidRDefault="00C6006F" w:rsidP="00C6006F">
            <w:pPr>
              <w:pStyle w:val="TableTextLeft"/>
              <w:spacing w:before="20" w:after="20"/>
            </w:pPr>
            <w:r w:rsidRPr="00C51975">
              <w:tab/>
            </w:r>
            <w:r w:rsidR="00513159" w:rsidRPr="004527B2">
              <w:t>To identify innovative solutions</w:t>
            </w:r>
          </w:p>
        </w:tc>
        <w:tc>
          <w:tcPr>
            <w:tcW w:w="1560" w:type="dxa"/>
          </w:tcPr>
          <w:p w14:paraId="71C52802" w14:textId="77777777" w:rsidR="00513159" w:rsidRPr="0064011C" w:rsidRDefault="00513159" w:rsidP="00C6006F">
            <w:pPr>
              <w:pStyle w:val="TableTextLeft"/>
              <w:spacing w:before="20" w:after="20"/>
            </w:pPr>
            <w:r>
              <w:t>53%</w:t>
            </w:r>
          </w:p>
        </w:tc>
        <w:tc>
          <w:tcPr>
            <w:tcW w:w="1842" w:type="dxa"/>
          </w:tcPr>
          <w:p w14:paraId="339CB9CE" w14:textId="77777777" w:rsidR="00513159" w:rsidRPr="0064011C" w:rsidRDefault="00513159" w:rsidP="00C6006F">
            <w:pPr>
              <w:pStyle w:val="TableTextLeft"/>
              <w:spacing w:before="20" w:after="20"/>
            </w:pPr>
            <w:r w:rsidRPr="00E257B9">
              <w:t>41</w:t>
            </w:r>
            <w:r>
              <w:t>%</w:t>
            </w:r>
          </w:p>
        </w:tc>
      </w:tr>
      <w:tr w:rsidR="00513159" w14:paraId="1FB61895" w14:textId="77777777" w:rsidTr="00C6006F">
        <w:tc>
          <w:tcPr>
            <w:tcW w:w="5660" w:type="dxa"/>
          </w:tcPr>
          <w:p w14:paraId="392E9531" w14:textId="32EE940C" w:rsidR="00513159" w:rsidRPr="0064011C" w:rsidRDefault="00C6006F" w:rsidP="00C6006F">
            <w:pPr>
              <w:pStyle w:val="TableTextLeft"/>
              <w:spacing w:before="20" w:after="20"/>
            </w:pPr>
            <w:r w:rsidRPr="00C51975">
              <w:tab/>
            </w:r>
            <w:r w:rsidR="00513159" w:rsidRPr="004527B2">
              <w:t>To seek funding renewal</w:t>
            </w:r>
          </w:p>
        </w:tc>
        <w:tc>
          <w:tcPr>
            <w:tcW w:w="1560" w:type="dxa"/>
          </w:tcPr>
          <w:p w14:paraId="4B1E54BD" w14:textId="77777777" w:rsidR="00513159" w:rsidRPr="0064011C" w:rsidRDefault="00513159" w:rsidP="00C6006F">
            <w:pPr>
              <w:pStyle w:val="TableTextLeft"/>
              <w:spacing w:before="20" w:after="20"/>
            </w:pPr>
            <w:r>
              <w:t>62%</w:t>
            </w:r>
          </w:p>
        </w:tc>
        <w:tc>
          <w:tcPr>
            <w:tcW w:w="1842" w:type="dxa"/>
          </w:tcPr>
          <w:p w14:paraId="65A5ABA0" w14:textId="77777777" w:rsidR="00513159" w:rsidRPr="0064011C" w:rsidRDefault="00513159" w:rsidP="00C6006F">
            <w:pPr>
              <w:pStyle w:val="TableTextLeft"/>
              <w:spacing w:before="20" w:after="20"/>
            </w:pPr>
            <w:r>
              <w:t>40%</w:t>
            </w:r>
          </w:p>
        </w:tc>
      </w:tr>
      <w:tr w:rsidR="00513159" w14:paraId="3A675E96" w14:textId="77777777" w:rsidTr="00C6006F">
        <w:tc>
          <w:tcPr>
            <w:tcW w:w="5660" w:type="dxa"/>
          </w:tcPr>
          <w:p w14:paraId="27D9BE7C" w14:textId="7F22566D" w:rsidR="00513159" w:rsidRPr="0064011C" w:rsidRDefault="00C6006F" w:rsidP="00C6006F">
            <w:pPr>
              <w:pStyle w:val="TableTextLeft"/>
              <w:spacing w:before="20" w:after="20"/>
            </w:pPr>
            <w:r w:rsidRPr="00C51975">
              <w:tab/>
            </w:r>
            <w:r w:rsidR="00513159" w:rsidRPr="004527B2">
              <w:t>To consider service expansion</w:t>
            </w:r>
          </w:p>
        </w:tc>
        <w:tc>
          <w:tcPr>
            <w:tcW w:w="1560" w:type="dxa"/>
          </w:tcPr>
          <w:p w14:paraId="676D50EB" w14:textId="77777777" w:rsidR="00513159" w:rsidRPr="0064011C" w:rsidRDefault="00513159" w:rsidP="00C6006F">
            <w:pPr>
              <w:pStyle w:val="TableTextLeft"/>
              <w:spacing w:before="20" w:after="20"/>
            </w:pPr>
            <w:r>
              <w:t>50%</w:t>
            </w:r>
          </w:p>
        </w:tc>
        <w:tc>
          <w:tcPr>
            <w:tcW w:w="1842" w:type="dxa"/>
          </w:tcPr>
          <w:p w14:paraId="67C63836" w14:textId="77777777" w:rsidR="00513159" w:rsidRPr="0064011C" w:rsidRDefault="00513159" w:rsidP="00C6006F">
            <w:pPr>
              <w:pStyle w:val="TableTextLeft"/>
              <w:spacing w:before="20" w:after="20"/>
            </w:pPr>
            <w:r w:rsidRPr="00E257B9">
              <w:t>3</w:t>
            </w:r>
            <w:r>
              <w:t>1%</w:t>
            </w:r>
          </w:p>
        </w:tc>
      </w:tr>
      <w:tr w:rsidR="00513159" w14:paraId="0B829848" w14:textId="77777777" w:rsidTr="00C6006F">
        <w:tc>
          <w:tcPr>
            <w:tcW w:w="5660" w:type="dxa"/>
          </w:tcPr>
          <w:p w14:paraId="2AA47AB5" w14:textId="1C5C1C91" w:rsidR="00513159" w:rsidRPr="0064011C" w:rsidRDefault="00C6006F" w:rsidP="00C6006F">
            <w:pPr>
              <w:pStyle w:val="TableTextLeft"/>
              <w:spacing w:before="20" w:after="20"/>
            </w:pPr>
            <w:r w:rsidRPr="00C51975">
              <w:tab/>
            </w:r>
            <w:r w:rsidR="00513159" w:rsidRPr="004527B2">
              <w:t>To reduce waste</w:t>
            </w:r>
          </w:p>
        </w:tc>
        <w:tc>
          <w:tcPr>
            <w:tcW w:w="1560" w:type="dxa"/>
          </w:tcPr>
          <w:p w14:paraId="03043FE8" w14:textId="77777777" w:rsidR="00513159" w:rsidRPr="0064011C" w:rsidRDefault="00513159" w:rsidP="00C6006F">
            <w:pPr>
              <w:pStyle w:val="TableTextLeft"/>
              <w:spacing w:before="20" w:after="20"/>
            </w:pPr>
            <w:r>
              <w:t>47%</w:t>
            </w:r>
          </w:p>
        </w:tc>
        <w:tc>
          <w:tcPr>
            <w:tcW w:w="1842" w:type="dxa"/>
          </w:tcPr>
          <w:p w14:paraId="55146C11" w14:textId="77777777" w:rsidR="00513159" w:rsidRPr="0064011C" w:rsidRDefault="00513159" w:rsidP="00C6006F">
            <w:pPr>
              <w:pStyle w:val="TableTextLeft"/>
              <w:spacing w:before="20" w:after="20"/>
            </w:pPr>
            <w:r w:rsidRPr="00E257B9">
              <w:t>23</w:t>
            </w:r>
            <w:r>
              <w:t>%</w:t>
            </w:r>
          </w:p>
        </w:tc>
      </w:tr>
      <w:tr w:rsidR="00513159" w14:paraId="4E81003E" w14:textId="77777777" w:rsidTr="00C6006F">
        <w:tc>
          <w:tcPr>
            <w:tcW w:w="5660" w:type="dxa"/>
          </w:tcPr>
          <w:p w14:paraId="2C18ACF1" w14:textId="2F19C44F" w:rsidR="00513159" w:rsidRPr="004D4A11" w:rsidRDefault="00C6006F" w:rsidP="00C6006F">
            <w:pPr>
              <w:pStyle w:val="TableTextLeft"/>
              <w:spacing w:before="20" w:after="20"/>
            </w:pPr>
            <w:r w:rsidRPr="00C51975">
              <w:tab/>
            </w:r>
            <w:r w:rsidR="00513159" w:rsidRPr="004D4A11">
              <w:t>N/A or unsure</w:t>
            </w:r>
          </w:p>
        </w:tc>
        <w:tc>
          <w:tcPr>
            <w:tcW w:w="1560" w:type="dxa"/>
          </w:tcPr>
          <w:p w14:paraId="49AF6886" w14:textId="77777777" w:rsidR="00513159" w:rsidRPr="0064011C" w:rsidRDefault="00513159" w:rsidP="00C6006F">
            <w:pPr>
              <w:pStyle w:val="TableTextLeft"/>
              <w:spacing w:before="20" w:after="20"/>
            </w:pPr>
            <w:r>
              <w:t>9%</w:t>
            </w:r>
          </w:p>
        </w:tc>
        <w:tc>
          <w:tcPr>
            <w:tcW w:w="1842" w:type="dxa"/>
          </w:tcPr>
          <w:p w14:paraId="6949C7C0" w14:textId="77777777" w:rsidR="00513159" w:rsidRPr="0064011C" w:rsidRDefault="00513159" w:rsidP="00C6006F">
            <w:pPr>
              <w:pStyle w:val="TableTextLeft"/>
              <w:spacing w:before="20" w:after="20"/>
            </w:pPr>
            <w:r w:rsidRPr="00E257B9">
              <w:t>1</w:t>
            </w:r>
            <w:r>
              <w:t>6%</w:t>
            </w:r>
          </w:p>
        </w:tc>
      </w:tr>
    </w:tbl>
    <w:p w14:paraId="6C085D10" w14:textId="2A7A9C85" w:rsidR="004E3B10" w:rsidRDefault="0041177D" w:rsidP="009C5393">
      <w:pPr>
        <w:pStyle w:val="ChartMainHeading"/>
        <w:jc w:val="left"/>
      </w:pPr>
      <w:r w:rsidRPr="00297621">
        <w:lastRenderedPageBreak/>
        <w:t>Table</w:t>
      </w:r>
      <w:r w:rsidR="009C5393">
        <w:t xml:space="preserve"> 3</w:t>
      </w:r>
      <w:r w:rsidRPr="00213DBC">
        <w:t>: Survey results table</w:t>
      </w:r>
      <w:r>
        <w:t xml:space="preserve"> (continued)</w:t>
      </w:r>
    </w:p>
    <w:tbl>
      <w:tblPr>
        <w:tblStyle w:val="TableGrid"/>
        <w:tblW w:w="9062" w:type="dxa"/>
        <w:tblBorders>
          <w:top w:val="single" w:sz="8" w:space="0" w:color="213657"/>
          <w:left w:val="single" w:sz="8" w:space="0" w:color="213657"/>
          <w:bottom w:val="single" w:sz="8" w:space="0" w:color="213657"/>
          <w:right w:val="single" w:sz="8" w:space="0" w:color="213657"/>
          <w:insideH w:val="single" w:sz="8" w:space="0" w:color="213657"/>
          <w:insideV w:val="single" w:sz="8" w:space="0" w:color="213657"/>
        </w:tblBorders>
        <w:tblLook w:val="04A0" w:firstRow="1" w:lastRow="0" w:firstColumn="1" w:lastColumn="0" w:noHBand="0" w:noVBand="1"/>
      </w:tblPr>
      <w:tblGrid>
        <w:gridCol w:w="5660"/>
        <w:gridCol w:w="1560"/>
        <w:gridCol w:w="1842"/>
      </w:tblGrid>
      <w:tr w:rsidR="004E3B10" w:rsidRPr="00CB544B" w14:paraId="5D430EA2" w14:textId="77777777">
        <w:trPr>
          <w:cnfStyle w:val="100000000000" w:firstRow="1" w:lastRow="0" w:firstColumn="0" w:lastColumn="0" w:oddVBand="0" w:evenVBand="0" w:oddHBand="0" w:evenHBand="0" w:firstRowFirstColumn="0" w:firstRowLastColumn="0" w:lastRowFirstColumn="0" w:lastRowLastColumn="0"/>
          <w:tblHeader/>
        </w:trPr>
        <w:tc>
          <w:tcPr>
            <w:tcW w:w="5660" w:type="dxa"/>
            <w:shd w:val="clear" w:color="auto" w:fill="213657"/>
          </w:tcPr>
          <w:p w14:paraId="29F2B778" w14:textId="77777777" w:rsidR="004E3B10" w:rsidRPr="00C6006F" w:rsidRDefault="004E3B10">
            <w:pPr>
              <w:pStyle w:val="TableColumnHeadingLeft"/>
              <w:rPr>
                <w:b/>
                <w:bCs/>
                <w:color w:val="FFFFFF" w:themeColor="background1"/>
              </w:rPr>
            </w:pPr>
            <w:r w:rsidRPr="00C6006F">
              <w:rPr>
                <w:b/>
                <w:bCs/>
                <w:color w:val="FFFFFF" w:themeColor="background1"/>
              </w:rPr>
              <w:t>Survey question</w:t>
            </w:r>
          </w:p>
        </w:tc>
        <w:tc>
          <w:tcPr>
            <w:tcW w:w="1560" w:type="dxa"/>
            <w:shd w:val="clear" w:color="auto" w:fill="213657"/>
          </w:tcPr>
          <w:p w14:paraId="5F7541F8" w14:textId="77777777" w:rsidR="004E3B10" w:rsidRPr="00C6006F" w:rsidRDefault="004E3B10">
            <w:pPr>
              <w:pStyle w:val="TableColumnHeadingLeft"/>
              <w:rPr>
                <w:b/>
                <w:bCs/>
                <w:color w:val="FFFFFF" w:themeColor="background1"/>
              </w:rPr>
            </w:pPr>
            <w:r w:rsidRPr="00C6006F">
              <w:rPr>
                <w:b/>
                <w:bCs/>
                <w:color w:val="FFFFFF" w:themeColor="background1"/>
              </w:rPr>
              <w:t xml:space="preserve">Large entities </w:t>
            </w:r>
            <w:r>
              <w:rPr>
                <w:b/>
                <w:bCs/>
                <w:color w:val="FFFFFF" w:themeColor="background1"/>
              </w:rPr>
              <w:br/>
            </w:r>
            <w:r w:rsidRPr="00C6006F">
              <w:rPr>
                <w:b/>
                <w:bCs/>
                <w:color w:val="FFFFFF" w:themeColor="background1"/>
              </w:rPr>
              <w:t>(n = 34, if not specified otherwise)</w:t>
            </w:r>
          </w:p>
        </w:tc>
        <w:tc>
          <w:tcPr>
            <w:tcW w:w="1842" w:type="dxa"/>
            <w:shd w:val="clear" w:color="auto" w:fill="213657"/>
          </w:tcPr>
          <w:p w14:paraId="3070BCF5" w14:textId="77777777" w:rsidR="004E3B10" w:rsidRPr="00C6006F" w:rsidRDefault="004E3B10">
            <w:pPr>
              <w:pStyle w:val="TableColumnHeadingLeft"/>
              <w:rPr>
                <w:b/>
                <w:bCs/>
                <w:color w:val="FFFFFF" w:themeColor="background1"/>
              </w:rPr>
            </w:pPr>
            <w:r w:rsidRPr="00C6006F">
              <w:rPr>
                <w:b/>
                <w:bCs/>
                <w:color w:val="FFFFFF" w:themeColor="background1"/>
              </w:rPr>
              <w:t xml:space="preserve">Overall Proportion </w:t>
            </w:r>
          </w:p>
          <w:p w14:paraId="700DD220" w14:textId="77777777" w:rsidR="004E3B10" w:rsidRPr="00C6006F" w:rsidRDefault="004E3B10">
            <w:pPr>
              <w:pStyle w:val="TableColumnHeadingLeft"/>
              <w:rPr>
                <w:b/>
                <w:bCs/>
                <w:color w:val="FFFFFF" w:themeColor="background1"/>
              </w:rPr>
            </w:pPr>
            <w:r w:rsidRPr="00C6006F">
              <w:rPr>
                <w:b/>
                <w:bCs/>
                <w:color w:val="FFFFFF" w:themeColor="background1"/>
              </w:rPr>
              <w:t>(n = 92, if not specified otherwise)</w:t>
            </w:r>
          </w:p>
        </w:tc>
      </w:tr>
      <w:tr w:rsidR="00513159" w14:paraId="57E9B69D" w14:textId="77777777" w:rsidTr="00C6006F">
        <w:tc>
          <w:tcPr>
            <w:tcW w:w="5660" w:type="dxa"/>
          </w:tcPr>
          <w:p w14:paraId="45F32F27" w14:textId="6FBD61FB" w:rsidR="00513159" w:rsidRPr="00C6006F" w:rsidRDefault="00513159" w:rsidP="00C6006F">
            <w:pPr>
              <w:pStyle w:val="TableTextLeft"/>
              <w:spacing w:before="20" w:after="20"/>
              <w:rPr>
                <w:rStyle w:val="Strong"/>
              </w:rPr>
            </w:pPr>
            <w:r w:rsidRPr="00C6006F">
              <w:rPr>
                <w:rStyle w:val="Strong"/>
              </w:rPr>
              <w:t xml:space="preserve">Enablers and </w:t>
            </w:r>
            <w:r w:rsidR="00622769" w:rsidRPr="00C6006F">
              <w:rPr>
                <w:rStyle w:val="Strong"/>
              </w:rPr>
              <w:t>b</w:t>
            </w:r>
            <w:r w:rsidRPr="00C6006F">
              <w:rPr>
                <w:rStyle w:val="Strong"/>
              </w:rPr>
              <w:t>arriers</w:t>
            </w:r>
          </w:p>
        </w:tc>
        <w:tc>
          <w:tcPr>
            <w:tcW w:w="1560" w:type="dxa"/>
          </w:tcPr>
          <w:p w14:paraId="1D64C2D6" w14:textId="77777777" w:rsidR="00513159" w:rsidRPr="00C6006F" w:rsidRDefault="00513159" w:rsidP="00C6006F">
            <w:pPr>
              <w:pStyle w:val="TableTextLeft"/>
              <w:spacing w:before="20" w:after="20"/>
              <w:rPr>
                <w:rStyle w:val="Strong"/>
              </w:rPr>
            </w:pPr>
          </w:p>
        </w:tc>
        <w:tc>
          <w:tcPr>
            <w:tcW w:w="1842" w:type="dxa"/>
          </w:tcPr>
          <w:p w14:paraId="3D935326" w14:textId="77777777" w:rsidR="00513159" w:rsidRPr="00C6006F" w:rsidRDefault="00513159" w:rsidP="00C6006F">
            <w:pPr>
              <w:pStyle w:val="TableTextLeft"/>
              <w:spacing w:before="20" w:after="20"/>
              <w:rPr>
                <w:rStyle w:val="Strong"/>
              </w:rPr>
            </w:pPr>
          </w:p>
        </w:tc>
      </w:tr>
      <w:tr w:rsidR="00513159" w14:paraId="6B6C20F6" w14:textId="77777777" w:rsidTr="00C6006F">
        <w:tc>
          <w:tcPr>
            <w:tcW w:w="5660" w:type="dxa"/>
          </w:tcPr>
          <w:p w14:paraId="3C0F8EC2" w14:textId="77777777" w:rsidR="00513159" w:rsidRPr="0064011C" w:rsidRDefault="00513159" w:rsidP="00C6006F">
            <w:pPr>
              <w:pStyle w:val="TableTextLeft"/>
              <w:spacing w:before="20" w:after="20"/>
            </w:pPr>
            <w:r w:rsidRPr="0064011C">
              <w:t xml:space="preserve">Within your agency, what supports have helped to embed a culture of evaluation since the introduction of the Commonwealth Evaluation Policy in December 2021? (please select all that apply) (Q. </w:t>
            </w:r>
            <w:proofErr w:type="gramStart"/>
            <w:r w:rsidRPr="0064011C">
              <w:t>20)*</w:t>
            </w:r>
            <w:proofErr w:type="gramEnd"/>
          </w:p>
        </w:tc>
        <w:tc>
          <w:tcPr>
            <w:tcW w:w="1560" w:type="dxa"/>
          </w:tcPr>
          <w:p w14:paraId="3BE48DA1" w14:textId="77777777" w:rsidR="00513159" w:rsidRPr="0064011C" w:rsidRDefault="00513159" w:rsidP="00C6006F">
            <w:pPr>
              <w:pStyle w:val="TableTextLeft"/>
              <w:spacing w:before="20" w:after="20"/>
            </w:pPr>
          </w:p>
        </w:tc>
        <w:tc>
          <w:tcPr>
            <w:tcW w:w="1842" w:type="dxa"/>
          </w:tcPr>
          <w:p w14:paraId="4A1A3B92" w14:textId="77777777" w:rsidR="00513159" w:rsidRPr="0064011C" w:rsidRDefault="00513159" w:rsidP="00C6006F">
            <w:pPr>
              <w:pStyle w:val="TableTextLeft"/>
              <w:spacing w:before="20" w:after="20"/>
            </w:pPr>
          </w:p>
        </w:tc>
      </w:tr>
      <w:tr w:rsidR="00513159" w14:paraId="769E535E" w14:textId="77777777" w:rsidTr="00C6006F">
        <w:tc>
          <w:tcPr>
            <w:tcW w:w="5660" w:type="dxa"/>
          </w:tcPr>
          <w:p w14:paraId="2E395DCD" w14:textId="3BA308DA" w:rsidR="00513159" w:rsidRPr="0064011C" w:rsidRDefault="00C6006F" w:rsidP="00C6006F">
            <w:pPr>
              <w:pStyle w:val="TableTextLeft"/>
              <w:spacing w:before="20" w:after="20"/>
            </w:pPr>
            <w:r w:rsidRPr="00C51975">
              <w:tab/>
            </w:r>
            <w:r w:rsidR="00513159" w:rsidRPr="0064011C">
              <w:t>Support from agency leadership</w:t>
            </w:r>
          </w:p>
        </w:tc>
        <w:tc>
          <w:tcPr>
            <w:tcW w:w="1560" w:type="dxa"/>
          </w:tcPr>
          <w:p w14:paraId="69D0529E" w14:textId="77777777" w:rsidR="00513159" w:rsidRPr="0064011C" w:rsidRDefault="00513159" w:rsidP="00C6006F">
            <w:pPr>
              <w:pStyle w:val="TableTextLeft"/>
              <w:spacing w:before="20" w:after="20"/>
            </w:pPr>
            <w:r>
              <w:t>69%</w:t>
            </w:r>
          </w:p>
        </w:tc>
        <w:tc>
          <w:tcPr>
            <w:tcW w:w="1842" w:type="dxa"/>
          </w:tcPr>
          <w:p w14:paraId="77FE6CBC" w14:textId="77777777" w:rsidR="00513159" w:rsidRPr="0064011C" w:rsidRDefault="00513159" w:rsidP="00C6006F">
            <w:pPr>
              <w:pStyle w:val="TableTextLeft"/>
              <w:spacing w:before="20" w:after="20"/>
            </w:pPr>
            <w:r w:rsidRPr="0064011C">
              <w:t>69%</w:t>
            </w:r>
          </w:p>
        </w:tc>
      </w:tr>
      <w:tr w:rsidR="00513159" w14:paraId="28189B3C" w14:textId="77777777" w:rsidTr="00C6006F">
        <w:tc>
          <w:tcPr>
            <w:tcW w:w="5660" w:type="dxa"/>
          </w:tcPr>
          <w:p w14:paraId="32F12CB8" w14:textId="5F1CC24E" w:rsidR="00513159" w:rsidRPr="0064011C" w:rsidRDefault="00C6006F" w:rsidP="00C6006F">
            <w:pPr>
              <w:pStyle w:val="TableTextLeft"/>
              <w:spacing w:before="20" w:after="20"/>
            </w:pPr>
            <w:r w:rsidRPr="00C51975">
              <w:tab/>
            </w:r>
            <w:r w:rsidR="00513159" w:rsidRPr="0064011C">
              <w:t>Sufficient staff knowledge, skills and/or tools</w:t>
            </w:r>
          </w:p>
        </w:tc>
        <w:tc>
          <w:tcPr>
            <w:tcW w:w="1560" w:type="dxa"/>
          </w:tcPr>
          <w:p w14:paraId="694D5426" w14:textId="77777777" w:rsidR="00513159" w:rsidRPr="0064011C" w:rsidRDefault="00513159" w:rsidP="00C6006F">
            <w:pPr>
              <w:pStyle w:val="TableTextLeft"/>
              <w:spacing w:before="20" w:after="20"/>
            </w:pPr>
            <w:r>
              <w:t>62%</w:t>
            </w:r>
          </w:p>
        </w:tc>
        <w:tc>
          <w:tcPr>
            <w:tcW w:w="1842" w:type="dxa"/>
          </w:tcPr>
          <w:p w14:paraId="56A236AE" w14:textId="77777777" w:rsidR="00513159" w:rsidRPr="0064011C" w:rsidRDefault="00513159" w:rsidP="00C6006F">
            <w:pPr>
              <w:pStyle w:val="TableTextLeft"/>
              <w:spacing w:before="20" w:after="20"/>
            </w:pPr>
            <w:r w:rsidRPr="0064011C">
              <w:t>52%</w:t>
            </w:r>
          </w:p>
        </w:tc>
      </w:tr>
      <w:tr w:rsidR="00513159" w14:paraId="7425C703" w14:textId="77777777" w:rsidTr="00C6006F">
        <w:trPr>
          <w:trHeight w:val="138"/>
        </w:trPr>
        <w:tc>
          <w:tcPr>
            <w:tcW w:w="5660" w:type="dxa"/>
          </w:tcPr>
          <w:p w14:paraId="53082776" w14:textId="4056C62B" w:rsidR="00513159" w:rsidRPr="0064011C" w:rsidRDefault="00C6006F" w:rsidP="00C6006F">
            <w:pPr>
              <w:pStyle w:val="TableTextLeft"/>
              <w:spacing w:before="20" w:after="20"/>
            </w:pPr>
            <w:r w:rsidRPr="00C51975">
              <w:tab/>
            </w:r>
            <w:r w:rsidR="00513159" w:rsidRPr="0064011C">
              <w:t xml:space="preserve">Agency culture in support of evaluation </w:t>
            </w:r>
          </w:p>
        </w:tc>
        <w:tc>
          <w:tcPr>
            <w:tcW w:w="1560" w:type="dxa"/>
          </w:tcPr>
          <w:p w14:paraId="7ADEAB76" w14:textId="77777777" w:rsidR="00513159" w:rsidRPr="0064011C" w:rsidRDefault="00513159" w:rsidP="00C6006F">
            <w:pPr>
              <w:pStyle w:val="TableTextLeft"/>
              <w:spacing w:before="20" w:after="20"/>
            </w:pPr>
            <w:r>
              <w:t>45%</w:t>
            </w:r>
          </w:p>
        </w:tc>
        <w:tc>
          <w:tcPr>
            <w:tcW w:w="1842" w:type="dxa"/>
          </w:tcPr>
          <w:p w14:paraId="4B64C6A7" w14:textId="77777777" w:rsidR="00513159" w:rsidRPr="0064011C" w:rsidRDefault="00513159" w:rsidP="00C6006F">
            <w:pPr>
              <w:pStyle w:val="TableTextLeft"/>
              <w:spacing w:before="20" w:after="20"/>
            </w:pPr>
            <w:r w:rsidRPr="0064011C">
              <w:t>42%</w:t>
            </w:r>
          </w:p>
        </w:tc>
      </w:tr>
      <w:tr w:rsidR="00513159" w14:paraId="3040E7DD" w14:textId="77777777" w:rsidTr="00C6006F">
        <w:tc>
          <w:tcPr>
            <w:tcW w:w="5660" w:type="dxa"/>
          </w:tcPr>
          <w:p w14:paraId="6850AFD4" w14:textId="4EAB106C" w:rsidR="00513159" w:rsidRPr="0064011C" w:rsidRDefault="00C6006F" w:rsidP="00C6006F">
            <w:pPr>
              <w:pStyle w:val="TableTextLeft"/>
              <w:spacing w:before="20" w:after="20"/>
            </w:pPr>
            <w:r w:rsidRPr="00C51975">
              <w:tab/>
            </w:r>
            <w:r w:rsidR="00513159" w:rsidRPr="0064011C">
              <w:t>Staff dedicated to evaluation tasks</w:t>
            </w:r>
          </w:p>
        </w:tc>
        <w:tc>
          <w:tcPr>
            <w:tcW w:w="1560" w:type="dxa"/>
          </w:tcPr>
          <w:p w14:paraId="7A764E06" w14:textId="77777777" w:rsidR="00513159" w:rsidRPr="0064011C" w:rsidRDefault="00513159" w:rsidP="00C6006F">
            <w:pPr>
              <w:pStyle w:val="TableTextLeft"/>
              <w:spacing w:before="20" w:after="20"/>
            </w:pPr>
            <w:r>
              <w:t>52%</w:t>
            </w:r>
          </w:p>
        </w:tc>
        <w:tc>
          <w:tcPr>
            <w:tcW w:w="1842" w:type="dxa"/>
          </w:tcPr>
          <w:p w14:paraId="279C3F9B" w14:textId="77777777" w:rsidR="00513159" w:rsidRPr="0064011C" w:rsidRDefault="00513159" w:rsidP="00C6006F">
            <w:pPr>
              <w:pStyle w:val="TableTextLeft"/>
              <w:spacing w:before="20" w:after="20"/>
            </w:pPr>
            <w:r w:rsidRPr="0064011C">
              <w:t>34%</w:t>
            </w:r>
          </w:p>
        </w:tc>
      </w:tr>
      <w:tr w:rsidR="00513159" w14:paraId="6862BF72" w14:textId="77777777" w:rsidTr="00C6006F">
        <w:tc>
          <w:tcPr>
            <w:tcW w:w="5660" w:type="dxa"/>
          </w:tcPr>
          <w:p w14:paraId="450BD8DC" w14:textId="4E98CAB2" w:rsidR="00513159" w:rsidRPr="0064011C" w:rsidRDefault="00C6006F" w:rsidP="00C6006F">
            <w:pPr>
              <w:pStyle w:val="TableTextLeft"/>
              <w:spacing w:before="20" w:after="20"/>
            </w:pPr>
            <w:r w:rsidRPr="00C51975">
              <w:tab/>
            </w:r>
            <w:r w:rsidR="00513159" w:rsidRPr="0064011C">
              <w:t>In</w:t>
            </w:r>
            <w:r w:rsidR="00AD4DCC">
              <w:noBreakHyphen/>
            </w:r>
            <w:r w:rsidR="00513159" w:rsidRPr="0064011C">
              <w:t>house evaluation units</w:t>
            </w:r>
          </w:p>
        </w:tc>
        <w:tc>
          <w:tcPr>
            <w:tcW w:w="1560" w:type="dxa"/>
          </w:tcPr>
          <w:p w14:paraId="728B4603" w14:textId="77777777" w:rsidR="00513159" w:rsidRPr="0064011C" w:rsidRDefault="00513159" w:rsidP="00C6006F">
            <w:pPr>
              <w:pStyle w:val="TableTextLeft"/>
              <w:spacing w:before="20" w:after="20"/>
            </w:pPr>
            <w:r>
              <w:t>59%</w:t>
            </w:r>
          </w:p>
        </w:tc>
        <w:tc>
          <w:tcPr>
            <w:tcW w:w="1842" w:type="dxa"/>
          </w:tcPr>
          <w:p w14:paraId="6409D5FA" w14:textId="77777777" w:rsidR="00513159" w:rsidRPr="0064011C" w:rsidRDefault="00513159" w:rsidP="00C6006F">
            <w:pPr>
              <w:pStyle w:val="TableTextLeft"/>
              <w:spacing w:before="20" w:after="20"/>
            </w:pPr>
            <w:r w:rsidRPr="0064011C">
              <w:t>34%</w:t>
            </w:r>
          </w:p>
        </w:tc>
      </w:tr>
      <w:tr w:rsidR="00513159" w14:paraId="339D2491" w14:textId="77777777" w:rsidTr="00C6006F">
        <w:tc>
          <w:tcPr>
            <w:tcW w:w="5660" w:type="dxa"/>
          </w:tcPr>
          <w:p w14:paraId="2F575A46" w14:textId="7DE85340" w:rsidR="00513159" w:rsidRPr="0064011C" w:rsidRDefault="00C6006F" w:rsidP="00C6006F">
            <w:pPr>
              <w:pStyle w:val="TableTextLeft"/>
              <w:spacing w:before="20" w:after="20"/>
            </w:pPr>
            <w:r w:rsidRPr="00C51975">
              <w:tab/>
            </w:r>
            <w:r w:rsidR="00513159" w:rsidRPr="0064011C">
              <w:t>Support for evaluation amongst decision</w:t>
            </w:r>
            <w:r w:rsidR="00AD4DCC">
              <w:noBreakHyphen/>
            </w:r>
            <w:r w:rsidR="00513159" w:rsidRPr="0064011C">
              <w:t>makers</w:t>
            </w:r>
          </w:p>
        </w:tc>
        <w:tc>
          <w:tcPr>
            <w:tcW w:w="1560" w:type="dxa"/>
          </w:tcPr>
          <w:p w14:paraId="452EEB72" w14:textId="77777777" w:rsidR="00513159" w:rsidRPr="0064011C" w:rsidRDefault="00513159" w:rsidP="00C6006F">
            <w:pPr>
              <w:pStyle w:val="TableTextLeft"/>
              <w:spacing w:before="20" w:after="20"/>
            </w:pPr>
            <w:r>
              <w:t>76%</w:t>
            </w:r>
          </w:p>
        </w:tc>
        <w:tc>
          <w:tcPr>
            <w:tcW w:w="1842" w:type="dxa"/>
          </w:tcPr>
          <w:p w14:paraId="340B6136" w14:textId="77777777" w:rsidR="00513159" w:rsidRPr="0064011C" w:rsidRDefault="00513159" w:rsidP="00C6006F">
            <w:pPr>
              <w:pStyle w:val="TableTextLeft"/>
              <w:spacing w:before="20" w:after="20"/>
            </w:pPr>
            <w:r w:rsidRPr="0064011C">
              <w:t>68%</w:t>
            </w:r>
          </w:p>
        </w:tc>
      </w:tr>
      <w:tr w:rsidR="00513159" w14:paraId="17894283" w14:textId="77777777" w:rsidTr="00C6006F">
        <w:tc>
          <w:tcPr>
            <w:tcW w:w="5660" w:type="dxa"/>
          </w:tcPr>
          <w:p w14:paraId="2E90A140" w14:textId="5A95BF8B" w:rsidR="00513159" w:rsidRPr="0064011C" w:rsidRDefault="00C6006F" w:rsidP="00C6006F">
            <w:pPr>
              <w:pStyle w:val="TableTextLeft"/>
              <w:spacing w:before="20" w:after="20"/>
            </w:pPr>
            <w:r w:rsidRPr="00C51975">
              <w:tab/>
            </w:r>
            <w:r w:rsidR="00513159" w:rsidRPr="0064011C">
              <w:t>Sufficient funding</w:t>
            </w:r>
          </w:p>
        </w:tc>
        <w:tc>
          <w:tcPr>
            <w:tcW w:w="1560" w:type="dxa"/>
          </w:tcPr>
          <w:p w14:paraId="7D86CE2B" w14:textId="77777777" w:rsidR="00513159" w:rsidRPr="0064011C" w:rsidRDefault="00513159" w:rsidP="00C6006F">
            <w:pPr>
              <w:pStyle w:val="TableTextLeft"/>
              <w:spacing w:before="20" w:after="20"/>
            </w:pPr>
            <w:r>
              <w:t>41%</w:t>
            </w:r>
          </w:p>
        </w:tc>
        <w:tc>
          <w:tcPr>
            <w:tcW w:w="1842" w:type="dxa"/>
          </w:tcPr>
          <w:p w14:paraId="37A0311F" w14:textId="77777777" w:rsidR="00513159" w:rsidRPr="0064011C" w:rsidRDefault="00513159" w:rsidP="00C6006F">
            <w:pPr>
              <w:pStyle w:val="TableTextLeft"/>
              <w:spacing w:before="20" w:after="20"/>
            </w:pPr>
            <w:r w:rsidRPr="0064011C">
              <w:t>27%</w:t>
            </w:r>
          </w:p>
        </w:tc>
      </w:tr>
      <w:tr w:rsidR="00513159" w14:paraId="44DE36B1" w14:textId="77777777" w:rsidTr="00C6006F">
        <w:tc>
          <w:tcPr>
            <w:tcW w:w="5660" w:type="dxa"/>
          </w:tcPr>
          <w:p w14:paraId="07C963AD" w14:textId="2CB5FF3F" w:rsidR="00513159" w:rsidRPr="0064011C" w:rsidRDefault="00C6006F" w:rsidP="00C6006F">
            <w:pPr>
              <w:pStyle w:val="TableTextLeft"/>
              <w:spacing w:before="20" w:after="20"/>
            </w:pPr>
            <w:r w:rsidRPr="00C51975">
              <w:tab/>
            </w:r>
            <w:r w:rsidR="00513159" w:rsidRPr="0064011C">
              <w:t>Working with an external evaluator</w:t>
            </w:r>
          </w:p>
        </w:tc>
        <w:tc>
          <w:tcPr>
            <w:tcW w:w="1560" w:type="dxa"/>
          </w:tcPr>
          <w:p w14:paraId="54018D48" w14:textId="77777777" w:rsidR="00513159" w:rsidRPr="0064011C" w:rsidRDefault="00513159" w:rsidP="00C6006F">
            <w:pPr>
              <w:pStyle w:val="TableTextLeft"/>
              <w:spacing w:before="20" w:after="20"/>
            </w:pPr>
            <w:r>
              <w:t>34%</w:t>
            </w:r>
          </w:p>
        </w:tc>
        <w:tc>
          <w:tcPr>
            <w:tcW w:w="1842" w:type="dxa"/>
          </w:tcPr>
          <w:p w14:paraId="5A95EE27" w14:textId="77777777" w:rsidR="00513159" w:rsidRPr="0064011C" w:rsidRDefault="00513159" w:rsidP="00C6006F">
            <w:pPr>
              <w:pStyle w:val="TableTextLeft"/>
              <w:spacing w:before="20" w:after="20"/>
            </w:pPr>
            <w:r w:rsidRPr="0064011C">
              <w:t>34%</w:t>
            </w:r>
          </w:p>
        </w:tc>
      </w:tr>
      <w:tr w:rsidR="00513159" w14:paraId="0030AAA8" w14:textId="77777777" w:rsidTr="00C6006F">
        <w:tc>
          <w:tcPr>
            <w:tcW w:w="5660" w:type="dxa"/>
          </w:tcPr>
          <w:p w14:paraId="1BE50D0E" w14:textId="7F61D7B3" w:rsidR="00513159" w:rsidRPr="0064011C" w:rsidRDefault="00513159" w:rsidP="00C6006F">
            <w:pPr>
              <w:pStyle w:val="TableTextLeft"/>
              <w:spacing w:before="20" w:after="20"/>
            </w:pPr>
            <w:r w:rsidRPr="0064011C">
              <w:t xml:space="preserve">Within your agency, what have been the major barriers (if any) to embedding a culture of evaluation since the introduction of the Commonwealth Evaluation Policy in December 2021 </w:t>
            </w:r>
            <w:bookmarkStart w:id="35" w:name="_Hlk189821749"/>
            <w:r w:rsidRPr="0064011C">
              <w:t>(</w:t>
            </w:r>
            <w:r w:rsidR="00254D23">
              <w:t>that is</w:t>
            </w:r>
            <w:r w:rsidRPr="0064011C">
              <w:t>, th</w:t>
            </w:r>
            <w:r w:rsidR="00AC4B0C">
              <w:t xml:space="preserve">e </w:t>
            </w:r>
            <w:r w:rsidRPr="0064011C">
              <w:t xml:space="preserve">reasons why evaluation may NOT occur)? </w:t>
            </w:r>
            <w:bookmarkEnd w:id="35"/>
            <w:r w:rsidRPr="0064011C">
              <w:t xml:space="preserve">(please select all that apply) (Q. </w:t>
            </w:r>
            <w:proofErr w:type="gramStart"/>
            <w:r w:rsidRPr="0064011C">
              <w:t>21)*</w:t>
            </w:r>
            <w:proofErr w:type="gramEnd"/>
          </w:p>
        </w:tc>
        <w:tc>
          <w:tcPr>
            <w:tcW w:w="1560" w:type="dxa"/>
          </w:tcPr>
          <w:p w14:paraId="3D328304" w14:textId="77777777" w:rsidR="00513159" w:rsidRPr="0064011C" w:rsidRDefault="00513159" w:rsidP="00C6006F">
            <w:pPr>
              <w:pStyle w:val="TableTextLeft"/>
              <w:spacing w:before="20" w:after="20"/>
            </w:pPr>
          </w:p>
        </w:tc>
        <w:tc>
          <w:tcPr>
            <w:tcW w:w="1842" w:type="dxa"/>
          </w:tcPr>
          <w:p w14:paraId="55D8FB61" w14:textId="77777777" w:rsidR="00513159" w:rsidRPr="0064011C" w:rsidRDefault="00513159" w:rsidP="00C6006F">
            <w:pPr>
              <w:pStyle w:val="TableTextLeft"/>
              <w:spacing w:before="20" w:after="20"/>
            </w:pPr>
          </w:p>
        </w:tc>
      </w:tr>
      <w:tr w:rsidR="00513159" w14:paraId="7F7D753A" w14:textId="77777777" w:rsidTr="00C6006F">
        <w:tc>
          <w:tcPr>
            <w:tcW w:w="5660" w:type="dxa"/>
          </w:tcPr>
          <w:p w14:paraId="660FB084" w14:textId="5824A980" w:rsidR="00513159" w:rsidRPr="0064011C" w:rsidRDefault="00C6006F" w:rsidP="00C6006F">
            <w:pPr>
              <w:pStyle w:val="TableTextLeft"/>
              <w:spacing w:before="20" w:after="20"/>
            </w:pPr>
            <w:r w:rsidRPr="00C51975">
              <w:tab/>
            </w:r>
            <w:r w:rsidR="00513159" w:rsidRPr="0064011C">
              <w:t>Limited staff knowledge, skills and/or tools</w:t>
            </w:r>
          </w:p>
        </w:tc>
        <w:tc>
          <w:tcPr>
            <w:tcW w:w="1560" w:type="dxa"/>
          </w:tcPr>
          <w:p w14:paraId="02F3AEB8" w14:textId="77777777" w:rsidR="00513159" w:rsidRPr="0064011C" w:rsidRDefault="00513159" w:rsidP="00C6006F">
            <w:pPr>
              <w:pStyle w:val="TableTextLeft"/>
              <w:spacing w:before="20" w:after="20"/>
            </w:pPr>
            <w:r>
              <w:t>80%</w:t>
            </w:r>
          </w:p>
        </w:tc>
        <w:tc>
          <w:tcPr>
            <w:tcW w:w="1842" w:type="dxa"/>
          </w:tcPr>
          <w:p w14:paraId="598286E2" w14:textId="77777777" w:rsidR="00513159" w:rsidRPr="0064011C" w:rsidRDefault="00513159" w:rsidP="00C6006F">
            <w:pPr>
              <w:pStyle w:val="TableTextLeft"/>
              <w:spacing w:before="20" w:after="20"/>
            </w:pPr>
            <w:r w:rsidRPr="0064011C">
              <w:t>49%</w:t>
            </w:r>
          </w:p>
        </w:tc>
      </w:tr>
      <w:tr w:rsidR="00513159" w14:paraId="234EB6DE" w14:textId="77777777" w:rsidTr="00C6006F">
        <w:tc>
          <w:tcPr>
            <w:tcW w:w="5660" w:type="dxa"/>
          </w:tcPr>
          <w:p w14:paraId="0B071CD9" w14:textId="56377638" w:rsidR="00513159" w:rsidRPr="0064011C" w:rsidRDefault="00C6006F" w:rsidP="00C6006F">
            <w:pPr>
              <w:pStyle w:val="TableTextLeft"/>
              <w:spacing w:before="20" w:after="20"/>
            </w:pPr>
            <w:r w:rsidRPr="00C51975">
              <w:tab/>
            </w:r>
            <w:r w:rsidR="00513159" w:rsidRPr="0064011C">
              <w:t>Limited staff time</w:t>
            </w:r>
          </w:p>
        </w:tc>
        <w:tc>
          <w:tcPr>
            <w:tcW w:w="1560" w:type="dxa"/>
          </w:tcPr>
          <w:p w14:paraId="2AEA5E2A" w14:textId="77777777" w:rsidR="00513159" w:rsidRPr="0064011C" w:rsidRDefault="00513159" w:rsidP="00C6006F">
            <w:pPr>
              <w:pStyle w:val="TableTextLeft"/>
              <w:spacing w:before="20" w:after="20"/>
            </w:pPr>
            <w:r>
              <w:t>60%</w:t>
            </w:r>
          </w:p>
        </w:tc>
        <w:tc>
          <w:tcPr>
            <w:tcW w:w="1842" w:type="dxa"/>
          </w:tcPr>
          <w:p w14:paraId="7C2B46F9" w14:textId="77777777" w:rsidR="00513159" w:rsidRPr="0064011C" w:rsidRDefault="00513159" w:rsidP="00C6006F">
            <w:pPr>
              <w:pStyle w:val="TableTextLeft"/>
              <w:spacing w:before="20" w:after="20"/>
            </w:pPr>
            <w:r w:rsidRPr="0064011C">
              <w:t>56%</w:t>
            </w:r>
          </w:p>
        </w:tc>
      </w:tr>
      <w:tr w:rsidR="00513159" w14:paraId="75E8C792" w14:textId="77777777" w:rsidTr="00C6006F">
        <w:tc>
          <w:tcPr>
            <w:tcW w:w="5660" w:type="dxa"/>
          </w:tcPr>
          <w:p w14:paraId="1DCA3898" w14:textId="26E86866" w:rsidR="00513159" w:rsidRPr="0064011C" w:rsidRDefault="00C6006F" w:rsidP="00C6006F">
            <w:pPr>
              <w:pStyle w:val="TableTextLeft"/>
              <w:spacing w:before="20" w:after="20"/>
            </w:pPr>
            <w:r w:rsidRPr="00C51975">
              <w:tab/>
            </w:r>
            <w:r w:rsidR="00513159" w:rsidRPr="0064011C">
              <w:t>Insufficient financial resources</w:t>
            </w:r>
          </w:p>
        </w:tc>
        <w:tc>
          <w:tcPr>
            <w:tcW w:w="1560" w:type="dxa"/>
          </w:tcPr>
          <w:p w14:paraId="71E9DFCE" w14:textId="77777777" w:rsidR="00513159" w:rsidRPr="0064011C" w:rsidRDefault="00513159" w:rsidP="00C6006F">
            <w:pPr>
              <w:pStyle w:val="TableTextLeft"/>
              <w:spacing w:before="20" w:after="20"/>
            </w:pPr>
            <w:r>
              <w:t>53%</w:t>
            </w:r>
          </w:p>
        </w:tc>
        <w:tc>
          <w:tcPr>
            <w:tcW w:w="1842" w:type="dxa"/>
          </w:tcPr>
          <w:p w14:paraId="343BD1B4" w14:textId="77777777" w:rsidR="00513159" w:rsidRPr="0064011C" w:rsidRDefault="00513159" w:rsidP="00C6006F">
            <w:pPr>
              <w:pStyle w:val="TableTextLeft"/>
              <w:spacing w:before="20" w:after="20"/>
            </w:pPr>
            <w:r w:rsidRPr="0064011C">
              <w:t>43%</w:t>
            </w:r>
          </w:p>
        </w:tc>
      </w:tr>
      <w:tr w:rsidR="00513159" w14:paraId="3F264DE6" w14:textId="77777777" w:rsidTr="00C6006F">
        <w:tc>
          <w:tcPr>
            <w:tcW w:w="5660" w:type="dxa"/>
          </w:tcPr>
          <w:p w14:paraId="7E3D1C6E" w14:textId="2B28F489" w:rsidR="00513159" w:rsidRPr="0064011C" w:rsidRDefault="00C6006F" w:rsidP="00C6006F">
            <w:pPr>
              <w:pStyle w:val="TableTextLeft"/>
              <w:spacing w:before="20" w:after="20"/>
            </w:pPr>
            <w:r w:rsidRPr="00C51975">
              <w:tab/>
            </w:r>
            <w:r w:rsidR="00513159" w:rsidRPr="0064011C">
              <w:t>Shortage of time to complete evaluation</w:t>
            </w:r>
          </w:p>
        </w:tc>
        <w:tc>
          <w:tcPr>
            <w:tcW w:w="1560" w:type="dxa"/>
          </w:tcPr>
          <w:p w14:paraId="0978937D" w14:textId="77777777" w:rsidR="00513159" w:rsidRPr="0064011C" w:rsidRDefault="00513159" w:rsidP="00C6006F">
            <w:pPr>
              <w:pStyle w:val="TableTextLeft"/>
              <w:spacing w:before="20" w:after="20"/>
            </w:pPr>
            <w:r>
              <w:t>53%</w:t>
            </w:r>
          </w:p>
        </w:tc>
        <w:tc>
          <w:tcPr>
            <w:tcW w:w="1842" w:type="dxa"/>
          </w:tcPr>
          <w:p w14:paraId="71BEC8B2" w14:textId="77777777" w:rsidR="00513159" w:rsidRPr="0064011C" w:rsidRDefault="00513159" w:rsidP="00C6006F">
            <w:pPr>
              <w:pStyle w:val="TableTextLeft"/>
              <w:spacing w:before="20" w:after="20"/>
            </w:pPr>
            <w:r w:rsidRPr="0064011C">
              <w:t>33%</w:t>
            </w:r>
          </w:p>
        </w:tc>
      </w:tr>
      <w:tr w:rsidR="00513159" w14:paraId="13AF4D08" w14:textId="77777777" w:rsidTr="00C6006F">
        <w:tc>
          <w:tcPr>
            <w:tcW w:w="5660" w:type="dxa"/>
          </w:tcPr>
          <w:p w14:paraId="3B87467F" w14:textId="6C4A536F" w:rsidR="00513159" w:rsidRPr="0064011C" w:rsidRDefault="00C6006F" w:rsidP="00C6006F">
            <w:pPr>
              <w:pStyle w:val="TableTextLeft"/>
              <w:spacing w:before="20" w:after="20"/>
            </w:pPr>
            <w:r w:rsidRPr="00C51975">
              <w:tab/>
            </w:r>
            <w:r w:rsidR="00513159" w:rsidRPr="0064011C">
              <w:t>Challenging or complex interventions</w:t>
            </w:r>
          </w:p>
        </w:tc>
        <w:tc>
          <w:tcPr>
            <w:tcW w:w="1560" w:type="dxa"/>
          </w:tcPr>
          <w:p w14:paraId="4FA85D16" w14:textId="77777777" w:rsidR="00513159" w:rsidRPr="0064011C" w:rsidRDefault="00513159" w:rsidP="00C6006F">
            <w:pPr>
              <w:pStyle w:val="TableTextLeft"/>
              <w:spacing w:before="20" w:after="20"/>
            </w:pPr>
            <w:r>
              <w:t>50%</w:t>
            </w:r>
          </w:p>
        </w:tc>
        <w:tc>
          <w:tcPr>
            <w:tcW w:w="1842" w:type="dxa"/>
          </w:tcPr>
          <w:p w14:paraId="090804DD" w14:textId="77777777" w:rsidR="00513159" w:rsidRPr="0064011C" w:rsidRDefault="00513159" w:rsidP="00C6006F">
            <w:pPr>
              <w:pStyle w:val="TableTextLeft"/>
              <w:spacing w:before="20" w:after="20"/>
            </w:pPr>
            <w:r w:rsidRPr="0064011C">
              <w:t>30%</w:t>
            </w:r>
          </w:p>
        </w:tc>
      </w:tr>
      <w:tr w:rsidR="00513159" w14:paraId="1C4F52B1" w14:textId="77777777" w:rsidTr="00C6006F">
        <w:tc>
          <w:tcPr>
            <w:tcW w:w="5660" w:type="dxa"/>
          </w:tcPr>
          <w:p w14:paraId="472AEEF8" w14:textId="38BF6B4E" w:rsidR="00513159" w:rsidRPr="0064011C" w:rsidRDefault="00C6006F" w:rsidP="00C6006F">
            <w:pPr>
              <w:pStyle w:val="TableTextLeft"/>
              <w:spacing w:before="20" w:after="20"/>
            </w:pPr>
            <w:r w:rsidRPr="00C51975">
              <w:tab/>
            </w:r>
            <w:r w:rsidR="00513159" w:rsidRPr="0064011C">
              <w:t>Challenging stakeholder relationships</w:t>
            </w:r>
          </w:p>
        </w:tc>
        <w:tc>
          <w:tcPr>
            <w:tcW w:w="1560" w:type="dxa"/>
          </w:tcPr>
          <w:p w14:paraId="551E695F" w14:textId="77777777" w:rsidR="00513159" w:rsidRPr="0064011C" w:rsidRDefault="00513159" w:rsidP="00C6006F">
            <w:pPr>
              <w:pStyle w:val="TableTextLeft"/>
              <w:spacing w:before="20" w:after="20"/>
            </w:pPr>
            <w:r>
              <w:t>33%</w:t>
            </w:r>
          </w:p>
        </w:tc>
        <w:tc>
          <w:tcPr>
            <w:tcW w:w="1842" w:type="dxa"/>
          </w:tcPr>
          <w:p w14:paraId="0ABD5415" w14:textId="77777777" w:rsidR="00513159" w:rsidRPr="0064011C" w:rsidRDefault="00513159" w:rsidP="00C6006F">
            <w:pPr>
              <w:pStyle w:val="TableTextLeft"/>
              <w:spacing w:before="20" w:after="20"/>
            </w:pPr>
            <w:r w:rsidRPr="0064011C">
              <w:t>20%</w:t>
            </w:r>
          </w:p>
        </w:tc>
      </w:tr>
      <w:tr w:rsidR="00513159" w14:paraId="4B203E73" w14:textId="77777777" w:rsidTr="00C6006F">
        <w:tc>
          <w:tcPr>
            <w:tcW w:w="5660" w:type="dxa"/>
          </w:tcPr>
          <w:p w14:paraId="2A241875" w14:textId="7B79D716" w:rsidR="00513159" w:rsidRPr="0064011C" w:rsidRDefault="00C6006F" w:rsidP="00C6006F">
            <w:pPr>
              <w:pStyle w:val="TableTextLeft"/>
              <w:spacing w:before="20" w:after="20"/>
            </w:pPr>
            <w:r w:rsidRPr="00C51975">
              <w:tab/>
            </w:r>
            <w:r w:rsidR="00513159" w:rsidRPr="0064011C">
              <w:t>Staff attitudes towards evaluation</w:t>
            </w:r>
          </w:p>
        </w:tc>
        <w:tc>
          <w:tcPr>
            <w:tcW w:w="1560" w:type="dxa"/>
          </w:tcPr>
          <w:p w14:paraId="45CB1745" w14:textId="77777777" w:rsidR="00513159" w:rsidRPr="0064011C" w:rsidRDefault="00513159" w:rsidP="00C6006F">
            <w:pPr>
              <w:pStyle w:val="TableTextLeft"/>
              <w:spacing w:before="20" w:after="20"/>
            </w:pPr>
            <w:r>
              <w:t>23%</w:t>
            </w:r>
          </w:p>
        </w:tc>
        <w:tc>
          <w:tcPr>
            <w:tcW w:w="1842" w:type="dxa"/>
          </w:tcPr>
          <w:p w14:paraId="1B4898F2" w14:textId="77777777" w:rsidR="00513159" w:rsidRPr="0064011C" w:rsidRDefault="00513159" w:rsidP="00C6006F">
            <w:pPr>
              <w:pStyle w:val="TableTextLeft"/>
              <w:spacing w:before="20" w:after="20"/>
            </w:pPr>
            <w:r w:rsidRPr="0064011C">
              <w:t>13%</w:t>
            </w:r>
          </w:p>
        </w:tc>
      </w:tr>
      <w:tr w:rsidR="00513159" w14:paraId="1B755496" w14:textId="77777777" w:rsidTr="00C6006F">
        <w:tc>
          <w:tcPr>
            <w:tcW w:w="5660" w:type="dxa"/>
          </w:tcPr>
          <w:p w14:paraId="2F08A702" w14:textId="0C419746" w:rsidR="00513159" w:rsidRPr="0064011C" w:rsidRDefault="00C6006F" w:rsidP="00C6006F">
            <w:pPr>
              <w:pStyle w:val="TableTextLeft"/>
              <w:spacing w:before="20" w:after="20"/>
            </w:pPr>
            <w:r w:rsidRPr="00C51975">
              <w:tab/>
            </w:r>
            <w:r w:rsidR="00513159" w:rsidRPr="0064011C">
              <w:t>Poor past evaluations</w:t>
            </w:r>
          </w:p>
        </w:tc>
        <w:tc>
          <w:tcPr>
            <w:tcW w:w="1560" w:type="dxa"/>
          </w:tcPr>
          <w:p w14:paraId="79FBBA69" w14:textId="77777777" w:rsidR="00513159" w:rsidRPr="0064011C" w:rsidRDefault="00513159" w:rsidP="00C6006F">
            <w:pPr>
              <w:pStyle w:val="TableTextLeft"/>
              <w:spacing w:before="20" w:after="20"/>
            </w:pPr>
            <w:r>
              <w:t>20%</w:t>
            </w:r>
          </w:p>
        </w:tc>
        <w:tc>
          <w:tcPr>
            <w:tcW w:w="1842" w:type="dxa"/>
          </w:tcPr>
          <w:p w14:paraId="492B414F" w14:textId="77777777" w:rsidR="00513159" w:rsidRPr="0064011C" w:rsidRDefault="00513159" w:rsidP="00C6006F">
            <w:pPr>
              <w:pStyle w:val="TableTextLeft"/>
              <w:spacing w:before="20" w:after="20"/>
            </w:pPr>
            <w:r w:rsidRPr="0064011C">
              <w:t>10%</w:t>
            </w:r>
          </w:p>
        </w:tc>
      </w:tr>
      <w:tr w:rsidR="00513159" w14:paraId="129D16EC" w14:textId="77777777" w:rsidTr="00C6006F">
        <w:tc>
          <w:tcPr>
            <w:tcW w:w="5660" w:type="dxa"/>
          </w:tcPr>
          <w:p w14:paraId="7F3AACA5" w14:textId="3529ADAA" w:rsidR="00513159" w:rsidRPr="0064011C" w:rsidRDefault="00C6006F" w:rsidP="00C6006F">
            <w:pPr>
              <w:pStyle w:val="TableTextLeft"/>
              <w:spacing w:before="20" w:after="20"/>
            </w:pPr>
            <w:r w:rsidRPr="00C51975">
              <w:tab/>
            </w:r>
            <w:r w:rsidR="00513159" w:rsidRPr="0064011C">
              <w:t>Insufficient agency leadership support</w:t>
            </w:r>
          </w:p>
        </w:tc>
        <w:tc>
          <w:tcPr>
            <w:tcW w:w="1560" w:type="dxa"/>
          </w:tcPr>
          <w:p w14:paraId="08FE31F4" w14:textId="77777777" w:rsidR="00513159" w:rsidRPr="0064011C" w:rsidRDefault="00513159" w:rsidP="00C6006F">
            <w:pPr>
              <w:pStyle w:val="TableTextLeft"/>
              <w:spacing w:before="20" w:after="20"/>
            </w:pPr>
            <w:r>
              <w:t>17%</w:t>
            </w:r>
          </w:p>
        </w:tc>
        <w:tc>
          <w:tcPr>
            <w:tcW w:w="1842" w:type="dxa"/>
          </w:tcPr>
          <w:p w14:paraId="1ACF026F" w14:textId="77777777" w:rsidR="00513159" w:rsidRPr="0064011C" w:rsidRDefault="00513159" w:rsidP="00C6006F">
            <w:pPr>
              <w:pStyle w:val="TableTextLeft"/>
              <w:spacing w:before="20" w:after="20"/>
            </w:pPr>
            <w:r w:rsidRPr="0064011C">
              <w:t>8%</w:t>
            </w:r>
          </w:p>
        </w:tc>
      </w:tr>
      <w:tr w:rsidR="00513159" w14:paraId="11B99C1E" w14:textId="77777777" w:rsidTr="00C6006F">
        <w:tc>
          <w:tcPr>
            <w:tcW w:w="5660" w:type="dxa"/>
          </w:tcPr>
          <w:p w14:paraId="2F8510DC" w14:textId="36418A3D" w:rsidR="00513159" w:rsidRPr="0064011C" w:rsidRDefault="00C6006F" w:rsidP="00C6006F">
            <w:pPr>
              <w:pStyle w:val="TableTextLeft"/>
              <w:spacing w:before="20" w:after="20"/>
            </w:pPr>
            <w:r w:rsidRPr="00C51975">
              <w:tab/>
            </w:r>
            <w:r w:rsidR="00513159" w:rsidRPr="0064011C">
              <w:t>Not linked to agency performance measures</w:t>
            </w:r>
          </w:p>
        </w:tc>
        <w:tc>
          <w:tcPr>
            <w:tcW w:w="1560" w:type="dxa"/>
          </w:tcPr>
          <w:p w14:paraId="1EE49972" w14:textId="77777777" w:rsidR="00513159" w:rsidRPr="0064011C" w:rsidRDefault="00513159" w:rsidP="00C6006F">
            <w:pPr>
              <w:pStyle w:val="TableTextLeft"/>
              <w:spacing w:before="20" w:after="20"/>
            </w:pPr>
            <w:r>
              <w:t>10%</w:t>
            </w:r>
          </w:p>
        </w:tc>
        <w:tc>
          <w:tcPr>
            <w:tcW w:w="1842" w:type="dxa"/>
          </w:tcPr>
          <w:p w14:paraId="42DF75DE" w14:textId="77777777" w:rsidR="00513159" w:rsidRPr="0064011C" w:rsidRDefault="00513159" w:rsidP="00C6006F">
            <w:pPr>
              <w:pStyle w:val="TableTextLeft"/>
              <w:spacing w:before="20" w:after="20"/>
            </w:pPr>
            <w:r w:rsidRPr="0064011C">
              <w:t>6%</w:t>
            </w:r>
          </w:p>
        </w:tc>
      </w:tr>
      <w:tr w:rsidR="00513159" w14:paraId="03E4F326" w14:textId="77777777" w:rsidTr="00C6006F">
        <w:tc>
          <w:tcPr>
            <w:tcW w:w="5660" w:type="dxa"/>
          </w:tcPr>
          <w:p w14:paraId="18A6F5E8" w14:textId="47F5A78E" w:rsidR="00513159" w:rsidRPr="0064011C" w:rsidRDefault="00C6006F" w:rsidP="00C6006F">
            <w:pPr>
              <w:pStyle w:val="TableTextLeft"/>
              <w:spacing w:before="20" w:after="20"/>
            </w:pPr>
            <w:r w:rsidRPr="00C51975">
              <w:tab/>
            </w:r>
            <w:r w:rsidR="00513159" w:rsidRPr="0064011C">
              <w:t>Access to external evaluators</w:t>
            </w:r>
          </w:p>
        </w:tc>
        <w:tc>
          <w:tcPr>
            <w:tcW w:w="1560" w:type="dxa"/>
          </w:tcPr>
          <w:p w14:paraId="583471F0" w14:textId="77777777" w:rsidR="00513159" w:rsidRPr="0064011C" w:rsidRDefault="00513159" w:rsidP="00C6006F">
            <w:pPr>
              <w:pStyle w:val="TableTextLeft"/>
              <w:spacing w:before="20" w:after="20"/>
            </w:pPr>
            <w:r>
              <w:t>3%</w:t>
            </w:r>
          </w:p>
        </w:tc>
        <w:tc>
          <w:tcPr>
            <w:tcW w:w="1842" w:type="dxa"/>
          </w:tcPr>
          <w:p w14:paraId="6F03E7EA" w14:textId="77777777" w:rsidR="00513159" w:rsidRPr="0064011C" w:rsidRDefault="00513159" w:rsidP="00C6006F">
            <w:pPr>
              <w:pStyle w:val="TableTextLeft"/>
              <w:spacing w:before="20" w:after="20"/>
            </w:pPr>
            <w:r w:rsidRPr="0064011C">
              <w:t>3%</w:t>
            </w:r>
          </w:p>
        </w:tc>
      </w:tr>
      <w:tr w:rsidR="00513159" w14:paraId="0612D10C" w14:textId="77777777" w:rsidTr="00C6006F">
        <w:tc>
          <w:tcPr>
            <w:tcW w:w="5660" w:type="dxa"/>
          </w:tcPr>
          <w:p w14:paraId="0150A517" w14:textId="77777777" w:rsidR="00513159" w:rsidRPr="00C6006F" w:rsidRDefault="00513159" w:rsidP="00C6006F">
            <w:pPr>
              <w:pStyle w:val="TableTextLeft"/>
              <w:spacing w:before="20" w:after="20"/>
              <w:rPr>
                <w:rStyle w:val="Strong"/>
              </w:rPr>
            </w:pPr>
            <w:r w:rsidRPr="00C6006F">
              <w:rPr>
                <w:rStyle w:val="Strong"/>
              </w:rPr>
              <w:t>Indigenous evaluations and ethical practice</w:t>
            </w:r>
          </w:p>
        </w:tc>
        <w:tc>
          <w:tcPr>
            <w:tcW w:w="1560" w:type="dxa"/>
          </w:tcPr>
          <w:p w14:paraId="0DDA243F" w14:textId="77777777" w:rsidR="00513159" w:rsidRPr="00C6006F" w:rsidRDefault="00513159" w:rsidP="00C6006F">
            <w:pPr>
              <w:pStyle w:val="TableTextLeft"/>
              <w:spacing w:before="20" w:after="20"/>
              <w:rPr>
                <w:rStyle w:val="Strong"/>
              </w:rPr>
            </w:pPr>
          </w:p>
        </w:tc>
        <w:tc>
          <w:tcPr>
            <w:tcW w:w="1842" w:type="dxa"/>
          </w:tcPr>
          <w:p w14:paraId="04AD43E8" w14:textId="77777777" w:rsidR="00513159" w:rsidRPr="00C6006F" w:rsidRDefault="00513159" w:rsidP="00C6006F">
            <w:pPr>
              <w:pStyle w:val="TableTextLeft"/>
              <w:spacing w:before="20" w:after="20"/>
              <w:rPr>
                <w:rStyle w:val="Strong"/>
              </w:rPr>
            </w:pPr>
          </w:p>
        </w:tc>
      </w:tr>
      <w:tr w:rsidR="00513159" w14:paraId="5A48D1D5" w14:textId="77777777" w:rsidTr="00C6006F">
        <w:tc>
          <w:tcPr>
            <w:tcW w:w="5660" w:type="dxa"/>
          </w:tcPr>
          <w:p w14:paraId="1AEA6635" w14:textId="77777777" w:rsidR="00513159" w:rsidRPr="0064011C" w:rsidRDefault="00513159" w:rsidP="00C6006F">
            <w:pPr>
              <w:pStyle w:val="TableTextLeft"/>
              <w:spacing w:before="20" w:after="20"/>
            </w:pPr>
            <w:r w:rsidRPr="0064011C">
              <w:t>Does your agency have processes established to ensure evaluations are culturally appropriate with respect to Aboriginal and Torres Strait Islander people and communities? (Q. 22) (n=89)</w:t>
            </w:r>
          </w:p>
        </w:tc>
        <w:tc>
          <w:tcPr>
            <w:tcW w:w="1560" w:type="dxa"/>
          </w:tcPr>
          <w:p w14:paraId="2D5FBADC" w14:textId="77777777" w:rsidR="00513159" w:rsidRPr="0064011C" w:rsidRDefault="00513159" w:rsidP="00C6006F">
            <w:pPr>
              <w:pStyle w:val="TableTextLeft"/>
              <w:spacing w:before="20" w:after="20"/>
            </w:pPr>
            <w:r>
              <w:t>48%</w:t>
            </w:r>
          </w:p>
        </w:tc>
        <w:tc>
          <w:tcPr>
            <w:tcW w:w="1842" w:type="dxa"/>
          </w:tcPr>
          <w:p w14:paraId="4C906393" w14:textId="77777777" w:rsidR="00513159" w:rsidRPr="0064011C" w:rsidRDefault="00513159" w:rsidP="00C6006F">
            <w:pPr>
              <w:pStyle w:val="TableTextLeft"/>
              <w:spacing w:before="20" w:after="20"/>
            </w:pPr>
            <w:r w:rsidRPr="0064011C">
              <w:t>35%</w:t>
            </w:r>
          </w:p>
        </w:tc>
      </w:tr>
      <w:tr w:rsidR="00513159" w14:paraId="232FB52B" w14:textId="77777777" w:rsidTr="00C6006F">
        <w:tc>
          <w:tcPr>
            <w:tcW w:w="5660" w:type="dxa"/>
          </w:tcPr>
          <w:p w14:paraId="36A6CF37" w14:textId="6B641D5E" w:rsidR="00513159" w:rsidRPr="0064011C" w:rsidRDefault="00513159" w:rsidP="00C6006F">
            <w:pPr>
              <w:pStyle w:val="TableTextLeft"/>
              <w:spacing w:before="20" w:after="20"/>
            </w:pPr>
            <w:r w:rsidRPr="0064011C">
              <w:t xml:space="preserve">Please indicate the extent to which processes below are applied </w:t>
            </w:r>
            <w:proofErr w:type="gramStart"/>
            <w:r w:rsidRPr="0064011C">
              <w:t>consistently  (</w:t>
            </w:r>
            <w:proofErr w:type="gramEnd"/>
            <w:r w:rsidRPr="0064011C">
              <w:t xml:space="preserve">Q. 22.1, proportion reflects the aggregate proportion of </w:t>
            </w:r>
            <w:r w:rsidR="00AD4DCC">
              <w:t>“</w:t>
            </w:r>
            <w:r w:rsidRPr="0064011C">
              <w:t>used for all evaluations</w:t>
            </w:r>
            <w:r w:rsidR="00AD4DCC">
              <w:t>”</w:t>
            </w:r>
            <w:r w:rsidRPr="0064011C">
              <w:t xml:space="preserve">) </w:t>
            </w:r>
          </w:p>
        </w:tc>
        <w:tc>
          <w:tcPr>
            <w:tcW w:w="1560" w:type="dxa"/>
          </w:tcPr>
          <w:p w14:paraId="38684DF8" w14:textId="77777777" w:rsidR="00513159" w:rsidRPr="0064011C" w:rsidRDefault="00513159" w:rsidP="00C6006F">
            <w:pPr>
              <w:pStyle w:val="TableTextLeft"/>
              <w:spacing w:before="20" w:after="20"/>
            </w:pPr>
            <w:r>
              <w:t>Aggregate responses only (small n)</w:t>
            </w:r>
          </w:p>
        </w:tc>
        <w:tc>
          <w:tcPr>
            <w:tcW w:w="1842" w:type="dxa"/>
          </w:tcPr>
          <w:p w14:paraId="1483E688" w14:textId="77777777" w:rsidR="00513159" w:rsidRPr="0064011C" w:rsidRDefault="00513159" w:rsidP="00C6006F">
            <w:pPr>
              <w:pStyle w:val="TableTextLeft"/>
              <w:spacing w:before="20" w:after="20"/>
            </w:pPr>
          </w:p>
        </w:tc>
      </w:tr>
      <w:tr w:rsidR="00513159" w14:paraId="53515D1C" w14:textId="77777777" w:rsidTr="00C6006F">
        <w:tc>
          <w:tcPr>
            <w:tcW w:w="5660" w:type="dxa"/>
          </w:tcPr>
          <w:p w14:paraId="7845EA37" w14:textId="30366C4C" w:rsidR="00513159" w:rsidRPr="0064011C" w:rsidRDefault="00C6006F" w:rsidP="00C6006F">
            <w:pPr>
              <w:pStyle w:val="TableTextLeft"/>
              <w:spacing w:before="20" w:after="20"/>
            </w:pPr>
            <w:r w:rsidRPr="00C51975">
              <w:tab/>
            </w:r>
            <w:r w:rsidR="00513159" w:rsidRPr="0064011C">
              <w:t xml:space="preserve">Centring Aboriginal and Torres Strait Islander people, </w:t>
            </w:r>
            <w:r w:rsidRPr="00C51975">
              <w:tab/>
            </w:r>
            <w:r w:rsidR="00513159" w:rsidRPr="0064011C">
              <w:t>perspectives, priorities and knowledges in all stages of evaluation</w:t>
            </w:r>
          </w:p>
        </w:tc>
        <w:tc>
          <w:tcPr>
            <w:tcW w:w="1560" w:type="dxa"/>
          </w:tcPr>
          <w:p w14:paraId="2D3737A4" w14:textId="167747F4" w:rsidR="00513159" w:rsidRPr="0064011C" w:rsidRDefault="00AD4DCC" w:rsidP="00C6006F">
            <w:pPr>
              <w:pStyle w:val="TableTextLeft"/>
              <w:spacing w:before="20" w:after="20"/>
            </w:pPr>
            <w:r>
              <w:noBreakHyphen/>
            </w:r>
          </w:p>
        </w:tc>
        <w:tc>
          <w:tcPr>
            <w:tcW w:w="1842" w:type="dxa"/>
          </w:tcPr>
          <w:p w14:paraId="3A5E6B91" w14:textId="77777777" w:rsidR="00513159" w:rsidRPr="0064011C" w:rsidRDefault="00513159" w:rsidP="00C6006F">
            <w:pPr>
              <w:pStyle w:val="TableTextLeft"/>
              <w:spacing w:before="20" w:after="20"/>
            </w:pPr>
            <w:r w:rsidRPr="0064011C">
              <w:t>7%</w:t>
            </w:r>
          </w:p>
        </w:tc>
      </w:tr>
      <w:tr w:rsidR="00513159" w14:paraId="3FF7EDE0" w14:textId="77777777" w:rsidTr="00C6006F">
        <w:tc>
          <w:tcPr>
            <w:tcW w:w="5660" w:type="dxa"/>
          </w:tcPr>
          <w:p w14:paraId="736DE74A" w14:textId="0EBD4539" w:rsidR="00513159" w:rsidRPr="0064011C" w:rsidRDefault="00C6006F" w:rsidP="00C6006F">
            <w:pPr>
              <w:pStyle w:val="TableTextLeft"/>
              <w:spacing w:before="20" w:after="20"/>
            </w:pPr>
            <w:r w:rsidRPr="00C51975">
              <w:tab/>
            </w:r>
            <w:r w:rsidR="00513159" w:rsidRPr="0064011C">
              <w:t xml:space="preserve">Working in partnership with Aboriginal and Torres Strait Islander </w:t>
            </w:r>
            <w:r w:rsidRPr="00C51975">
              <w:tab/>
            </w:r>
            <w:r w:rsidR="00513159" w:rsidRPr="0064011C">
              <w:t>people and stakeholders on evaluation</w:t>
            </w:r>
          </w:p>
        </w:tc>
        <w:tc>
          <w:tcPr>
            <w:tcW w:w="1560" w:type="dxa"/>
          </w:tcPr>
          <w:p w14:paraId="5A4F0634" w14:textId="788DFEA7" w:rsidR="00513159" w:rsidRPr="0064011C" w:rsidRDefault="00AD4DCC" w:rsidP="00C6006F">
            <w:pPr>
              <w:pStyle w:val="TableTextLeft"/>
              <w:spacing w:before="20" w:after="20"/>
            </w:pPr>
            <w:r>
              <w:noBreakHyphen/>
            </w:r>
          </w:p>
        </w:tc>
        <w:tc>
          <w:tcPr>
            <w:tcW w:w="1842" w:type="dxa"/>
          </w:tcPr>
          <w:p w14:paraId="24ADF0B4" w14:textId="77777777" w:rsidR="00513159" w:rsidRPr="0064011C" w:rsidRDefault="00513159" w:rsidP="00C6006F">
            <w:pPr>
              <w:pStyle w:val="TableTextLeft"/>
              <w:spacing w:before="20" w:after="20"/>
            </w:pPr>
            <w:r w:rsidRPr="0064011C">
              <w:t>7%</w:t>
            </w:r>
          </w:p>
        </w:tc>
      </w:tr>
      <w:tr w:rsidR="00513159" w14:paraId="4EEBEAC7" w14:textId="77777777" w:rsidTr="00C6006F">
        <w:tc>
          <w:tcPr>
            <w:tcW w:w="5660" w:type="dxa"/>
          </w:tcPr>
          <w:p w14:paraId="256D84F7" w14:textId="4D6D5E8E" w:rsidR="00513159" w:rsidRPr="0064011C" w:rsidRDefault="00C6006F" w:rsidP="00C6006F">
            <w:pPr>
              <w:pStyle w:val="TableTextLeft"/>
              <w:spacing w:before="20" w:after="20"/>
            </w:pPr>
            <w:r w:rsidRPr="00C51975">
              <w:tab/>
            </w:r>
            <w:r w:rsidR="00513159" w:rsidRPr="0064011C">
              <w:t xml:space="preserve">Aboriginal and Torres Strait Islander leadership, oversight and/or </w:t>
            </w:r>
            <w:r w:rsidRPr="00C51975">
              <w:tab/>
            </w:r>
            <w:r w:rsidR="00513159" w:rsidRPr="0064011C">
              <w:t xml:space="preserve">governance on evaluation activities </w:t>
            </w:r>
          </w:p>
        </w:tc>
        <w:tc>
          <w:tcPr>
            <w:tcW w:w="1560" w:type="dxa"/>
          </w:tcPr>
          <w:p w14:paraId="7592C25B" w14:textId="1A5ADEF8" w:rsidR="00513159" w:rsidRPr="0064011C" w:rsidRDefault="00AD4DCC" w:rsidP="00C6006F">
            <w:pPr>
              <w:pStyle w:val="TableTextLeft"/>
              <w:spacing w:before="20" w:after="20"/>
            </w:pPr>
            <w:r>
              <w:noBreakHyphen/>
            </w:r>
          </w:p>
        </w:tc>
        <w:tc>
          <w:tcPr>
            <w:tcW w:w="1842" w:type="dxa"/>
          </w:tcPr>
          <w:p w14:paraId="1A3719F7" w14:textId="77777777" w:rsidR="00513159" w:rsidRPr="0064011C" w:rsidRDefault="00513159" w:rsidP="00C6006F">
            <w:pPr>
              <w:pStyle w:val="TableTextLeft"/>
              <w:spacing w:before="20" w:after="20"/>
            </w:pPr>
            <w:r w:rsidRPr="0064011C">
              <w:t>7%</w:t>
            </w:r>
          </w:p>
        </w:tc>
      </w:tr>
      <w:tr w:rsidR="00513159" w14:paraId="17769785" w14:textId="77777777" w:rsidTr="00C6006F">
        <w:tc>
          <w:tcPr>
            <w:tcW w:w="5660" w:type="dxa"/>
          </w:tcPr>
          <w:p w14:paraId="4B9AAA29" w14:textId="365C7557" w:rsidR="00513159" w:rsidRPr="0064011C" w:rsidRDefault="00C6006F" w:rsidP="00C6006F">
            <w:pPr>
              <w:pStyle w:val="TableTextLeft"/>
              <w:spacing w:before="20" w:after="20"/>
            </w:pPr>
            <w:r w:rsidRPr="00C51975">
              <w:tab/>
            </w:r>
            <w:r w:rsidR="00513159" w:rsidRPr="0064011C">
              <w:t xml:space="preserve">Disseminating, synthesising and translating evaluation findings in </w:t>
            </w:r>
            <w:r w:rsidRPr="00C51975">
              <w:tab/>
            </w:r>
            <w:r w:rsidR="00513159" w:rsidRPr="0064011C">
              <w:t xml:space="preserve">accessible forms that can be used by Aboriginal and </w:t>
            </w:r>
            <w:r>
              <w:br/>
            </w:r>
            <w:r w:rsidRPr="00C51975">
              <w:tab/>
            </w:r>
            <w:r w:rsidR="00513159" w:rsidRPr="0064011C">
              <w:t xml:space="preserve">Torres Strait Islander people </w:t>
            </w:r>
          </w:p>
        </w:tc>
        <w:tc>
          <w:tcPr>
            <w:tcW w:w="1560" w:type="dxa"/>
          </w:tcPr>
          <w:p w14:paraId="077EC6E2" w14:textId="4E2F33FC" w:rsidR="00513159" w:rsidRPr="0064011C" w:rsidRDefault="00AD4DCC" w:rsidP="00C6006F">
            <w:pPr>
              <w:pStyle w:val="TableTextLeft"/>
              <w:spacing w:before="20" w:after="20"/>
            </w:pPr>
            <w:r>
              <w:noBreakHyphen/>
            </w:r>
          </w:p>
        </w:tc>
        <w:tc>
          <w:tcPr>
            <w:tcW w:w="1842" w:type="dxa"/>
          </w:tcPr>
          <w:p w14:paraId="25A0735E" w14:textId="77777777" w:rsidR="00513159" w:rsidRPr="0064011C" w:rsidRDefault="00513159" w:rsidP="00C6006F">
            <w:pPr>
              <w:pStyle w:val="TableTextLeft"/>
              <w:spacing w:before="20" w:after="20"/>
            </w:pPr>
            <w:r w:rsidRPr="0064011C">
              <w:t>17%</w:t>
            </w:r>
          </w:p>
        </w:tc>
      </w:tr>
      <w:tr w:rsidR="00513159" w14:paraId="421E2745" w14:textId="77777777" w:rsidTr="00C6006F">
        <w:tc>
          <w:tcPr>
            <w:tcW w:w="5660" w:type="dxa"/>
          </w:tcPr>
          <w:p w14:paraId="3B9F8FE6" w14:textId="5BFDC618" w:rsidR="00513159" w:rsidRPr="0064011C" w:rsidRDefault="00C6006F" w:rsidP="00C6006F">
            <w:pPr>
              <w:pStyle w:val="TableTextLeft"/>
              <w:spacing w:before="20" w:after="20"/>
            </w:pPr>
            <w:r w:rsidRPr="00C51975">
              <w:tab/>
            </w:r>
            <w:r w:rsidR="00513159" w:rsidRPr="0064011C">
              <w:t xml:space="preserve">Strengthening and supporting the capability of Aboriginal and </w:t>
            </w:r>
            <w:r w:rsidRPr="00C51975">
              <w:tab/>
            </w:r>
            <w:r w:rsidR="00513159" w:rsidRPr="0064011C">
              <w:t xml:space="preserve">Torres Strait Islander people, entities and communities to engage </w:t>
            </w:r>
            <w:r w:rsidRPr="00C51975">
              <w:tab/>
            </w:r>
            <w:r w:rsidR="00513159" w:rsidRPr="0064011C">
              <w:t>in and use evaluation</w:t>
            </w:r>
          </w:p>
        </w:tc>
        <w:tc>
          <w:tcPr>
            <w:tcW w:w="1560" w:type="dxa"/>
          </w:tcPr>
          <w:p w14:paraId="73604870" w14:textId="482C7F84" w:rsidR="00513159" w:rsidRPr="0064011C" w:rsidRDefault="00AD4DCC" w:rsidP="00C6006F">
            <w:pPr>
              <w:pStyle w:val="TableTextLeft"/>
              <w:spacing w:before="20" w:after="20"/>
            </w:pPr>
            <w:r>
              <w:noBreakHyphen/>
            </w:r>
          </w:p>
        </w:tc>
        <w:tc>
          <w:tcPr>
            <w:tcW w:w="1842" w:type="dxa"/>
          </w:tcPr>
          <w:p w14:paraId="4FC7E161" w14:textId="77777777" w:rsidR="00513159" w:rsidRPr="0064011C" w:rsidRDefault="00513159" w:rsidP="00C6006F">
            <w:pPr>
              <w:pStyle w:val="TableTextLeft"/>
              <w:spacing w:before="20" w:after="20"/>
            </w:pPr>
            <w:r w:rsidRPr="0064011C">
              <w:t>3%</w:t>
            </w:r>
          </w:p>
        </w:tc>
      </w:tr>
    </w:tbl>
    <w:p w14:paraId="69BC684E" w14:textId="36EFCE8E" w:rsidR="0041177D" w:rsidRDefault="0041177D" w:rsidP="009C5393">
      <w:pPr>
        <w:pStyle w:val="ChartMainHeading"/>
        <w:jc w:val="left"/>
      </w:pPr>
      <w:r w:rsidRPr="00297621">
        <w:lastRenderedPageBreak/>
        <w:t>Table</w:t>
      </w:r>
      <w:r w:rsidR="009C5393">
        <w:t xml:space="preserve"> 3</w:t>
      </w:r>
      <w:r w:rsidRPr="00213DBC">
        <w:t>: Survey results table</w:t>
      </w:r>
      <w:r>
        <w:t xml:space="preserve"> (continued)</w:t>
      </w:r>
    </w:p>
    <w:tbl>
      <w:tblPr>
        <w:tblStyle w:val="TableGrid"/>
        <w:tblW w:w="9062" w:type="dxa"/>
        <w:tblBorders>
          <w:top w:val="single" w:sz="8" w:space="0" w:color="213657"/>
          <w:left w:val="single" w:sz="8" w:space="0" w:color="213657"/>
          <w:bottom w:val="single" w:sz="8" w:space="0" w:color="213657"/>
          <w:right w:val="single" w:sz="8" w:space="0" w:color="213657"/>
          <w:insideH w:val="single" w:sz="8" w:space="0" w:color="213657"/>
          <w:insideV w:val="single" w:sz="8" w:space="0" w:color="213657"/>
        </w:tblBorders>
        <w:tblLook w:val="04A0" w:firstRow="1" w:lastRow="0" w:firstColumn="1" w:lastColumn="0" w:noHBand="0" w:noVBand="1"/>
      </w:tblPr>
      <w:tblGrid>
        <w:gridCol w:w="5660"/>
        <w:gridCol w:w="1560"/>
        <w:gridCol w:w="1842"/>
      </w:tblGrid>
      <w:tr w:rsidR="00B00548" w:rsidRPr="00CB544B" w14:paraId="5EBA495D" w14:textId="77777777" w:rsidTr="00B00548">
        <w:trPr>
          <w:cnfStyle w:val="100000000000" w:firstRow="1" w:lastRow="0" w:firstColumn="0" w:lastColumn="0" w:oddVBand="0" w:evenVBand="0" w:oddHBand="0" w:evenHBand="0" w:firstRowFirstColumn="0" w:firstRowLastColumn="0" w:lastRowFirstColumn="0" w:lastRowLastColumn="0"/>
          <w:tblHeader/>
        </w:trPr>
        <w:tc>
          <w:tcPr>
            <w:tcW w:w="5660" w:type="dxa"/>
            <w:shd w:val="clear" w:color="auto" w:fill="213657"/>
          </w:tcPr>
          <w:p w14:paraId="449C3508" w14:textId="77777777" w:rsidR="00B00548" w:rsidRPr="00C6006F" w:rsidRDefault="00B00548" w:rsidP="00B00548">
            <w:pPr>
              <w:pStyle w:val="TableColumnHeadingLeft"/>
              <w:rPr>
                <w:b/>
                <w:bCs/>
                <w:color w:val="FFFFFF" w:themeColor="background1"/>
              </w:rPr>
            </w:pPr>
            <w:r w:rsidRPr="00C6006F">
              <w:rPr>
                <w:b/>
                <w:bCs/>
                <w:color w:val="FFFFFF" w:themeColor="background1"/>
              </w:rPr>
              <w:t>Survey question</w:t>
            </w:r>
          </w:p>
        </w:tc>
        <w:tc>
          <w:tcPr>
            <w:tcW w:w="1560" w:type="dxa"/>
            <w:shd w:val="clear" w:color="auto" w:fill="213657"/>
          </w:tcPr>
          <w:p w14:paraId="37AB540A" w14:textId="77777777" w:rsidR="00B00548" w:rsidRPr="00C6006F" w:rsidRDefault="00B00548" w:rsidP="00B00548">
            <w:pPr>
              <w:pStyle w:val="TableColumnHeadingLeft"/>
              <w:rPr>
                <w:b/>
                <w:bCs/>
                <w:color w:val="FFFFFF" w:themeColor="background1"/>
              </w:rPr>
            </w:pPr>
            <w:r w:rsidRPr="00C6006F">
              <w:rPr>
                <w:b/>
                <w:bCs/>
                <w:color w:val="FFFFFF" w:themeColor="background1"/>
              </w:rPr>
              <w:t xml:space="preserve">Large entities </w:t>
            </w:r>
            <w:r>
              <w:rPr>
                <w:b/>
                <w:bCs/>
                <w:color w:val="FFFFFF" w:themeColor="background1"/>
              </w:rPr>
              <w:br/>
            </w:r>
            <w:r w:rsidRPr="00C6006F">
              <w:rPr>
                <w:b/>
                <w:bCs/>
                <w:color w:val="FFFFFF" w:themeColor="background1"/>
              </w:rPr>
              <w:t>(n = 34, if not specified otherwise)</w:t>
            </w:r>
          </w:p>
        </w:tc>
        <w:tc>
          <w:tcPr>
            <w:tcW w:w="1842" w:type="dxa"/>
            <w:shd w:val="clear" w:color="auto" w:fill="213657"/>
          </w:tcPr>
          <w:p w14:paraId="42C3DF32" w14:textId="77777777" w:rsidR="00B00548" w:rsidRPr="00C6006F" w:rsidRDefault="00B00548" w:rsidP="00B00548">
            <w:pPr>
              <w:pStyle w:val="TableColumnHeadingLeft"/>
              <w:rPr>
                <w:b/>
                <w:bCs/>
                <w:color w:val="FFFFFF" w:themeColor="background1"/>
              </w:rPr>
            </w:pPr>
            <w:r w:rsidRPr="00C6006F">
              <w:rPr>
                <w:b/>
                <w:bCs/>
                <w:color w:val="FFFFFF" w:themeColor="background1"/>
              </w:rPr>
              <w:t xml:space="preserve">Overall Proportion </w:t>
            </w:r>
          </w:p>
          <w:p w14:paraId="6F5659A7" w14:textId="77777777" w:rsidR="00B00548" w:rsidRPr="00C6006F" w:rsidRDefault="00B00548" w:rsidP="00B00548">
            <w:pPr>
              <w:pStyle w:val="TableColumnHeadingLeft"/>
              <w:rPr>
                <w:b/>
                <w:bCs/>
                <w:color w:val="FFFFFF" w:themeColor="background1"/>
              </w:rPr>
            </w:pPr>
            <w:r w:rsidRPr="00C6006F">
              <w:rPr>
                <w:b/>
                <w:bCs/>
                <w:color w:val="FFFFFF" w:themeColor="background1"/>
              </w:rPr>
              <w:t>(n = 92, if not specified otherwise)</w:t>
            </w:r>
          </w:p>
        </w:tc>
      </w:tr>
      <w:tr w:rsidR="0041177D" w14:paraId="2EE39C0A" w14:textId="77777777" w:rsidTr="000B4649">
        <w:tc>
          <w:tcPr>
            <w:tcW w:w="5660" w:type="dxa"/>
          </w:tcPr>
          <w:p w14:paraId="4443EBF9" w14:textId="77777777" w:rsidR="0041177D" w:rsidRPr="0064011C" w:rsidRDefault="0041177D" w:rsidP="000B4649">
            <w:pPr>
              <w:pStyle w:val="TableTextLeft"/>
              <w:spacing w:before="20" w:after="20"/>
            </w:pPr>
            <w:r w:rsidRPr="00C51975">
              <w:tab/>
            </w:r>
            <w:r w:rsidRPr="0064011C">
              <w:t xml:space="preserve">Engaging with Aboriginal and Torres Strait Islander staff within </w:t>
            </w:r>
            <w:r w:rsidRPr="00C51975">
              <w:tab/>
            </w:r>
            <w:r w:rsidRPr="0064011C">
              <w:t>your entity</w:t>
            </w:r>
          </w:p>
        </w:tc>
        <w:tc>
          <w:tcPr>
            <w:tcW w:w="1560" w:type="dxa"/>
          </w:tcPr>
          <w:p w14:paraId="7CC08386" w14:textId="77777777" w:rsidR="0041177D" w:rsidRPr="0064011C" w:rsidRDefault="0041177D" w:rsidP="000B4649">
            <w:pPr>
              <w:pStyle w:val="TableTextLeft"/>
              <w:spacing w:before="20" w:after="20"/>
            </w:pPr>
            <w:r>
              <w:noBreakHyphen/>
            </w:r>
          </w:p>
        </w:tc>
        <w:tc>
          <w:tcPr>
            <w:tcW w:w="1842" w:type="dxa"/>
          </w:tcPr>
          <w:p w14:paraId="0082A43E" w14:textId="77777777" w:rsidR="0041177D" w:rsidRPr="0064011C" w:rsidRDefault="0041177D" w:rsidP="000B4649">
            <w:pPr>
              <w:pStyle w:val="TableTextLeft"/>
              <w:spacing w:before="20" w:after="20"/>
            </w:pPr>
            <w:r w:rsidRPr="0064011C">
              <w:t>13%</w:t>
            </w:r>
          </w:p>
        </w:tc>
      </w:tr>
      <w:tr w:rsidR="00513159" w14:paraId="23D7FD99" w14:textId="77777777" w:rsidTr="00C6006F">
        <w:tc>
          <w:tcPr>
            <w:tcW w:w="5660" w:type="dxa"/>
          </w:tcPr>
          <w:p w14:paraId="3ABF6E8A" w14:textId="3752158A" w:rsidR="00513159" w:rsidRPr="0064011C" w:rsidRDefault="00513159" w:rsidP="00C6006F">
            <w:pPr>
              <w:pStyle w:val="TableTextLeft"/>
              <w:spacing w:before="20" w:after="20"/>
            </w:pPr>
            <w:r w:rsidRPr="0064011C">
              <w:t xml:space="preserve">To what extent does your agency draw on the following resources to support evaluations to be culturally appropriate with respect to Aboriginal and Torres Strait Islander people and communities? (please select all that apply) (Q. 24, proportion reflects the aggregate proportion of </w:t>
            </w:r>
            <w:r w:rsidR="00AD4DCC">
              <w:t>“</w:t>
            </w:r>
            <w:r w:rsidRPr="0064011C">
              <w:t>used for all evaluations</w:t>
            </w:r>
            <w:r w:rsidR="00AD4DCC">
              <w:t>”</w:t>
            </w:r>
            <w:r w:rsidRPr="0064011C">
              <w:t>)</w:t>
            </w:r>
          </w:p>
        </w:tc>
        <w:tc>
          <w:tcPr>
            <w:tcW w:w="1560" w:type="dxa"/>
          </w:tcPr>
          <w:p w14:paraId="5D007906" w14:textId="77777777" w:rsidR="00513159" w:rsidRPr="0064011C" w:rsidRDefault="00513159" w:rsidP="00C6006F">
            <w:pPr>
              <w:pStyle w:val="TableTextLeft"/>
              <w:spacing w:before="20" w:after="20"/>
            </w:pPr>
            <w:r>
              <w:t>Aggregate responses only (small n)</w:t>
            </w:r>
          </w:p>
        </w:tc>
        <w:tc>
          <w:tcPr>
            <w:tcW w:w="1842" w:type="dxa"/>
          </w:tcPr>
          <w:p w14:paraId="762FD3A9" w14:textId="77777777" w:rsidR="00513159" w:rsidRPr="0064011C" w:rsidRDefault="00513159" w:rsidP="00C6006F">
            <w:pPr>
              <w:pStyle w:val="TableTextLeft"/>
              <w:spacing w:before="20" w:after="20"/>
            </w:pPr>
          </w:p>
        </w:tc>
      </w:tr>
      <w:tr w:rsidR="00513159" w14:paraId="4D896B92" w14:textId="77777777" w:rsidTr="00C6006F">
        <w:tc>
          <w:tcPr>
            <w:tcW w:w="5660" w:type="dxa"/>
          </w:tcPr>
          <w:p w14:paraId="30288C28" w14:textId="6589CDA1" w:rsidR="00513159" w:rsidRPr="0064011C" w:rsidRDefault="00C6006F" w:rsidP="00C6006F">
            <w:pPr>
              <w:pStyle w:val="TableTextLeft"/>
              <w:spacing w:before="20" w:after="20"/>
            </w:pPr>
            <w:r w:rsidRPr="00C51975">
              <w:tab/>
            </w:r>
            <w:r w:rsidR="00513159" w:rsidRPr="0064011C">
              <w:t>National Agreement on Closing the Gap Priority Reforms</w:t>
            </w:r>
          </w:p>
        </w:tc>
        <w:tc>
          <w:tcPr>
            <w:tcW w:w="1560" w:type="dxa"/>
          </w:tcPr>
          <w:p w14:paraId="1E95AF81" w14:textId="522C4134" w:rsidR="00513159" w:rsidRPr="0064011C" w:rsidRDefault="00AD4DCC" w:rsidP="00C6006F">
            <w:pPr>
              <w:pStyle w:val="TableTextLeft"/>
              <w:spacing w:before="20" w:after="20"/>
            </w:pPr>
            <w:r>
              <w:noBreakHyphen/>
            </w:r>
          </w:p>
        </w:tc>
        <w:tc>
          <w:tcPr>
            <w:tcW w:w="1842" w:type="dxa"/>
          </w:tcPr>
          <w:p w14:paraId="6F7A9A96" w14:textId="77777777" w:rsidR="00513159" w:rsidRPr="0064011C" w:rsidRDefault="00513159" w:rsidP="00C6006F">
            <w:pPr>
              <w:pStyle w:val="TableTextLeft"/>
              <w:spacing w:before="20" w:after="20"/>
            </w:pPr>
            <w:r w:rsidRPr="0064011C">
              <w:t>8%</w:t>
            </w:r>
          </w:p>
        </w:tc>
      </w:tr>
      <w:tr w:rsidR="00513159" w14:paraId="74150B7B" w14:textId="77777777" w:rsidTr="00C6006F">
        <w:tc>
          <w:tcPr>
            <w:tcW w:w="5660" w:type="dxa"/>
          </w:tcPr>
          <w:p w14:paraId="2BF09C47" w14:textId="74E73E44" w:rsidR="00513159" w:rsidRPr="0064011C" w:rsidRDefault="00C6006F" w:rsidP="00C6006F">
            <w:pPr>
              <w:pStyle w:val="TableTextLeft"/>
              <w:spacing w:before="20" w:after="20"/>
            </w:pPr>
            <w:r w:rsidRPr="00C51975">
              <w:tab/>
            </w:r>
            <w:r w:rsidR="00513159" w:rsidRPr="0064011C">
              <w:t>Productivity Commission</w:t>
            </w:r>
            <w:r w:rsidR="00AD4DCC">
              <w:t>’</w:t>
            </w:r>
            <w:r w:rsidR="00513159" w:rsidRPr="0064011C">
              <w:t>s Indigenous Evaluation Strategy</w:t>
            </w:r>
          </w:p>
        </w:tc>
        <w:tc>
          <w:tcPr>
            <w:tcW w:w="1560" w:type="dxa"/>
          </w:tcPr>
          <w:p w14:paraId="48A81A46" w14:textId="34A2133E" w:rsidR="00513159" w:rsidRPr="0064011C" w:rsidRDefault="00AD4DCC" w:rsidP="00C6006F">
            <w:pPr>
              <w:pStyle w:val="TableTextLeft"/>
              <w:spacing w:before="20" w:after="20"/>
            </w:pPr>
            <w:r>
              <w:noBreakHyphen/>
            </w:r>
          </w:p>
        </w:tc>
        <w:tc>
          <w:tcPr>
            <w:tcW w:w="1842" w:type="dxa"/>
          </w:tcPr>
          <w:p w14:paraId="7404B808" w14:textId="77777777" w:rsidR="00513159" w:rsidRPr="0064011C" w:rsidRDefault="00513159" w:rsidP="00C6006F">
            <w:pPr>
              <w:pStyle w:val="TableTextLeft"/>
              <w:spacing w:before="20" w:after="20"/>
            </w:pPr>
            <w:r w:rsidRPr="0064011C">
              <w:t>4%</w:t>
            </w:r>
          </w:p>
        </w:tc>
      </w:tr>
      <w:tr w:rsidR="00513159" w14:paraId="7DE5434A" w14:textId="77777777" w:rsidTr="00C6006F">
        <w:tc>
          <w:tcPr>
            <w:tcW w:w="5660" w:type="dxa"/>
          </w:tcPr>
          <w:p w14:paraId="66666232" w14:textId="5B55A6AA" w:rsidR="00513159" w:rsidRPr="0064011C" w:rsidRDefault="00C6006F" w:rsidP="00C6006F">
            <w:pPr>
              <w:pStyle w:val="TableTextLeft"/>
              <w:spacing w:before="20" w:after="20"/>
            </w:pPr>
            <w:r w:rsidRPr="00C51975">
              <w:tab/>
            </w:r>
            <w:r w:rsidR="00513159" w:rsidRPr="0064011C">
              <w:t>Framework for the Governance of Indigenous Data</w:t>
            </w:r>
          </w:p>
        </w:tc>
        <w:tc>
          <w:tcPr>
            <w:tcW w:w="1560" w:type="dxa"/>
          </w:tcPr>
          <w:p w14:paraId="00D20364" w14:textId="5F987091" w:rsidR="00513159" w:rsidRPr="0064011C" w:rsidRDefault="00AD4DCC" w:rsidP="00C6006F">
            <w:pPr>
              <w:pStyle w:val="TableTextLeft"/>
              <w:spacing w:before="20" w:after="20"/>
            </w:pPr>
            <w:r>
              <w:noBreakHyphen/>
            </w:r>
          </w:p>
        </w:tc>
        <w:tc>
          <w:tcPr>
            <w:tcW w:w="1842" w:type="dxa"/>
          </w:tcPr>
          <w:p w14:paraId="13D8C409" w14:textId="77777777" w:rsidR="00513159" w:rsidRPr="0064011C" w:rsidRDefault="00513159" w:rsidP="00C6006F">
            <w:pPr>
              <w:pStyle w:val="TableTextLeft"/>
              <w:spacing w:before="20" w:after="20"/>
            </w:pPr>
            <w:r w:rsidRPr="0064011C">
              <w:t>6%</w:t>
            </w:r>
          </w:p>
        </w:tc>
      </w:tr>
      <w:tr w:rsidR="00513159" w14:paraId="57ACEA3F" w14:textId="77777777" w:rsidTr="00C6006F">
        <w:tc>
          <w:tcPr>
            <w:tcW w:w="5660" w:type="dxa"/>
          </w:tcPr>
          <w:p w14:paraId="5F537829" w14:textId="1F1D0003" w:rsidR="00513159" w:rsidRPr="0064011C" w:rsidRDefault="00C6006F" w:rsidP="00C6006F">
            <w:pPr>
              <w:pStyle w:val="TableTextLeft"/>
              <w:spacing w:before="20" w:after="20"/>
            </w:pPr>
            <w:r w:rsidRPr="00C51975">
              <w:tab/>
            </w:r>
            <w:r w:rsidR="00513159" w:rsidRPr="0064011C">
              <w:t xml:space="preserve">AIATSIS Code of Ethics for Aboriginal and Torres Strait Islander </w:t>
            </w:r>
            <w:r w:rsidRPr="00C51975">
              <w:tab/>
            </w:r>
            <w:r w:rsidR="00513159" w:rsidRPr="0064011C">
              <w:t>Research</w:t>
            </w:r>
          </w:p>
        </w:tc>
        <w:tc>
          <w:tcPr>
            <w:tcW w:w="1560" w:type="dxa"/>
          </w:tcPr>
          <w:p w14:paraId="2035B24F" w14:textId="41BD90FD" w:rsidR="00513159" w:rsidRPr="0064011C" w:rsidRDefault="00AD4DCC" w:rsidP="00C6006F">
            <w:pPr>
              <w:pStyle w:val="TableTextLeft"/>
              <w:spacing w:before="20" w:after="20"/>
            </w:pPr>
            <w:r>
              <w:noBreakHyphen/>
            </w:r>
          </w:p>
        </w:tc>
        <w:tc>
          <w:tcPr>
            <w:tcW w:w="1842" w:type="dxa"/>
          </w:tcPr>
          <w:p w14:paraId="47064C60" w14:textId="77777777" w:rsidR="00513159" w:rsidRPr="0064011C" w:rsidRDefault="00513159" w:rsidP="00C6006F">
            <w:pPr>
              <w:pStyle w:val="TableTextLeft"/>
              <w:spacing w:before="20" w:after="20"/>
            </w:pPr>
            <w:r w:rsidRPr="0064011C">
              <w:t>8%</w:t>
            </w:r>
          </w:p>
        </w:tc>
      </w:tr>
      <w:tr w:rsidR="00513159" w14:paraId="6907B971" w14:textId="77777777" w:rsidTr="00C6006F">
        <w:tc>
          <w:tcPr>
            <w:tcW w:w="5660" w:type="dxa"/>
          </w:tcPr>
          <w:p w14:paraId="1FA357E4" w14:textId="6BB4B349" w:rsidR="00513159" w:rsidRPr="0064011C" w:rsidRDefault="00C6006F" w:rsidP="00C6006F">
            <w:pPr>
              <w:pStyle w:val="TableTextLeft"/>
              <w:spacing w:before="20" w:after="20"/>
            </w:pPr>
            <w:r w:rsidRPr="00C51975">
              <w:tab/>
            </w:r>
            <w:r w:rsidR="00513159" w:rsidRPr="0064011C">
              <w:t>AES First Nations Cultural Safety Framework</w:t>
            </w:r>
          </w:p>
        </w:tc>
        <w:tc>
          <w:tcPr>
            <w:tcW w:w="1560" w:type="dxa"/>
          </w:tcPr>
          <w:p w14:paraId="586F99F9" w14:textId="05708CE9" w:rsidR="00513159" w:rsidRPr="0064011C" w:rsidRDefault="00AD4DCC" w:rsidP="00C6006F">
            <w:pPr>
              <w:pStyle w:val="TableTextLeft"/>
              <w:spacing w:before="20" w:after="20"/>
            </w:pPr>
            <w:r>
              <w:noBreakHyphen/>
            </w:r>
          </w:p>
        </w:tc>
        <w:tc>
          <w:tcPr>
            <w:tcW w:w="1842" w:type="dxa"/>
          </w:tcPr>
          <w:p w14:paraId="4C72BE9F" w14:textId="77777777" w:rsidR="00513159" w:rsidRPr="0064011C" w:rsidRDefault="00513159" w:rsidP="00C6006F">
            <w:pPr>
              <w:pStyle w:val="TableTextLeft"/>
              <w:spacing w:before="20" w:after="20"/>
            </w:pPr>
            <w:r w:rsidRPr="0064011C">
              <w:t>4%</w:t>
            </w:r>
          </w:p>
        </w:tc>
      </w:tr>
      <w:tr w:rsidR="00513159" w14:paraId="2E228435" w14:textId="77777777" w:rsidTr="00C6006F">
        <w:tc>
          <w:tcPr>
            <w:tcW w:w="5660" w:type="dxa"/>
          </w:tcPr>
          <w:p w14:paraId="68622287" w14:textId="2BD3786C" w:rsidR="00513159" w:rsidRPr="0064011C" w:rsidRDefault="00513159" w:rsidP="00C6006F">
            <w:pPr>
              <w:pStyle w:val="TableTextLeft"/>
              <w:spacing w:before="20" w:after="20"/>
            </w:pPr>
            <w:r w:rsidRPr="0064011C">
              <w:t>Does your agency</w:t>
            </w:r>
            <w:r w:rsidR="00AD4DCC">
              <w:t>’</w:t>
            </w:r>
            <w:r w:rsidRPr="0064011C">
              <w:t xml:space="preserve">s evaluation practice adopt any of following approaches to support culturally appropriate evaluation? (please select all that </w:t>
            </w:r>
            <w:proofErr w:type="gramStart"/>
            <w:r w:rsidRPr="0064011C">
              <w:t>apply)  (</w:t>
            </w:r>
            <w:proofErr w:type="gramEnd"/>
            <w:r w:rsidRPr="0064011C">
              <w:t>Q. 25)</w:t>
            </w:r>
          </w:p>
        </w:tc>
        <w:tc>
          <w:tcPr>
            <w:tcW w:w="1560" w:type="dxa"/>
          </w:tcPr>
          <w:p w14:paraId="17D38643" w14:textId="77777777" w:rsidR="00513159" w:rsidRPr="0064011C" w:rsidRDefault="00513159" w:rsidP="00C6006F">
            <w:pPr>
              <w:pStyle w:val="TableTextLeft"/>
              <w:spacing w:before="20" w:after="20"/>
            </w:pPr>
          </w:p>
        </w:tc>
        <w:tc>
          <w:tcPr>
            <w:tcW w:w="1842" w:type="dxa"/>
          </w:tcPr>
          <w:p w14:paraId="28D27D6D" w14:textId="77777777" w:rsidR="00513159" w:rsidRPr="0064011C" w:rsidRDefault="00513159" w:rsidP="00C6006F">
            <w:pPr>
              <w:pStyle w:val="TableTextLeft"/>
              <w:spacing w:before="20" w:after="20"/>
            </w:pPr>
          </w:p>
        </w:tc>
      </w:tr>
      <w:tr w:rsidR="00513159" w14:paraId="7E478C60" w14:textId="77777777" w:rsidTr="00C6006F">
        <w:tc>
          <w:tcPr>
            <w:tcW w:w="5660" w:type="dxa"/>
          </w:tcPr>
          <w:p w14:paraId="7D36B546" w14:textId="2CE40AD3" w:rsidR="00513159" w:rsidRPr="0064011C" w:rsidRDefault="00C6006F" w:rsidP="00C6006F">
            <w:pPr>
              <w:pStyle w:val="TableTextLeft"/>
              <w:spacing w:before="20" w:after="20"/>
            </w:pPr>
            <w:r w:rsidRPr="00C51975">
              <w:tab/>
            </w:r>
            <w:r w:rsidR="00513159" w:rsidRPr="0064011C">
              <w:t xml:space="preserve">The entity routinely considers evaluating the impacts of its </w:t>
            </w:r>
            <w:r w:rsidRPr="00C51975">
              <w:tab/>
            </w:r>
            <w:r w:rsidR="00513159" w:rsidRPr="0064011C">
              <w:t xml:space="preserve">mainstream policies and programs on Aboriginal and </w:t>
            </w:r>
            <w:r>
              <w:br/>
            </w:r>
            <w:r w:rsidRPr="00C51975">
              <w:tab/>
            </w:r>
            <w:r w:rsidR="00513159" w:rsidRPr="0064011C">
              <w:t>Torres Strait Islander people</w:t>
            </w:r>
          </w:p>
        </w:tc>
        <w:tc>
          <w:tcPr>
            <w:tcW w:w="1560" w:type="dxa"/>
          </w:tcPr>
          <w:p w14:paraId="36D53E55" w14:textId="77777777" w:rsidR="00513159" w:rsidRPr="0064011C" w:rsidRDefault="00513159" w:rsidP="00C6006F">
            <w:pPr>
              <w:pStyle w:val="TableTextLeft"/>
              <w:spacing w:before="20" w:after="20"/>
            </w:pPr>
            <w:r>
              <w:t>50%</w:t>
            </w:r>
          </w:p>
        </w:tc>
        <w:tc>
          <w:tcPr>
            <w:tcW w:w="1842" w:type="dxa"/>
          </w:tcPr>
          <w:p w14:paraId="2DC51F1E" w14:textId="77777777" w:rsidR="00513159" w:rsidRPr="0064011C" w:rsidRDefault="00513159" w:rsidP="00C6006F">
            <w:pPr>
              <w:pStyle w:val="TableTextLeft"/>
              <w:spacing w:before="20" w:after="20"/>
            </w:pPr>
            <w:r w:rsidRPr="0064011C">
              <w:t>32%</w:t>
            </w:r>
          </w:p>
        </w:tc>
      </w:tr>
      <w:tr w:rsidR="00513159" w14:paraId="360D723F" w14:textId="77777777" w:rsidTr="00C6006F">
        <w:tc>
          <w:tcPr>
            <w:tcW w:w="5660" w:type="dxa"/>
          </w:tcPr>
          <w:p w14:paraId="19E12DD9" w14:textId="078B22E9" w:rsidR="00513159" w:rsidRPr="0064011C" w:rsidRDefault="00C6006F" w:rsidP="00C6006F">
            <w:pPr>
              <w:pStyle w:val="TableTextLeft"/>
              <w:spacing w:before="20" w:after="20"/>
            </w:pPr>
            <w:r w:rsidRPr="00C51975">
              <w:tab/>
            </w:r>
            <w:r w:rsidR="00513159" w:rsidRPr="0064011C">
              <w:t xml:space="preserve">Evaluations include an examination of how entities are working </w:t>
            </w:r>
            <w:r w:rsidRPr="00C51975">
              <w:tab/>
            </w:r>
            <w:r w:rsidR="00513159" w:rsidRPr="0064011C">
              <w:t xml:space="preserve">with Aboriginal and Torres Strait Islander people to develop and </w:t>
            </w:r>
            <w:r w:rsidRPr="00C51975">
              <w:tab/>
            </w:r>
            <w:r w:rsidR="00513159" w:rsidRPr="0064011C">
              <w:t>deliver policies and programs</w:t>
            </w:r>
          </w:p>
        </w:tc>
        <w:tc>
          <w:tcPr>
            <w:tcW w:w="1560" w:type="dxa"/>
          </w:tcPr>
          <w:p w14:paraId="6EA891C1" w14:textId="77777777" w:rsidR="00513159" w:rsidRPr="0064011C" w:rsidRDefault="00513159" w:rsidP="00C6006F">
            <w:pPr>
              <w:pStyle w:val="TableTextLeft"/>
              <w:spacing w:before="20" w:after="20"/>
            </w:pPr>
            <w:r>
              <w:t>34%</w:t>
            </w:r>
          </w:p>
        </w:tc>
        <w:tc>
          <w:tcPr>
            <w:tcW w:w="1842" w:type="dxa"/>
          </w:tcPr>
          <w:p w14:paraId="53EC9498" w14:textId="77777777" w:rsidR="00513159" w:rsidRPr="0064011C" w:rsidRDefault="00513159" w:rsidP="00C6006F">
            <w:pPr>
              <w:pStyle w:val="TableTextLeft"/>
              <w:spacing w:before="20" w:after="20"/>
            </w:pPr>
            <w:r w:rsidRPr="0064011C">
              <w:t>21%</w:t>
            </w:r>
          </w:p>
        </w:tc>
      </w:tr>
      <w:tr w:rsidR="00513159" w14:paraId="44E0E9E3" w14:textId="77777777" w:rsidTr="00C6006F">
        <w:tc>
          <w:tcPr>
            <w:tcW w:w="5660" w:type="dxa"/>
          </w:tcPr>
          <w:p w14:paraId="3CE4AB5C" w14:textId="72B918AA" w:rsidR="00513159" w:rsidRPr="0064011C" w:rsidRDefault="00C6006F" w:rsidP="00C6006F">
            <w:pPr>
              <w:pStyle w:val="TableTextLeft"/>
              <w:spacing w:before="20" w:after="20"/>
            </w:pPr>
            <w:r w:rsidRPr="00C51975">
              <w:tab/>
            </w:r>
            <w:r w:rsidR="00513159" w:rsidRPr="0064011C">
              <w:t xml:space="preserve">Data used for evaluation are collected in a culturally safe </w:t>
            </w:r>
            <w:r w:rsidRPr="00C51975">
              <w:tab/>
            </w:r>
            <w:r w:rsidR="00513159" w:rsidRPr="0064011C">
              <w:t>manner.</w:t>
            </w:r>
          </w:p>
        </w:tc>
        <w:tc>
          <w:tcPr>
            <w:tcW w:w="1560" w:type="dxa"/>
          </w:tcPr>
          <w:p w14:paraId="2B8EC569" w14:textId="77777777" w:rsidR="00513159" w:rsidRPr="0064011C" w:rsidRDefault="00513159" w:rsidP="00C6006F">
            <w:pPr>
              <w:pStyle w:val="TableTextLeft"/>
              <w:spacing w:before="20" w:after="20"/>
            </w:pPr>
            <w:r>
              <w:t>50%</w:t>
            </w:r>
          </w:p>
        </w:tc>
        <w:tc>
          <w:tcPr>
            <w:tcW w:w="1842" w:type="dxa"/>
          </w:tcPr>
          <w:p w14:paraId="1F381095" w14:textId="77777777" w:rsidR="00513159" w:rsidRPr="0064011C" w:rsidRDefault="00513159" w:rsidP="00C6006F">
            <w:pPr>
              <w:pStyle w:val="TableTextLeft"/>
              <w:spacing w:before="20" w:after="20"/>
            </w:pPr>
            <w:r w:rsidRPr="0064011C">
              <w:t>41%</w:t>
            </w:r>
          </w:p>
        </w:tc>
      </w:tr>
      <w:tr w:rsidR="00513159" w14:paraId="6CD0F746" w14:textId="77777777" w:rsidTr="00C6006F">
        <w:tc>
          <w:tcPr>
            <w:tcW w:w="5660" w:type="dxa"/>
          </w:tcPr>
          <w:p w14:paraId="0379876E" w14:textId="4F028307" w:rsidR="00513159" w:rsidRPr="0064011C" w:rsidRDefault="00C6006F" w:rsidP="00C6006F">
            <w:pPr>
              <w:pStyle w:val="TableTextLeft"/>
              <w:spacing w:before="20" w:after="20"/>
            </w:pPr>
            <w:r w:rsidRPr="00C51975">
              <w:tab/>
            </w:r>
            <w:r w:rsidR="00513159" w:rsidRPr="0064011C">
              <w:t xml:space="preserve">The entity provides opportunities for staff to strengthen their </w:t>
            </w:r>
            <w:r w:rsidRPr="00C51975">
              <w:tab/>
            </w:r>
            <w:r w:rsidR="00513159" w:rsidRPr="0064011C">
              <w:t>cultural capability</w:t>
            </w:r>
          </w:p>
        </w:tc>
        <w:tc>
          <w:tcPr>
            <w:tcW w:w="1560" w:type="dxa"/>
          </w:tcPr>
          <w:p w14:paraId="684D31E5" w14:textId="77777777" w:rsidR="00513159" w:rsidRPr="0064011C" w:rsidRDefault="00513159" w:rsidP="00C6006F">
            <w:pPr>
              <w:pStyle w:val="TableTextLeft"/>
              <w:spacing w:before="20" w:after="20"/>
            </w:pPr>
            <w:r>
              <w:t>75%</w:t>
            </w:r>
          </w:p>
        </w:tc>
        <w:tc>
          <w:tcPr>
            <w:tcW w:w="1842" w:type="dxa"/>
          </w:tcPr>
          <w:p w14:paraId="747FFB1A" w14:textId="77777777" w:rsidR="00513159" w:rsidRPr="0064011C" w:rsidRDefault="00513159" w:rsidP="00C6006F">
            <w:pPr>
              <w:pStyle w:val="TableTextLeft"/>
              <w:spacing w:before="20" w:after="20"/>
            </w:pPr>
            <w:r w:rsidRPr="0064011C">
              <w:t>63%</w:t>
            </w:r>
          </w:p>
        </w:tc>
      </w:tr>
      <w:tr w:rsidR="00513159" w14:paraId="595DE5D1" w14:textId="77777777" w:rsidTr="00C6006F">
        <w:tc>
          <w:tcPr>
            <w:tcW w:w="5660" w:type="dxa"/>
          </w:tcPr>
          <w:p w14:paraId="27AB28C0" w14:textId="357CCFE1" w:rsidR="00513159" w:rsidRPr="0064011C" w:rsidRDefault="00C6006F" w:rsidP="00C6006F">
            <w:pPr>
              <w:pStyle w:val="TableTextLeft"/>
              <w:spacing w:before="20" w:after="20"/>
            </w:pPr>
            <w:r w:rsidRPr="00C51975">
              <w:tab/>
            </w:r>
            <w:r w:rsidR="00513159" w:rsidRPr="0064011C">
              <w:t xml:space="preserve">The entity allocates sufficient time and resources for meaningful </w:t>
            </w:r>
            <w:r w:rsidRPr="00C51975">
              <w:tab/>
            </w:r>
            <w:r w:rsidR="00513159" w:rsidRPr="0064011C">
              <w:t xml:space="preserve">engagement with Aboriginal and Torres Strait Islander people </w:t>
            </w:r>
            <w:r w:rsidRPr="00C51975">
              <w:tab/>
            </w:r>
            <w:r w:rsidR="00513159" w:rsidRPr="0064011C">
              <w:t>during evaluations</w:t>
            </w:r>
          </w:p>
        </w:tc>
        <w:tc>
          <w:tcPr>
            <w:tcW w:w="1560" w:type="dxa"/>
          </w:tcPr>
          <w:p w14:paraId="6C470C03" w14:textId="77777777" w:rsidR="00513159" w:rsidRPr="0064011C" w:rsidRDefault="00513159" w:rsidP="00C6006F">
            <w:pPr>
              <w:pStyle w:val="TableTextLeft"/>
              <w:spacing w:before="20" w:after="20"/>
            </w:pPr>
            <w:r>
              <w:t>25%</w:t>
            </w:r>
          </w:p>
        </w:tc>
        <w:tc>
          <w:tcPr>
            <w:tcW w:w="1842" w:type="dxa"/>
          </w:tcPr>
          <w:p w14:paraId="7CA4CD1E" w14:textId="77777777" w:rsidR="00513159" w:rsidRPr="0064011C" w:rsidRDefault="00513159" w:rsidP="00C6006F">
            <w:pPr>
              <w:pStyle w:val="TableTextLeft"/>
              <w:spacing w:before="20" w:after="20"/>
            </w:pPr>
            <w:r w:rsidRPr="0064011C">
              <w:t>23%</w:t>
            </w:r>
          </w:p>
        </w:tc>
      </w:tr>
      <w:tr w:rsidR="00513159" w14:paraId="171D7319" w14:textId="77777777" w:rsidTr="00C6006F">
        <w:tc>
          <w:tcPr>
            <w:tcW w:w="5660" w:type="dxa"/>
          </w:tcPr>
          <w:p w14:paraId="02466EC0" w14:textId="77777777" w:rsidR="00513159" w:rsidRPr="0064011C" w:rsidRDefault="00513159" w:rsidP="00C6006F">
            <w:pPr>
              <w:pStyle w:val="TableTextLeft"/>
              <w:spacing w:before="20" w:after="20"/>
            </w:pPr>
            <w:r w:rsidRPr="0064011C">
              <w:t>Does your agency have an evaluation ethics review process? (Q. 26)</w:t>
            </w:r>
          </w:p>
        </w:tc>
        <w:tc>
          <w:tcPr>
            <w:tcW w:w="1560" w:type="dxa"/>
          </w:tcPr>
          <w:p w14:paraId="63137DD6" w14:textId="77777777" w:rsidR="00513159" w:rsidRPr="0064011C" w:rsidRDefault="00513159" w:rsidP="00C6006F">
            <w:pPr>
              <w:pStyle w:val="TableTextLeft"/>
              <w:spacing w:before="20" w:after="20"/>
            </w:pPr>
            <w:r>
              <w:t>33%</w:t>
            </w:r>
          </w:p>
        </w:tc>
        <w:tc>
          <w:tcPr>
            <w:tcW w:w="1842" w:type="dxa"/>
          </w:tcPr>
          <w:p w14:paraId="7DCF5C86" w14:textId="77777777" w:rsidR="00513159" w:rsidRPr="0064011C" w:rsidRDefault="00513159" w:rsidP="00C6006F">
            <w:pPr>
              <w:pStyle w:val="TableTextLeft"/>
              <w:spacing w:before="20" w:after="20"/>
            </w:pPr>
            <w:r w:rsidRPr="0064011C">
              <w:t>21%</w:t>
            </w:r>
          </w:p>
        </w:tc>
      </w:tr>
      <w:tr w:rsidR="00513159" w14:paraId="5B36F983" w14:textId="77777777" w:rsidTr="00C6006F">
        <w:tc>
          <w:tcPr>
            <w:tcW w:w="5660" w:type="dxa"/>
          </w:tcPr>
          <w:p w14:paraId="5FD547A5" w14:textId="77777777" w:rsidR="00513159" w:rsidRPr="00C6006F" w:rsidRDefault="00513159" w:rsidP="00C6006F">
            <w:pPr>
              <w:pStyle w:val="TableTextLeft"/>
              <w:spacing w:before="20" w:after="20"/>
              <w:rPr>
                <w:rStyle w:val="Strong"/>
              </w:rPr>
            </w:pPr>
            <w:r w:rsidRPr="00C6006F">
              <w:rPr>
                <w:rStyle w:val="Strong"/>
              </w:rPr>
              <w:t>Evaluation evidence use</w:t>
            </w:r>
          </w:p>
        </w:tc>
        <w:tc>
          <w:tcPr>
            <w:tcW w:w="1560" w:type="dxa"/>
          </w:tcPr>
          <w:p w14:paraId="142A5C50" w14:textId="77777777" w:rsidR="00513159" w:rsidRPr="00C6006F" w:rsidRDefault="00513159" w:rsidP="00C6006F">
            <w:pPr>
              <w:pStyle w:val="TableTextLeft"/>
              <w:spacing w:before="20" w:after="20"/>
              <w:rPr>
                <w:rStyle w:val="Strong"/>
              </w:rPr>
            </w:pPr>
          </w:p>
        </w:tc>
        <w:tc>
          <w:tcPr>
            <w:tcW w:w="1842" w:type="dxa"/>
          </w:tcPr>
          <w:p w14:paraId="38241499" w14:textId="77777777" w:rsidR="00513159" w:rsidRPr="00C6006F" w:rsidRDefault="00513159" w:rsidP="00C6006F">
            <w:pPr>
              <w:pStyle w:val="TableTextLeft"/>
              <w:spacing w:before="20" w:after="20"/>
              <w:rPr>
                <w:rStyle w:val="Strong"/>
              </w:rPr>
            </w:pPr>
          </w:p>
        </w:tc>
      </w:tr>
      <w:tr w:rsidR="00513159" w14:paraId="513404AE" w14:textId="77777777" w:rsidTr="00C6006F">
        <w:tc>
          <w:tcPr>
            <w:tcW w:w="5660" w:type="dxa"/>
          </w:tcPr>
          <w:p w14:paraId="670EFED0" w14:textId="5699852D" w:rsidR="00513159" w:rsidRPr="0064011C" w:rsidRDefault="00513159" w:rsidP="00C6006F">
            <w:pPr>
              <w:pStyle w:val="TableTextLeft"/>
              <w:spacing w:before="20" w:after="20"/>
            </w:pPr>
            <w:r w:rsidRPr="0064011C">
              <w:t xml:space="preserve">To what extent does your agency use evaluation evidence to (responses indicating </w:t>
            </w:r>
            <w:r w:rsidR="00AD4DCC">
              <w:t>“</w:t>
            </w:r>
            <w:r w:rsidRPr="0064011C">
              <w:t>always</w:t>
            </w:r>
            <w:r w:rsidR="00AD4DCC">
              <w:t>”</w:t>
            </w:r>
            <w:r w:rsidRPr="0064011C">
              <w:t xml:space="preserve"> and </w:t>
            </w:r>
            <w:r w:rsidR="00AD4DCC">
              <w:t>“</w:t>
            </w:r>
            <w:r w:rsidRPr="0064011C">
              <w:t>often</w:t>
            </w:r>
            <w:r w:rsidR="00AD4DCC">
              <w:t>”</w:t>
            </w:r>
            <w:r w:rsidRPr="0064011C">
              <w:t>) (please select all that apply) (Q.28)</w:t>
            </w:r>
          </w:p>
        </w:tc>
        <w:tc>
          <w:tcPr>
            <w:tcW w:w="1560" w:type="dxa"/>
          </w:tcPr>
          <w:p w14:paraId="455264CD" w14:textId="77777777" w:rsidR="00513159" w:rsidRPr="0064011C" w:rsidRDefault="00513159" w:rsidP="00C6006F">
            <w:pPr>
              <w:pStyle w:val="TableTextLeft"/>
              <w:spacing w:before="20" w:after="20"/>
            </w:pPr>
            <w:r>
              <w:t>Aggregate responses only</w:t>
            </w:r>
          </w:p>
        </w:tc>
        <w:tc>
          <w:tcPr>
            <w:tcW w:w="1842" w:type="dxa"/>
          </w:tcPr>
          <w:p w14:paraId="04F1F441" w14:textId="77777777" w:rsidR="00513159" w:rsidRPr="0064011C" w:rsidRDefault="00513159" w:rsidP="00C6006F">
            <w:pPr>
              <w:pStyle w:val="TableTextLeft"/>
              <w:spacing w:before="20" w:after="20"/>
            </w:pPr>
          </w:p>
        </w:tc>
      </w:tr>
      <w:tr w:rsidR="00513159" w14:paraId="0B1D89AB" w14:textId="77777777" w:rsidTr="00C6006F">
        <w:tc>
          <w:tcPr>
            <w:tcW w:w="5660" w:type="dxa"/>
          </w:tcPr>
          <w:p w14:paraId="53A46159" w14:textId="2938FE4E" w:rsidR="00513159" w:rsidRPr="0064011C" w:rsidRDefault="00C6006F" w:rsidP="00C6006F">
            <w:pPr>
              <w:pStyle w:val="TableTextLeft"/>
              <w:spacing w:before="20" w:after="20"/>
            </w:pPr>
            <w:r w:rsidRPr="00C51975">
              <w:tab/>
            </w:r>
            <w:r w:rsidR="00513159" w:rsidRPr="0064011C">
              <w:t>Plan/revise general strategies</w:t>
            </w:r>
          </w:p>
        </w:tc>
        <w:tc>
          <w:tcPr>
            <w:tcW w:w="1560" w:type="dxa"/>
          </w:tcPr>
          <w:p w14:paraId="643780E0" w14:textId="5DA887A4" w:rsidR="00513159" w:rsidRPr="0064011C" w:rsidRDefault="00AD4DCC" w:rsidP="00C6006F">
            <w:pPr>
              <w:pStyle w:val="TableTextLeft"/>
              <w:spacing w:before="20" w:after="20"/>
            </w:pPr>
            <w:r>
              <w:noBreakHyphen/>
            </w:r>
          </w:p>
        </w:tc>
        <w:tc>
          <w:tcPr>
            <w:tcW w:w="1842" w:type="dxa"/>
          </w:tcPr>
          <w:p w14:paraId="405800A5" w14:textId="77777777" w:rsidR="00513159" w:rsidRPr="0064011C" w:rsidRDefault="00513159" w:rsidP="00C6006F">
            <w:pPr>
              <w:pStyle w:val="TableTextLeft"/>
              <w:spacing w:before="20" w:after="20"/>
            </w:pPr>
            <w:r w:rsidRPr="0064011C">
              <w:t>37%</w:t>
            </w:r>
          </w:p>
        </w:tc>
      </w:tr>
      <w:tr w:rsidR="00513159" w14:paraId="381DDA2A" w14:textId="77777777" w:rsidTr="00C6006F">
        <w:tc>
          <w:tcPr>
            <w:tcW w:w="5660" w:type="dxa"/>
          </w:tcPr>
          <w:p w14:paraId="073722CA" w14:textId="368292EE" w:rsidR="00513159" w:rsidRPr="0064011C" w:rsidRDefault="00C6006F" w:rsidP="00C6006F">
            <w:pPr>
              <w:pStyle w:val="TableTextLeft"/>
              <w:spacing w:before="20" w:after="20"/>
            </w:pPr>
            <w:r w:rsidRPr="00C51975">
              <w:tab/>
            </w:r>
            <w:r w:rsidR="00513159" w:rsidRPr="0064011C">
              <w:t>Plan/revise program initiatives</w:t>
            </w:r>
          </w:p>
        </w:tc>
        <w:tc>
          <w:tcPr>
            <w:tcW w:w="1560" w:type="dxa"/>
          </w:tcPr>
          <w:p w14:paraId="693E65AA" w14:textId="3361F83C" w:rsidR="00513159" w:rsidRPr="0064011C" w:rsidRDefault="00AD4DCC" w:rsidP="00C6006F">
            <w:pPr>
              <w:pStyle w:val="TableTextLeft"/>
              <w:spacing w:before="20" w:after="20"/>
            </w:pPr>
            <w:r>
              <w:noBreakHyphen/>
            </w:r>
          </w:p>
        </w:tc>
        <w:tc>
          <w:tcPr>
            <w:tcW w:w="1842" w:type="dxa"/>
          </w:tcPr>
          <w:p w14:paraId="19CF1323" w14:textId="77777777" w:rsidR="00513159" w:rsidRPr="0064011C" w:rsidRDefault="00513159" w:rsidP="00C6006F">
            <w:pPr>
              <w:pStyle w:val="TableTextLeft"/>
              <w:spacing w:before="20" w:after="20"/>
            </w:pPr>
            <w:r w:rsidRPr="0064011C">
              <w:t>39%</w:t>
            </w:r>
          </w:p>
        </w:tc>
      </w:tr>
      <w:tr w:rsidR="00513159" w14:paraId="1FE6063E" w14:textId="77777777" w:rsidTr="00C6006F">
        <w:tc>
          <w:tcPr>
            <w:tcW w:w="5660" w:type="dxa"/>
          </w:tcPr>
          <w:p w14:paraId="6C475CCA" w14:textId="6E3B9011" w:rsidR="00513159" w:rsidRPr="0064011C" w:rsidRDefault="00C6006F" w:rsidP="00C6006F">
            <w:pPr>
              <w:pStyle w:val="TableTextLeft"/>
              <w:spacing w:before="20" w:after="20"/>
            </w:pPr>
            <w:r w:rsidRPr="00C51975">
              <w:tab/>
            </w:r>
            <w:r w:rsidR="00513159" w:rsidRPr="0064011C">
              <w:t>Plan/revise grant initiatives</w:t>
            </w:r>
          </w:p>
        </w:tc>
        <w:tc>
          <w:tcPr>
            <w:tcW w:w="1560" w:type="dxa"/>
          </w:tcPr>
          <w:p w14:paraId="08BFA1EE" w14:textId="625E64C4" w:rsidR="00513159" w:rsidRPr="0064011C" w:rsidRDefault="00AD4DCC" w:rsidP="00C6006F">
            <w:pPr>
              <w:pStyle w:val="TableTextLeft"/>
              <w:spacing w:before="20" w:after="20"/>
            </w:pPr>
            <w:r>
              <w:noBreakHyphen/>
            </w:r>
          </w:p>
        </w:tc>
        <w:tc>
          <w:tcPr>
            <w:tcW w:w="1842" w:type="dxa"/>
          </w:tcPr>
          <w:p w14:paraId="3AB3D458" w14:textId="77777777" w:rsidR="00513159" w:rsidRPr="0064011C" w:rsidRDefault="00513159" w:rsidP="00C6006F">
            <w:pPr>
              <w:pStyle w:val="TableTextLeft"/>
              <w:spacing w:before="20" w:after="20"/>
            </w:pPr>
            <w:r w:rsidRPr="0064011C">
              <w:t>25%</w:t>
            </w:r>
          </w:p>
        </w:tc>
      </w:tr>
      <w:tr w:rsidR="00513159" w14:paraId="269EE56D" w14:textId="77777777" w:rsidTr="00C6006F">
        <w:tc>
          <w:tcPr>
            <w:tcW w:w="5660" w:type="dxa"/>
          </w:tcPr>
          <w:p w14:paraId="568A3CEF" w14:textId="4C3C194E" w:rsidR="00513159" w:rsidRPr="0064011C" w:rsidRDefault="00C6006F" w:rsidP="00C6006F">
            <w:pPr>
              <w:pStyle w:val="TableTextLeft"/>
              <w:spacing w:before="20" w:after="20"/>
            </w:pPr>
            <w:r w:rsidRPr="00C51975">
              <w:tab/>
            </w:r>
            <w:r w:rsidR="00513159" w:rsidRPr="0064011C">
              <w:t>Report to Board of Directors</w:t>
            </w:r>
          </w:p>
        </w:tc>
        <w:tc>
          <w:tcPr>
            <w:tcW w:w="1560" w:type="dxa"/>
          </w:tcPr>
          <w:p w14:paraId="10507073" w14:textId="49A8842E" w:rsidR="00513159" w:rsidRPr="0064011C" w:rsidRDefault="00AD4DCC" w:rsidP="00C6006F">
            <w:pPr>
              <w:pStyle w:val="TableTextLeft"/>
              <w:spacing w:before="20" w:after="20"/>
            </w:pPr>
            <w:r>
              <w:noBreakHyphen/>
            </w:r>
          </w:p>
        </w:tc>
        <w:tc>
          <w:tcPr>
            <w:tcW w:w="1842" w:type="dxa"/>
          </w:tcPr>
          <w:p w14:paraId="78F69429" w14:textId="77777777" w:rsidR="00513159" w:rsidRPr="0064011C" w:rsidRDefault="00513159" w:rsidP="00C6006F">
            <w:pPr>
              <w:pStyle w:val="TableTextLeft"/>
              <w:spacing w:before="20" w:after="20"/>
            </w:pPr>
            <w:r w:rsidRPr="0064011C">
              <w:t>30%</w:t>
            </w:r>
          </w:p>
        </w:tc>
      </w:tr>
      <w:tr w:rsidR="00513159" w14:paraId="6149126E" w14:textId="77777777" w:rsidTr="00C6006F">
        <w:tc>
          <w:tcPr>
            <w:tcW w:w="5660" w:type="dxa"/>
          </w:tcPr>
          <w:p w14:paraId="38D45C3E" w14:textId="7CE9C5B4" w:rsidR="00513159" w:rsidRPr="0064011C" w:rsidRDefault="00C6006F" w:rsidP="00C6006F">
            <w:pPr>
              <w:pStyle w:val="TableTextLeft"/>
              <w:spacing w:before="20" w:after="20"/>
            </w:pPr>
            <w:r w:rsidRPr="00C51975">
              <w:tab/>
            </w:r>
            <w:r w:rsidR="00513159" w:rsidRPr="0064011C">
              <w:t>Report to Government</w:t>
            </w:r>
          </w:p>
        </w:tc>
        <w:tc>
          <w:tcPr>
            <w:tcW w:w="1560" w:type="dxa"/>
          </w:tcPr>
          <w:p w14:paraId="45E3819A" w14:textId="1A795A92" w:rsidR="00513159" w:rsidRPr="0064011C" w:rsidRDefault="00AD4DCC" w:rsidP="00C6006F">
            <w:pPr>
              <w:pStyle w:val="TableTextLeft"/>
              <w:spacing w:before="20" w:after="20"/>
            </w:pPr>
            <w:r>
              <w:noBreakHyphen/>
            </w:r>
          </w:p>
        </w:tc>
        <w:tc>
          <w:tcPr>
            <w:tcW w:w="1842" w:type="dxa"/>
          </w:tcPr>
          <w:p w14:paraId="43EFCAEF" w14:textId="77777777" w:rsidR="00513159" w:rsidRPr="0064011C" w:rsidRDefault="00513159" w:rsidP="00C6006F">
            <w:pPr>
              <w:pStyle w:val="TableTextLeft"/>
              <w:spacing w:before="20" w:after="20"/>
            </w:pPr>
            <w:r w:rsidRPr="0064011C">
              <w:t>46%</w:t>
            </w:r>
          </w:p>
        </w:tc>
      </w:tr>
      <w:tr w:rsidR="00513159" w14:paraId="49B0D2E6" w14:textId="77777777" w:rsidTr="00C6006F">
        <w:tc>
          <w:tcPr>
            <w:tcW w:w="5660" w:type="dxa"/>
          </w:tcPr>
          <w:p w14:paraId="4B54FD79" w14:textId="13203CC1" w:rsidR="00513159" w:rsidRPr="0064011C" w:rsidRDefault="00C6006F" w:rsidP="00C6006F">
            <w:pPr>
              <w:pStyle w:val="TableTextLeft"/>
              <w:spacing w:before="20" w:after="20"/>
            </w:pPr>
            <w:r w:rsidRPr="00C51975">
              <w:tab/>
            </w:r>
            <w:r w:rsidR="00513159" w:rsidRPr="0064011C">
              <w:t>Report to stakeholders</w:t>
            </w:r>
          </w:p>
        </w:tc>
        <w:tc>
          <w:tcPr>
            <w:tcW w:w="1560" w:type="dxa"/>
          </w:tcPr>
          <w:p w14:paraId="168CD9EF" w14:textId="1FB28402" w:rsidR="00513159" w:rsidRPr="0064011C" w:rsidRDefault="00AD4DCC" w:rsidP="00C6006F">
            <w:pPr>
              <w:pStyle w:val="TableTextLeft"/>
              <w:spacing w:before="20" w:after="20"/>
            </w:pPr>
            <w:r>
              <w:noBreakHyphen/>
            </w:r>
          </w:p>
        </w:tc>
        <w:tc>
          <w:tcPr>
            <w:tcW w:w="1842" w:type="dxa"/>
          </w:tcPr>
          <w:p w14:paraId="34916A89" w14:textId="77777777" w:rsidR="00513159" w:rsidRPr="0064011C" w:rsidRDefault="00513159" w:rsidP="00C6006F">
            <w:pPr>
              <w:pStyle w:val="TableTextLeft"/>
              <w:spacing w:before="20" w:after="20"/>
            </w:pPr>
            <w:r w:rsidRPr="0064011C">
              <w:t>42%</w:t>
            </w:r>
          </w:p>
        </w:tc>
      </w:tr>
      <w:tr w:rsidR="00513159" w14:paraId="10B649C6" w14:textId="77777777" w:rsidTr="00C6006F">
        <w:tc>
          <w:tcPr>
            <w:tcW w:w="5660" w:type="dxa"/>
          </w:tcPr>
          <w:p w14:paraId="1F97A630" w14:textId="5E023295" w:rsidR="00513159" w:rsidRPr="0064011C" w:rsidRDefault="00C6006F" w:rsidP="00C6006F">
            <w:pPr>
              <w:pStyle w:val="TableTextLeft"/>
              <w:spacing w:before="20" w:after="20"/>
            </w:pPr>
            <w:r w:rsidRPr="00C51975">
              <w:tab/>
            </w:r>
            <w:r w:rsidR="00513159" w:rsidRPr="0064011C">
              <w:t>Advocate for a cause</w:t>
            </w:r>
          </w:p>
        </w:tc>
        <w:tc>
          <w:tcPr>
            <w:tcW w:w="1560" w:type="dxa"/>
          </w:tcPr>
          <w:p w14:paraId="17CF30BE" w14:textId="074E81DC" w:rsidR="00513159" w:rsidRPr="0064011C" w:rsidRDefault="00AD4DCC" w:rsidP="00C6006F">
            <w:pPr>
              <w:pStyle w:val="TableTextLeft"/>
              <w:spacing w:before="20" w:after="20"/>
            </w:pPr>
            <w:r>
              <w:noBreakHyphen/>
            </w:r>
          </w:p>
        </w:tc>
        <w:tc>
          <w:tcPr>
            <w:tcW w:w="1842" w:type="dxa"/>
          </w:tcPr>
          <w:p w14:paraId="028DB06F" w14:textId="77777777" w:rsidR="00513159" w:rsidRPr="0064011C" w:rsidRDefault="00513159" w:rsidP="00C6006F">
            <w:pPr>
              <w:pStyle w:val="TableTextLeft"/>
              <w:spacing w:before="20" w:after="20"/>
            </w:pPr>
            <w:r w:rsidRPr="0064011C">
              <w:t>10%</w:t>
            </w:r>
          </w:p>
        </w:tc>
      </w:tr>
      <w:tr w:rsidR="00513159" w14:paraId="1116590E" w14:textId="77777777" w:rsidTr="00C6006F">
        <w:tc>
          <w:tcPr>
            <w:tcW w:w="5660" w:type="dxa"/>
          </w:tcPr>
          <w:p w14:paraId="3C38F44B" w14:textId="083EC4D0" w:rsidR="00513159" w:rsidRPr="0064011C" w:rsidRDefault="00C6006F" w:rsidP="00C6006F">
            <w:pPr>
              <w:pStyle w:val="TableTextLeft"/>
              <w:spacing w:before="20" w:after="20"/>
            </w:pPr>
            <w:r w:rsidRPr="00C51975">
              <w:tab/>
            </w:r>
            <w:r w:rsidR="00513159" w:rsidRPr="0064011C">
              <w:t>Share findings with peers</w:t>
            </w:r>
          </w:p>
        </w:tc>
        <w:tc>
          <w:tcPr>
            <w:tcW w:w="1560" w:type="dxa"/>
          </w:tcPr>
          <w:p w14:paraId="7000B709" w14:textId="33517E97" w:rsidR="00513159" w:rsidRPr="0064011C" w:rsidRDefault="00AD4DCC" w:rsidP="00C6006F">
            <w:pPr>
              <w:pStyle w:val="TableTextLeft"/>
              <w:spacing w:before="20" w:after="20"/>
            </w:pPr>
            <w:r>
              <w:noBreakHyphen/>
            </w:r>
          </w:p>
        </w:tc>
        <w:tc>
          <w:tcPr>
            <w:tcW w:w="1842" w:type="dxa"/>
          </w:tcPr>
          <w:p w14:paraId="667AD3A5" w14:textId="77777777" w:rsidR="00513159" w:rsidRPr="0064011C" w:rsidRDefault="00513159" w:rsidP="00C6006F">
            <w:pPr>
              <w:pStyle w:val="TableTextLeft"/>
              <w:spacing w:before="20" w:after="20"/>
            </w:pPr>
            <w:r w:rsidRPr="0064011C">
              <w:t>32%</w:t>
            </w:r>
          </w:p>
        </w:tc>
      </w:tr>
      <w:tr w:rsidR="00513159" w14:paraId="77F4A50D" w14:textId="77777777" w:rsidTr="00C6006F">
        <w:tc>
          <w:tcPr>
            <w:tcW w:w="5660" w:type="dxa"/>
          </w:tcPr>
          <w:p w14:paraId="21632815" w14:textId="1C335635" w:rsidR="00513159" w:rsidRPr="0064011C" w:rsidRDefault="00C6006F" w:rsidP="00C6006F">
            <w:pPr>
              <w:pStyle w:val="TableTextLeft"/>
              <w:spacing w:before="20" w:after="20"/>
            </w:pPr>
            <w:r w:rsidRPr="00C51975">
              <w:tab/>
            </w:r>
            <w:r w:rsidR="00513159" w:rsidRPr="0064011C">
              <w:t>Make funding allocation decisions</w:t>
            </w:r>
          </w:p>
        </w:tc>
        <w:tc>
          <w:tcPr>
            <w:tcW w:w="1560" w:type="dxa"/>
          </w:tcPr>
          <w:p w14:paraId="740577BB" w14:textId="2F939C15" w:rsidR="00513159" w:rsidRPr="0064011C" w:rsidRDefault="00AD4DCC" w:rsidP="00C6006F">
            <w:pPr>
              <w:pStyle w:val="TableTextLeft"/>
              <w:spacing w:before="20" w:after="20"/>
            </w:pPr>
            <w:r>
              <w:noBreakHyphen/>
            </w:r>
          </w:p>
        </w:tc>
        <w:tc>
          <w:tcPr>
            <w:tcW w:w="1842" w:type="dxa"/>
          </w:tcPr>
          <w:p w14:paraId="10CF336D" w14:textId="77777777" w:rsidR="00513159" w:rsidRPr="0064011C" w:rsidRDefault="00513159" w:rsidP="00C6006F">
            <w:pPr>
              <w:pStyle w:val="TableTextLeft"/>
              <w:spacing w:before="20" w:after="20"/>
            </w:pPr>
            <w:r w:rsidRPr="0064011C">
              <w:t>25%</w:t>
            </w:r>
          </w:p>
        </w:tc>
      </w:tr>
      <w:tr w:rsidR="00513159" w14:paraId="6550D62E" w14:textId="77777777" w:rsidTr="00C6006F">
        <w:tc>
          <w:tcPr>
            <w:tcW w:w="5660" w:type="dxa"/>
          </w:tcPr>
          <w:p w14:paraId="7F6CD65C" w14:textId="77777777" w:rsidR="00513159" w:rsidRPr="0064011C" w:rsidRDefault="00513159" w:rsidP="00C6006F">
            <w:pPr>
              <w:pStyle w:val="TableTextLeft"/>
              <w:spacing w:before="20" w:after="20"/>
            </w:pPr>
            <w:r w:rsidRPr="0064011C">
              <w:t>Does your agency routinely disseminate evaluation findings or reports publicly? (Q.30)</w:t>
            </w:r>
          </w:p>
        </w:tc>
        <w:tc>
          <w:tcPr>
            <w:tcW w:w="1560" w:type="dxa"/>
          </w:tcPr>
          <w:p w14:paraId="0D688455" w14:textId="77777777" w:rsidR="00513159" w:rsidRPr="0064011C" w:rsidRDefault="00513159" w:rsidP="00C6006F">
            <w:pPr>
              <w:pStyle w:val="TableTextLeft"/>
              <w:spacing w:before="20" w:after="20"/>
            </w:pPr>
            <w:r>
              <w:t>25%</w:t>
            </w:r>
          </w:p>
        </w:tc>
        <w:tc>
          <w:tcPr>
            <w:tcW w:w="1842" w:type="dxa"/>
          </w:tcPr>
          <w:p w14:paraId="7DA95C8F" w14:textId="77777777" w:rsidR="00513159" w:rsidRPr="0064011C" w:rsidRDefault="00513159" w:rsidP="00C6006F">
            <w:pPr>
              <w:pStyle w:val="TableTextLeft"/>
              <w:spacing w:before="20" w:after="20"/>
            </w:pPr>
            <w:r w:rsidRPr="0064011C">
              <w:t>31%</w:t>
            </w:r>
          </w:p>
        </w:tc>
      </w:tr>
      <w:tr w:rsidR="00513159" w14:paraId="06C82364" w14:textId="77777777" w:rsidTr="00C6006F">
        <w:tc>
          <w:tcPr>
            <w:tcW w:w="5660" w:type="dxa"/>
          </w:tcPr>
          <w:p w14:paraId="693582D7" w14:textId="77777777" w:rsidR="00513159" w:rsidRPr="0064011C" w:rsidRDefault="00513159" w:rsidP="00C6006F">
            <w:pPr>
              <w:pStyle w:val="TableTextLeft"/>
              <w:spacing w:before="20" w:after="20"/>
            </w:pPr>
            <w:r w:rsidRPr="0064011C">
              <w:t>Did your agency include any evaluation findings in the 2023 Annual Report? (Q. 31)</w:t>
            </w:r>
          </w:p>
        </w:tc>
        <w:tc>
          <w:tcPr>
            <w:tcW w:w="1560" w:type="dxa"/>
          </w:tcPr>
          <w:p w14:paraId="44E97408" w14:textId="77777777" w:rsidR="00513159" w:rsidRPr="0064011C" w:rsidRDefault="00513159" w:rsidP="00C6006F">
            <w:pPr>
              <w:pStyle w:val="TableTextLeft"/>
              <w:spacing w:before="20" w:after="20"/>
            </w:pPr>
            <w:r>
              <w:t>24%</w:t>
            </w:r>
          </w:p>
        </w:tc>
        <w:tc>
          <w:tcPr>
            <w:tcW w:w="1842" w:type="dxa"/>
          </w:tcPr>
          <w:p w14:paraId="4B152F65" w14:textId="48CE471F" w:rsidR="00513159" w:rsidRPr="0064011C" w:rsidRDefault="00513159" w:rsidP="00C6006F">
            <w:pPr>
              <w:pStyle w:val="TableTextLeft"/>
              <w:spacing w:before="20" w:after="20"/>
            </w:pPr>
            <w:r w:rsidRPr="0064011C">
              <w:t>3</w:t>
            </w:r>
            <w:r w:rsidR="00597DC5">
              <w:t>2</w:t>
            </w:r>
            <w:r w:rsidRPr="0064011C">
              <w:t>%</w:t>
            </w:r>
          </w:p>
        </w:tc>
      </w:tr>
    </w:tbl>
    <w:p w14:paraId="3E8BD4E0" w14:textId="03E58ADC" w:rsidR="0041177D" w:rsidRDefault="0041177D" w:rsidP="009C5393">
      <w:pPr>
        <w:pStyle w:val="ChartMainHeading"/>
        <w:jc w:val="left"/>
      </w:pPr>
      <w:r w:rsidRPr="00297621">
        <w:lastRenderedPageBreak/>
        <w:t xml:space="preserve">Table </w:t>
      </w:r>
      <w:r w:rsidR="009C5393">
        <w:t>3</w:t>
      </w:r>
      <w:r w:rsidRPr="00213DBC">
        <w:t>: Survey results table</w:t>
      </w:r>
      <w:r>
        <w:t xml:space="preserve"> (continued)</w:t>
      </w:r>
    </w:p>
    <w:tbl>
      <w:tblPr>
        <w:tblStyle w:val="TableGrid"/>
        <w:tblW w:w="9062" w:type="dxa"/>
        <w:tblBorders>
          <w:top w:val="single" w:sz="8" w:space="0" w:color="213657"/>
          <w:left w:val="single" w:sz="8" w:space="0" w:color="213657"/>
          <w:bottom w:val="single" w:sz="8" w:space="0" w:color="213657"/>
          <w:right w:val="single" w:sz="8" w:space="0" w:color="213657"/>
          <w:insideH w:val="single" w:sz="8" w:space="0" w:color="213657"/>
          <w:insideV w:val="single" w:sz="8" w:space="0" w:color="213657"/>
        </w:tblBorders>
        <w:tblLook w:val="04A0" w:firstRow="1" w:lastRow="0" w:firstColumn="1" w:lastColumn="0" w:noHBand="0" w:noVBand="1"/>
      </w:tblPr>
      <w:tblGrid>
        <w:gridCol w:w="5660"/>
        <w:gridCol w:w="1560"/>
        <w:gridCol w:w="1842"/>
      </w:tblGrid>
      <w:tr w:rsidR="00B00548" w:rsidRPr="00CB544B" w14:paraId="5DD7E6EC" w14:textId="77777777" w:rsidTr="00B00548">
        <w:trPr>
          <w:cnfStyle w:val="100000000000" w:firstRow="1" w:lastRow="0" w:firstColumn="0" w:lastColumn="0" w:oddVBand="0" w:evenVBand="0" w:oddHBand="0" w:evenHBand="0" w:firstRowFirstColumn="0" w:firstRowLastColumn="0" w:lastRowFirstColumn="0" w:lastRowLastColumn="0"/>
          <w:tblHeader/>
        </w:trPr>
        <w:tc>
          <w:tcPr>
            <w:tcW w:w="5660" w:type="dxa"/>
            <w:shd w:val="clear" w:color="auto" w:fill="213657"/>
          </w:tcPr>
          <w:p w14:paraId="6AC73CCD" w14:textId="77777777" w:rsidR="00B00548" w:rsidRPr="00C6006F" w:rsidRDefault="00B00548" w:rsidP="00B00548">
            <w:pPr>
              <w:pStyle w:val="TableColumnHeadingLeft"/>
              <w:rPr>
                <w:b/>
                <w:bCs/>
                <w:color w:val="FFFFFF" w:themeColor="background1"/>
              </w:rPr>
            </w:pPr>
            <w:r w:rsidRPr="00C6006F">
              <w:rPr>
                <w:b/>
                <w:bCs/>
                <w:color w:val="FFFFFF" w:themeColor="background1"/>
              </w:rPr>
              <w:t>Survey question</w:t>
            </w:r>
          </w:p>
        </w:tc>
        <w:tc>
          <w:tcPr>
            <w:tcW w:w="1560" w:type="dxa"/>
            <w:shd w:val="clear" w:color="auto" w:fill="213657"/>
          </w:tcPr>
          <w:p w14:paraId="78746B92" w14:textId="77777777" w:rsidR="00B00548" w:rsidRPr="00C6006F" w:rsidRDefault="00B00548" w:rsidP="00B00548">
            <w:pPr>
              <w:pStyle w:val="TableColumnHeadingLeft"/>
              <w:rPr>
                <w:b/>
                <w:bCs/>
                <w:color w:val="FFFFFF" w:themeColor="background1"/>
              </w:rPr>
            </w:pPr>
            <w:r w:rsidRPr="00C6006F">
              <w:rPr>
                <w:b/>
                <w:bCs/>
                <w:color w:val="FFFFFF" w:themeColor="background1"/>
              </w:rPr>
              <w:t xml:space="preserve">Large entities </w:t>
            </w:r>
            <w:r>
              <w:rPr>
                <w:b/>
                <w:bCs/>
                <w:color w:val="FFFFFF" w:themeColor="background1"/>
              </w:rPr>
              <w:br/>
            </w:r>
            <w:r w:rsidRPr="00C6006F">
              <w:rPr>
                <w:b/>
                <w:bCs/>
                <w:color w:val="FFFFFF" w:themeColor="background1"/>
              </w:rPr>
              <w:t>(n = 34, if not specified otherwise)</w:t>
            </w:r>
          </w:p>
        </w:tc>
        <w:tc>
          <w:tcPr>
            <w:tcW w:w="1842" w:type="dxa"/>
            <w:shd w:val="clear" w:color="auto" w:fill="213657"/>
          </w:tcPr>
          <w:p w14:paraId="254FBDD8" w14:textId="77777777" w:rsidR="00B00548" w:rsidRPr="00C6006F" w:rsidRDefault="00B00548" w:rsidP="00B00548">
            <w:pPr>
              <w:pStyle w:val="TableColumnHeadingLeft"/>
              <w:rPr>
                <w:b/>
                <w:bCs/>
                <w:color w:val="FFFFFF" w:themeColor="background1"/>
              </w:rPr>
            </w:pPr>
            <w:r w:rsidRPr="00C6006F">
              <w:rPr>
                <w:b/>
                <w:bCs/>
                <w:color w:val="FFFFFF" w:themeColor="background1"/>
              </w:rPr>
              <w:t xml:space="preserve">Overall Proportion </w:t>
            </w:r>
          </w:p>
          <w:p w14:paraId="7F32E068" w14:textId="77777777" w:rsidR="00B00548" w:rsidRPr="00C6006F" w:rsidRDefault="00B00548" w:rsidP="00B00548">
            <w:pPr>
              <w:pStyle w:val="TableColumnHeadingLeft"/>
              <w:rPr>
                <w:b/>
                <w:bCs/>
                <w:color w:val="FFFFFF" w:themeColor="background1"/>
              </w:rPr>
            </w:pPr>
            <w:r w:rsidRPr="00C6006F">
              <w:rPr>
                <w:b/>
                <w:bCs/>
                <w:color w:val="FFFFFF" w:themeColor="background1"/>
              </w:rPr>
              <w:t>(n = 92, if not specified otherwise)</w:t>
            </w:r>
          </w:p>
        </w:tc>
      </w:tr>
      <w:tr w:rsidR="00513159" w14:paraId="7967A582" w14:textId="77777777" w:rsidTr="00C6006F">
        <w:tc>
          <w:tcPr>
            <w:tcW w:w="5660" w:type="dxa"/>
          </w:tcPr>
          <w:p w14:paraId="470263CE" w14:textId="77777777" w:rsidR="00513159" w:rsidRPr="00C6006F" w:rsidRDefault="00513159" w:rsidP="00C6006F">
            <w:pPr>
              <w:pStyle w:val="TableTextLeft"/>
              <w:spacing w:before="20" w:after="20"/>
              <w:rPr>
                <w:rStyle w:val="Strong"/>
              </w:rPr>
            </w:pPr>
            <w:r w:rsidRPr="00C6006F">
              <w:rPr>
                <w:rStyle w:val="Strong"/>
              </w:rPr>
              <w:t>Evaluation capability and ACE support</w:t>
            </w:r>
          </w:p>
        </w:tc>
        <w:tc>
          <w:tcPr>
            <w:tcW w:w="1560" w:type="dxa"/>
          </w:tcPr>
          <w:p w14:paraId="41BBC3AE" w14:textId="77777777" w:rsidR="00513159" w:rsidRPr="00C6006F" w:rsidRDefault="00513159" w:rsidP="00C6006F">
            <w:pPr>
              <w:pStyle w:val="TableTextLeft"/>
              <w:spacing w:before="20" w:after="20"/>
              <w:rPr>
                <w:rStyle w:val="Strong"/>
              </w:rPr>
            </w:pPr>
          </w:p>
        </w:tc>
        <w:tc>
          <w:tcPr>
            <w:tcW w:w="1842" w:type="dxa"/>
          </w:tcPr>
          <w:p w14:paraId="5B4ECEFD" w14:textId="77777777" w:rsidR="00513159" w:rsidRPr="00C6006F" w:rsidRDefault="00513159" w:rsidP="00C6006F">
            <w:pPr>
              <w:pStyle w:val="TableTextLeft"/>
              <w:spacing w:before="20" w:after="20"/>
              <w:rPr>
                <w:rStyle w:val="Strong"/>
              </w:rPr>
            </w:pPr>
          </w:p>
        </w:tc>
      </w:tr>
      <w:tr w:rsidR="00513159" w14:paraId="03AF9346" w14:textId="77777777" w:rsidTr="00C6006F">
        <w:tc>
          <w:tcPr>
            <w:tcW w:w="5660" w:type="dxa"/>
          </w:tcPr>
          <w:p w14:paraId="1845781F" w14:textId="07198072" w:rsidR="00513159" w:rsidRPr="0064011C" w:rsidRDefault="00513159" w:rsidP="00C6006F">
            <w:pPr>
              <w:pStyle w:val="TableTextLeft"/>
              <w:spacing w:before="20" w:after="20"/>
            </w:pPr>
            <w:r w:rsidRPr="0064011C">
              <w:t>In the 2023</w:t>
            </w:r>
            <w:r w:rsidR="00AD4DCC">
              <w:noBreakHyphen/>
            </w:r>
            <w:r w:rsidRPr="0064011C">
              <w:t xml:space="preserve">24 financial year, did your agency engage in evaluation capability building activities? (please select all that apply) (Q. </w:t>
            </w:r>
            <w:proofErr w:type="gramStart"/>
            <w:r w:rsidRPr="0064011C">
              <w:t>32)*</w:t>
            </w:r>
            <w:proofErr w:type="gramEnd"/>
          </w:p>
        </w:tc>
        <w:tc>
          <w:tcPr>
            <w:tcW w:w="1560" w:type="dxa"/>
          </w:tcPr>
          <w:p w14:paraId="3C1DF589" w14:textId="77777777" w:rsidR="00513159" w:rsidRPr="0064011C" w:rsidRDefault="00513159" w:rsidP="00C6006F">
            <w:pPr>
              <w:pStyle w:val="TableTextLeft"/>
              <w:spacing w:before="20" w:after="20"/>
            </w:pPr>
          </w:p>
        </w:tc>
        <w:tc>
          <w:tcPr>
            <w:tcW w:w="1842" w:type="dxa"/>
          </w:tcPr>
          <w:p w14:paraId="64614C0E" w14:textId="77777777" w:rsidR="00513159" w:rsidRPr="0064011C" w:rsidRDefault="00513159" w:rsidP="00C6006F">
            <w:pPr>
              <w:pStyle w:val="TableTextLeft"/>
              <w:spacing w:before="20" w:after="20"/>
            </w:pPr>
          </w:p>
        </w:tc>
      </w:tr>
      <w:tr w:rsidR="00513159" w14:paraId="51BA3B97" w14:textId="77777777" w:rsidTr="00C6006F">
        <w:tc>
          <w:tcPr>
            <w:tcW w:w="5660" w:type="dxa"/>
            <w:vAlign w:val="bottom"/>
          </w:tcPr>
          <w:p w14:paraId="01B1A446" w14:textId="6696EE64" w:rsidR="00513159" w:rsidRPr="0064011C" w:rsidRDefault="00C6006F" w:rsidP="00C6006F">
            <w:pPr>
              <w:pStyle w:val="TableTextLeft"/>
              <w:spacing w:before="20" w:after="20"/>
            </w:pPr>
            <w:r w:rsidRPr="00C51975">
              <w:tab/>
            </w:r>
            <w:r w:rsidR="00513159" w:rsidRPr="004D15CF">
              <w:t>Written materials (</w:t>
            </w:r>
            <w:r w:rsidR="00AD06E8">
              <w:t>for example</w:t>
            </w:r>
            <w:r w:rsidR="007D4384">
              <w:t>,</w:t>
            </w:r>
            <w:r w:rsidR="00AA0F6E">
              <w:t xml:space="preserve"> published</w:t>
            </w:r>
            <w:r w:rsidR="00513159" w:rsidRPr="004D15CF">
              <w:t xml:space="preserve"> guidance)</w:t>
            </w:r>
          </w:p>
        </w:tc>
        <w:tc>
          <w:tcPr>
            <w:tcW w:w="1560" w:type="dxa"/>
          </w:tcPr>
          <w:p w14:paraId="16F7BB9E" w14:textId="77777777" w:rsidR="00513159" w:rsidRPr="0064011C" w:rsidRDefault="00513159" w:rsidP="00C6006F">
            <w:pPr>
              <w:pStyle w:val="TableTextLeft"/>
              <w:spacing w:before="20" w:after="20"/>
            </w:pPr>
            <w:r>
              <w:t>67%</w:t>
            </w:r>
          </w:p>
        </w:tc>
        <w:tc>
          <w:tcPr>
            <w:tcW w:w="1842" w:type="dxa"/>
            <w:vAlign w:val="bottom"/>
          </w:tcPr>
          <w:p w14:paraId="38E559FE" w14:textId="77777777" w:rsidR="00513159" w:rsidRPr="0064011C" w:rsidRDefault="00513159" w:rsidP="00C6006F">
            <w:pPr>
              <w:pStyle w:val="TableTextLeft"/>
              <w:spacing w:before="20" w:after="20"/>
            </w:pPr>
            <w:r w:rsidRPr="0064011C">
              <w:t>36%</w:t>
            </w:r>
          </w:p>
        </w:tc>
      </w:tr>
      <w:tr w:rsidR="00513159" w14:paraId="3B64B5C6" w14:textId="77777777" w:rsidTr="00C6006F">
        <w:tc>
          <w:tcPr>
            <w:tcW w:w="5660" w:type="dxa"/>
            <w:vAlign w:val="bottom"/>
          </w:tcPr>
          <w:p w14:paraId="708CF348" w14:textId="737EEB2B" w:rsidR="00513159" w:rsidRPr="0064011C" w:rsidRDefault="00C6006F" w:rsidP="00C6006F">
            <w:pPr>
              <w:pStyle w:val="TableTextLeft"/>
              <w:spacing w:before="20" w:after="20"/>
            </w:pPr>
            <w:r w:rsidRPr="00C51975">
              <w:tab/>
            </w:r>
            <w:r w:rsidR="00513159" w:rsidRPr="0099584B">
              <w:t>Exchanged knowledge with other government agencies</w:t>
            </w:r>
          </w:p>
        </w:tc>
        <w:tc>
          <w:tcPr>
            <w:tcW w:w="1560" w:type="dxa"/>
          </w:tcPr>
          <w:p w14:paraId="6A5E12C8" w14:textId="77777777" w:rsidR="00513159" w:rsidRPr="0064011C" w:rsidRDefault="00513159" w:rsidP="00C6006F">
            <w:pPr>
              <w:pStyle w:val="TableTextLeft"/>
              <w:spacing w:before="20" w:after="20"/>
            </w:pPr>
            <w:r>
              <w:t>67%</w:t>
            </w:r>
          </w:p>
        </w:tc>
        <w:tc>
          <w:tcPr>
            <w:tcW w:w="1842" w:type="dxa"/>
            <w:vAlign w:val="bottom"/>
          </w:tcPr>
          <w:p w14:paraId="360365CA" w14:textId="77777777" w:rsidR="00513159" w:rsidRPr="0064011C" w:rsidRDefault="00513159" w:rsidP="00C6006F">
            <w:pPr>
              <w:pStyle w:val="TableTextLeft"/>
              <w:spacing w:before="20" w:after="20"/>
            </w:pPr>
            <w:r w:rsidRPr="0064011C">
              <w:t>47%</w:t>
            </w:r>
          </w:p>
        </w:tc>
      </w:tr>
      <w:tr w:rsidR="00513159" w14:paraId="054042FB" w14:textId="77777777" w:rsidTr="00C6006F">
        <w:tc>
          <w:tcPr>
            <w:tcW w:w="5660" w:type="dxa"/>
            <w:vAlign w:val="bottom"/>
          </w:tcPr>
          <w:p w14:paraId="219E3A08" w14:textId="22FD20DF" w:rsidR="00513159" w:rsidRPr="0064011C" w:rsidRDefault="00C6006F" w:rsidP="00C6006F">
            <w:pPr>
              <w:pStyle w:val="TableTextLeft"/>
              <w:spacing w:before="20" w:after="20"/>
            </w:pPr>
            <w:r w:rsidRPr="00C51975">
              <w:tab/>
            </w:r>
            <w:r w:rsidR="00513159" w:rsidRPr="0099584B">
              <w:t xml:space="preserve">Participated in the Commonwealth Evaluation Community of </w:t>
            </w:r>
            <w:r>
              <w:br/>
            </w:r>
            <w:r w:rsidRPr="00C51975">
              <w:tab/>
            </w:r>
            <w:r w:rsidR="00513159" w:rsidRPr="0099584B">
              <w:t>Practice events</w:t>
            </w:r>
          </w:p>
        </w:tc>
        <w:tc>
          <w:tcPr>
            <w:tcW w:w="1560" w:type="dxa"/>
          </w:tcPr>
          <w:p w14:paraId="4E251B39" w14:textId="77777777" w:rsidR="00513159" w:rsidRPr="0064011C" w:rsidRDefault="00513159" w:rsidP="00C6006F">
            <w:pPr>
              <w:pStyle w:val="TableTextLeft"/>
              <w:spacing w:before="20" w:after="20"/>
            </w:pPr>
            <w:r>
              <w:t>61%</w:t>
            </w:r>
          </w:p>
        </w:tc>
        <w:tc>
          <w:tcPr>
            <w:tcW w:w="1842" w:type="dxa"/>
            <w:vAlign w:val="bottom"/>
          </w:tcPr>
          <w:p w14:paraId="00923D24" w14:textId="77777777" w:rsidR="00513159" w:rsidRPr="0064011C" w:rsidRDefault="00513159" w:rsidP="00C6006F">
            <w:pPr>
              <w:pStyle w:val="TableTextLeft"/>
              <w:spacing w:before="20" w:after="20"/>
            </w:pPr>
            <w:r w:rsidRPr="0064011C">
              <w:t>30%</w:t>
            </w:r>
          </w:p>
        </w:tc>
      </w:tr>
      <w:tr w:rsidR="00513159" w14:paraId="232E3740" w14:textId="77777777" w:rsidTr="00C6006F">
        <w:tc>
          <w:tcPr>
            <w:tcW w:w="5660" w:type="dxa"/>
            <w:vAlign w:val="bottom"/>
          </w:tcPr>
          <w:p w14:paraId="0D5653CE" w14:textId="053B0C50" w:rsidR="00513159" w:rsidRPr="0064011C" w:rsidRDefault="00C6006F" w:rsidP="00C6006F">
            <w:pPr>
              <w:pStyle w:val="TableTextLeft"/>
              <w:spacing w:before="20" w:after="20"/>
            </w:pPr>
            <w:r w:rsidRPr="00C51975">
              <w:tab/>
            </w:r>
            <w:r w:rsidR="00513159" w:rsidRPr="0099584B">
              <w:t>External training</w:t>
            </w:r>
          </w:p>
        </w:tc>
        <w:tc>
          <w:tcPr>
            <w:tcW w:w="1560" w:type="dxa"/>
          </w:tcPr>
          <w:p w14:paraId="43D9C2C9" w14:textId="77777777" w:rsidR="00513159" w:rsidRPr="0064011C" w:rsidRDefault="00513159" w:rsidP="00C6006F">
            <w:pPr>
              <w:pStyle w:val="TableTextLeft"/>
              <w:spacing w:before="20" w:after="20"/>
            </w:pPr>
            <w:r>
              <w:t>55%</w:t>
            </w:r>
          </w:p>
        </w:tc>
        <w:tc>
          <w:tcPr>
            <w:tcW w:w="1842" w:type="dxa"/>
            <w:vAlign w:val="bottom"/>
          </w:tcPr>
          <w:p w14:paraId="14127564" w14:textId="77777777" w:rsidR="00513159" w:rsidRPr="0064011C" w:rsidRDefault="00513159" w:rsidP="00C6006F">
            <w:pPr>
              <w:pStyle w:val="TableTextLeft"/>
              <w:spacing w:before="20" w:after="20"/>
            </w:pPr>
            <w:r w:rsidRPr="0064011C">
              <w:t>29%</w:t>
            </w:r>
          </w:p>
        </w:tc>
      </w:tr>
      <w:tr w:rsidR="00513159" w14:paraId="7975629C" w14:textId="77777777" w:rsidTr="00C6006F">
        <w:tc>
          <w:tcPr>
            <w:tcW w:w="5660" w:type="dxa"/>
            <w:vAlign w:val="bottom"/>
          </w:tcPr>
          <w:p w14:paraId="3F0A5563" w14:textId="34209867" w:rsidR="00513159" w:rsidRPr="0064011C" w:rsidRDefault="00C6006F" w:rsidP="00C6006F">
            <w:pPr>
              <w:pStyle w:val="TableTextLeft"/>
              <w:spacing w:before="20" w:after="20"/>
            </w:pPr>
            <w:r w:rsidRPr="00C51975">
              <w:tab/>
            </w:r>
            <w:r w:rsidR="00513159" w:rsidRPr="0099584B">
              <w:t>Internal training</w:t>
            </w:r>
          </w:p>
        </w:tc>
        <w:tc>
          <w:tcPr>
            <w:tcW w:w="1560" w:type="dxa"/>
          </w:tcPr>
          <w:p w14:paraId="0A7A8737" w14:textId="77777777" w:rsidR="00513159" w:rsidRPr="0064011C" w:rsidRDefault="00513159" w:rsidP="00C6006F">
            <w:pPr>
              <w:pStyle w:val="TableTextLeft"/>
              <w:spacing w:before="20" w:after="20"/>
            </w:pPr>
            <w:r>
              <w:t>52%</w:t>
            </w:r>
          </w:p>
        </w:tc>
        <w:tc>
          <w:tcPr>
            <w:tcW w:w="1842" w:type="dxa"/>
            <w:vAlign w:val="bottom"/>
          </w:tcPr>
          <w:p w14:paraId="19A21110" w14:textId="77777777" w:rsidR="00513159" w:rsidRPr="0064011C" w:rsidRDefault="00513159" w:rsidP="00C6006F">
            <w:pPr>
              <w:pStyle w:val="TableTextLeft"/>
              <w:spacing w:before="20" w:after="20"/>
            </w:pPr>
            <w:r w:rsidRPr="0064011C">
              <w:t>28%</w:t>
            </w:r>
          </w:p>
        </w:tc>
      </w:tr>
      <w:tr w:rsidR="00513159" w14:paraId="201878BF" w14:textId="77777777" w:rsidTr="00C6006F">
        <w:tc>
          <w:tcPr>
            <w:tcW w:w="5660" w:type="dxa"/>
            <w:vAlign w:val="bottom"/>
          </w:tcPr>
          <w:p w14:paraId="2754E5AC" w14:textId="055A6CC3" w:rsidR="00513159" w:rsidRPr="0064011C" w:rsidRDefault="00C6006F" w:rsidP="00C6006F">
            <w:pPr>
              <w:pStyle w:val="TableTextLeft"/>
              <w:spacing w:before="20" w:after="20"/>
            </w:pPr>
            <w:r w:rsidRPr="00C51975">
              <w:tab/>
            </w:r>
            <w:r w:rsidR="00513159" w:rsidRPr="0099584B">
              <w:t xml:space="preserve">Opportunities to learn by being involved in an evaluation design </w:t>
            </w:r>
            <w:r>
              <w:br/>
            </w:r>
            <w:r w:rsidRPr="00C51975">
              <w:tab/>
            </w:r>
            <w:r w:rsidR="00513159" w:rsidRPr="0099584B">
              <w:t>or implementation</w:t>
            </w:r>
          </w:p>
        </w:tc>
        <w:tc>
          <w:tcPr>
            <w:tcW w:w="1560" w:type="dxa"/>
          </w:tcPr>
          <w:p w14:paraId="7EFBB9A4" w14:textId="77777777" w:rsidR="00513159" w:rsidRPr="0064011C" w:rsidRDefault="00513159" w:rsidP="00C6006F">
            <w:pPr>
              <w:pStyle w:val="TableTextLeft"/>
              <w:spacing w:before="20" w:after="20"/>
            </w:pPr>
            <w:r>
              <w:t>48%</w:t>
            </w:r>
          </w:p>
        </w:tc>
        <w:tc>
          <w:tcPr>
            <w:tcW w:w="1842" w:type="dxa"/>
          </w:tcPr>
          <w:p w14:paraId="1A0DD7B2" w14:textId="77777777" w:rsidR="00513159" w:rsidRPr="0064011C" w:rsidRDefault="00513159" w:rsidP="00C6006F">
            <w:pPr>
              <w:pStyle w:val="TableTextLeft"/>
              <w:spacing w:before="20" w:after="20"/>
            </w:pPr>
            <w:r w:rsidRPr="0064011C">
              <w:t>35%</w:t>
            </w:r>
          </w:p>
        </w:tc>
      </w:tr>
      <w:tr w:rsidR="00513159" w14:paraId="30416748" w14:textId="77777777" w:rsidTr="00C6006F">
        <w:tc>
          <w:tcPr>
            <w:tcW w:w="5660" w:type="dxa"/>
            <w:vAlign w:val="bottom"/>
          </w:tcPr>
          <w:p w14:paraId="65DCE9E3" w14:textId="2B8B0884" w:rsidR="00513159" w:rsidRPr="0064011C" w:rsidRDefault="00C6006F" w:rsidP="00C6006F">
            <w:pPr>
              <w:pStyle w:val="TableTextLeft"/>
              <w:spacing w:before="20" w:after="20"/>
            </w:pPr>
            <w:r w:rsidRPr="00C51975">
              <w:tab/>
            </w:r>
            <w:r w:rsidR="00513159" w:rsidRPr="0099584B">
              <w:t>Internal agency</w:t>
            </w:r>
            <w:r w:rsidR="00AD4DCC">
              <w:noBreakHyphen/>
            </w:r>
            <w:r w:rsidR="00513159" w:rsidRPr="0099584B">
              <w:t>level evaluation Community of Practice events</w:t>
            </w:r>
          </w:p>
        </w:tc>
        <w:tc>
          <w:tcPr>
            <w:tcW w:w="1560" w:type="dxa"/>
          </w:tcPr>
          <w:p w14:paraId="670593A3" w14:textId="77777777" w:rsidR="00513159" w:rsidRPr="0064011C" w:rsidRDefault="00513159" w:rsidP="00C6006F">
            <w:pPr>
              <w:pStyle w:val="TableTextLeft"/>
              <w:spacing w:before="20" w:after="20"/>
            </w:pPr>
            <w:r>
              <w:t>33%</w:t>
            </w:r>
          </w:p>
        </w:tc>
        <w:tc>
          <w:tcPr>
            <w:tcW w:w="1842" w:type="dxa"/>
            <w:vAlign w:val="bottom"/>
          </w:tcPr>
          <w:p w14:paraId="5BFDBCD0" w14:textId="77777777" w:rsidR="00513159" w:rsidRPr="0064011C" w:rsidRDefault="00513159" w:rsidP="00C6006F">
            <w:pPr>
              <w:pStyle w:val="TableTextLeft"/>
              <w:spacing w:before="20" w:after="20"/>
            </w:pPr>
            <w:r w:rsidRPr="0064011C">
              <w:t>15%</w:t>
            </w:r>
          </w:p>
        </w:tc>
      </w:tr>
      <w:tr w:rsidR="00513159" w14:paraId="653DDC88" w14:textId="77777777" w:rsidTr="00C6006F">
        <w:tc>
          <w:tcPr>
            <w:tcW w:w="5660" w:type="dxa"/>
            <w:vAlign w:val="bottom"/>
          </w:tcPr>
          <w:p w14:paraId="58240853" w14:textId="2E89685A" w:rsidR="00513159" w:rsidRPr="0064011C" w:rsidRDefault="00C6006F" w:rsidP="00C6006F">
            <w:pPr>
              <w:pStyle w:val="TableTextLeft"/>
              <w:spacing w:before="20" w:after="20"/>
            </w:pPr>
            <w:r w:rsidRPr="00C51975">
              <w:tab/>
            </w:r>
            <w:r w:rsidR="00513159" w:rsidRPr="0099584B">
              <w:t xml:space="preserve">Built capability by working with external evaluation providers (as </w:t>
            </w:r>
            <w:r>
              <w:br/>
            </w:r>
            <w:r w:rsidRPr="00C51975">
              <w:tab/>
            </w:r>
            <w:r w:rsidR="00513159" w:rsidRPr="0099584B">
              <w:t>an explicit part of the contract)</w:t>
            </w:r>
          </w:p>
        </w:tc>
        <w:tc>
          <w:tcPr>
            <w:tcW w:w="1560" w:type="dxa"/>
          </w:tcPr>
          <w:p w14:paraId="796049D1" w14:textId="77777777" w:rsidR="00513159" w:rsidRPr="0064011C" w:rsidRDefault="00513159" w:rsidP="00C6006F">
            <w:pPr>
              <w:pStyle w:val="TableTextLeft"/>
              <w:spacing w:before="20" w:after="20"/>
            </w:pPr>
            <w:r>
              <w:t>30%</w:t>
            </w:r>
          </w:p>
        </w:tc>
        <w:tc>
          <w:tcPr>
            <w:tcW w:w="1842" w:type="dxa"/>
            <w:vAlign w:val="bottom"/>
          </w:tcPr>
          <w:p w14:paraId="7DFCC5D1" w14:textId="77777777" w:rsidR="00513159" w:rsidRPr="0064011C" w:rsidRDefault="00513159" w:rsidP="00C6006F">
            <w:pPr>
              <w:pStyle w:val="TableTextLeft"/>
              <w:spacing w:before="20" w:after="20"/>
            </w:pPr>
            <w:r w:rsidRPr="0064011C">
              <w:t>22%</w:t>
            </w:r>
          </w:p>
        </w:tc>
      </w:tr>
      <w:tr w:rsidR="00513159" w14:paraId="76DF4B5E" w14:textId="77777777" w:rsidTr="00C6006F">
        <w:tc>
          <w:tcPr>
            <w:tcW w:w="5660" w:type="dxa"/>
            <w:vAlign w:val="bottom"/>
          </w:tcPr>
          <w:p w14:paraId="1142461E" w14:textId="708B1189" w:rsidR="00513159" w:rsidRPr="0064011C" w:rsidRDefault="00C6006F" w:rsidP="00C6006F">
            <w:pPr>
              <w:pStyle w:val="TableTextLeft"/>
              <w:spacing w:before="20" w:after="20"/>
            </w:pPr>
            <w:r w:rsidRPr="00C51975">
              <w:tab/>
            </w:r>
            <w:r w:rsidR="00513159" w:rsidRPr="0099584B">
              <w:t>Evaluation coaching/mentoring</w:t>
            </w:r>
          </w:p>
        </w:tc>
        <w:tc>
          <w:tcPr>
            <w:tcW w:w="1560" w:type="dxa"/>
          </w:tcPr>
          <w:p w14:paraId="3688B847" w14:textId="77777777" w:rsidR="00513159" w:rsidRPr="0064011C" w:rsidRDefault="00513159" w:rsidP="00C6006F">
            <w:pPr>
              <w:pStyle w:val="TableTextLeft"/>
              <w:spacing w:before="20" w:after="20"/>
            </w:pPr>
            <w:r>
              <w:t>27%</w:t>
            </w:r>
          </w:p>
        </w:tc>
        <w:tc>
          <w:tcPr>
            <w:tcW w:w="1842" w:type="dxa"/>
            <w:vAlign w:val="bottom"/>
          </w:tcPr>
          <w:p w14:paraId="36124B4B" w14:textId="77777777" w:rsidR="00513159" w:rsidRPr="0064011C" w:rsidRDefault="00513159" w:rsidP="00C6006F">
            <w:pPr>
              <w:pStyle w:val="TableTextLeft"/>
              <w:spacing w:before="20" w:after="20"/>
            </w:pPr>
            <w:r w:rsidRPr="0064011C">
              <w:t>19%</w:t>
            </w:r>
          </w:p>
        </w:tc>
      </w:tr>
      <w:tr w:rsidR="00513159" w14:paraId="207D6CA8" w14:textId="77777777" w:rsidTr="00C6006F">
        <w:tc>
          <w:tcPr>
            <w:tcW w:w="5660" w:type="dxa"/>
          </w:tcPr>
          <w:p w14:paraId="6F5B4E28" w14:textId="6BFDE63E" w:rsidR="00513159" w:rsidRPr="0064011C" w:rsidRDefault="00513159" w:rsidP="00C6006F">
            <w:pPr>
              <w:pStyle w:val="TableTextLeft"/>
              <w:spacing w:before="20" w:after="20"/>
            </w:pPr>
            <w:r w:rsidRPr="0064011C">
              <w:t>In the 2023</w:t>
            </w:r>
            <w:r w:rsidR="00AD4DCC">
              <w:noBreakHyphen/>
            </w:r>
            <w:r w:rsidRPr="0064011C">
              <w:t>24 financial year, did your agency engage in any capability building specific to impact evaluation using experimental or quasi</w:t>
            </w:r>
            <w:r w:rsidR="00AD4DCC">
              <w:noBreakHyphen/>
            </w:r>
            <w:r w:rsidRPr="0064011C">
              <w:t>experimental designs? (Q. 33)</w:t>
            </w:r>
          </w:p>
        </w:tc>
        <w:tc>
          <w:tcPr>
            <w:tcW w:w="1560" w:type="dxa"/>
          </w:tcPr>
          <w:p w14:paraId="1CD23BDC" w14:textId="77777777" w:rsidR="00513159" w:rsidRPr="0064011C" w:rsidRDefault="00513159" w:rsidP="00C6006F">
            <w:pPr>
              <w:pStyle w:val="TableTextLeft"/>
              <w:spacing w:before="20" w:after="20"/>
            </w:pPr>
            <w:r>
              <w:t>48%</w:t>
            </w:r>
          </w:p>
        </w:tc>
        <w:tc>
          <w:tcPr>
            <w:tcW w:w="1842" w:type="dxa"/>
          </w:tcPr>
          <w:p w14:paraId="484F2CFB" w14:textId="77777777" w:rsidR="00513159" w:rsidRPr="0064011C" w:rsidRDefault="00513159" w:rsidP="00C6006F">
            <w:pPr>
              <w:pStyle w:val="TableTextLeft"/>
              <w:spacing w:before="20" w:after="20"/>
            </w:pPr>
            <w:r w:rsidRPr="0064011C">
              <w:t>22%</w:t>
            </w:r>
          </w:p>
        </w:tc>
      </w:tr>
      <w:tr w:rsidR="00513159" w14:paraId="605F1E3B" w14:textId="77777777" w:rsidTr="00C6006F">
        <w:tc>
          <w:tcPr>
            <w:tcW w:w="5660" w:type="dxa"/>
          </w:tcPr>
          <w:p w14:paraId="06BE29D9" w14:textId="77777777" w:rsidR="00513159" w:rsidRPr="0064011C" w:rsidRDefault="00513159" w:rsidP="00C6006F">
            <w:pPr>
              <w:pStyle w:val="TableTextLeft"/>
              <w:spacing w:before="20" w:after="20"/>
            </w:pPr>
            <w:r w:rsidRPr="0064011C">
              <w:t xml:space="preserve">What additional activities or actions could be taken centrally that would help to support your agency to deliver on the policy intent of the Commonwealth Evaluation Policy? (Please select all that apply) (Q. </w:t>
            </w:r>
            <w:proofErr w:type="gramStart"/>
            <w:r w:rsidRPr="0064011C">
              <w:t>34)*</w:t>
            </w:r>
            <w:proofErr w:type="gramEnd"/>
          </w:p>
        </w:tc>
        <w:tc>
          <w:tcPr>
            <w:tcW w:w="1560" w:type="dxa"/>
          </w:tcPr>
          <w:p w14:paraId="485821E1" w14:textId="77777777" w:rsidR="00513159" w:rsidRPr="0064011C" w:rsidRDefault="00513159" w:rsidP="00C6006F">
            <w:pPr>
              <w:pStyle w:val="TableTextLeft"/>
              <w:spacing w:before="20" w:after="20"/>
            </w:pPr>
          </w:p>
        </w:tc>
        <w:tc>
          <w:tcPr>
            <w:tcW w:w="1842" w:type="dxa"/>
          </w:tcPr>
          <w:p w14:paraId="7818897B" w14:textId="77777777" w:rsidR="00513159" w:rsidRPr="0064011C" w:rsidRDefault="00513159" w:rsidP="00C6006F">
            <w:pPr>
              <w:pStyle w:val="TableTextLeft"/>
              <w:spacing w:before="20" w:after="20"/>
            </w:pPr>
          </w:p>
        </w:tc>
      </w:tr>
      <w:tr w:rsidR="00513159" w14:paraId="5CD37EDC" w14:textId="77777777" w:rsidTr="00C6006F">
        <w:tc>
          <w:tcPr>
            <w:tcW w:w="5660" w:type="dxa"/>
          </w:tcPr>
          <w:p w14:paraId="3C17A2AA" w14:textId="492EB83E" w:rsidR="00513159" w:rsidRPr="0064011C" w:rsidRDefault="00C6006F" w:rsidP="00C6006F">
            <w:pPr>
              <w:pStyle w:val="TableTextLeft"/>
              <w:spacing w:before="20" w:after="20"/>
            </w:pPr>
            <w:r w:rsidRPr="00C51975">
              <w:tab/>
            </w:r>
            <w:r w:rsidR="00513159" w:rsidRPr="0064011C">
              <w:t xml:space="preserve">Develop a Commonwealth Evaluation Maturity Model and </w:t>
            </w:r>
            <w:r>
              <w:br/>
            </w:r>
            <w:r w:rsidRPr="00C51975">
              <w:tab/>
            </w:r>
            <w:r w:rsidR="00513159" w:rsidRPr="0064011C">
              <w:t>supporting tools</w:t>
            </w:r>
          </w:p>
        </w:tc>
        <w:tc>
          <w:tcPr>
            <w:tcW w:w="1560" w:type="dxa"/>
          </w:tcPr>
          <w:p w14:paraId="71C81671" w14:textId="77777777" w:rsidR="00513159" w:rsidRPr="0064011C" w:rsidRDefault="00513159" w:rsidP="00C6006F">
            <w:pPr>
              <w:pStyle w:val="TableTextLeft"/>
              <w:spacing w:before="20" w:after="20"/>
            </w:pPr>
            <w:r>
              <w:t>70%</w:t>
            </w:r>
          </w:p>
        </w:tc>
        <w:tc>
          <w:tcPr>
            <w:tcW w:w="1842" w:type="dxa"/>
          </w:tcPr>
          <w:p w14:paraId="2411E038" w14:textId="77777777" w:rsidR="00513159" w:rsidRPr="0064011C" w:rsidRDefault="00513159" w:rsidP="00C6006F">
            <w:pPr>
              <w:pStyle w:val="TableTextLeft"/>
              <w:spacing w:before="20" w:after="20"/>
            </w:pPr>
            <w:r w:rsidRPr="0064011C">
              <w:t>52%</w:t>
            </w:r>
          </w:p>
        </w:tc>
      </w:tr>
      <w:tr w:rsidR="00513159" w14:paraId="007DB3D5" w14:textId="77777777" w:rsidTr="00C6006F">
        <w:tc>
          <w:tcPr>
            <w:tcW w:w="5660" w:type="dxa"/>
          </w:tcPr>
          <w:p w14:paraId="38B6B8CE" w14:textId="2A02F816" w:rsidR="00513159" w:rsidRPr="0064011C" w:rsidRDefault="00C6006F" w:rsidP="00C6006F">
            <w:pPr>
              <w:pStyle w:val="TableTextLeft"/>
              <w:spacing w:before="20" w:after="20"/>
            </w:pPr>
            <w:r w:rsidRPr="00C51975">
              <w:tab/>
            </w:r>
            <w:r w:rsidR="00513159" w:rsidRPr="0064011C">
              <w:t>Tailored information session</w:t>
            </w:r>
          </w:p>
        </w:tc>
        <w:tc>
          <w:tcPr>
            <w:tcW w:w="1560" w:type="dxa"/>
          </w:tcPr>
          <w:p w14:paraId="54DC8C7A" w14:textId="77777777" w:rsidR="00513159" w:rsidRPr="0064011C" w:rsidRDefault="00513159" w:rsidP="00C6006F">
            <w:pPr>
              <w:pStyle w:val="TableTextLeft"/>
              <w:spacing w:before="20" w:after="20"/>
            </w:pPr>
            <w:r>
              <w:t>67%</w:t>
            </w:r>
          </w:p>
        </w:tc>
        <w:tc>
          <w:tcPr>
            <w:tcW w:w="1842" w:type="dxa"/>
          </w:tcPr>
          <w:p w14:paraId="2C0615C3" w14:textId="77777777" w:rsidR="00513159" w:rsidRPr="0064011C" w:rsidRDefault="00513159" w:rsidP="00C6006F">
            <w:pPr>
              <w:pStyle w:val="TableTextLeft"/>
              <w:spacing w:before="20" w:after="20"/>
            </w:pPr>
            <w:r w:rsidRPr="0064011C">
              <w:t>53%</w:t>
            </w:r>
          </w:p>
        </w:tc>
      </w:tr>
      <w:tr w:rsidR="00513159" w14:paraId="45FE3C72" w14:textId="77777777" w:rsidTr="00C6006F">
        <w:tc>
          <w:tcPr>
            <w:tcW w:w="5660" w:type="dxa"/>
          </w:tcPr>
          <w:p w14:paraId="7168AB9F" w14:textId="2DEBB018" w:rsidR="00513159" w:rsidRPr="0064011C" w:rsidRDefault="00C6006F" w:rsidP="00C6006F">
            <w:pPr>
              <w:pStyle w:val="TableTextLeft"/>
              <w:spacing w:before="20" w:after="20"/>
            </w:pPr>
            <w:r w:rsidRPr="00C51975">
              <w:tab/>
            </w:r>
            <w:r w:rsidR="00513159" w:rsidRPr="0064011C">
              <w:t>Stronger legislative requirements</w:t>
            </w:r>
          </w:p>
        </w:tc>
        <w:tc>
          <w:tcPr>
            <w:tcW w:w="1560" w:type="dxa"/>
          </w:tcPr>
          <w:p w14:paraId="578CEA46" w14:textId="77777777" w:rsidR="00513159" w:rsidRPr="0064011C" w:rsidRDefault="00513159" w:rsidP="00C6006F">
            <w:pPr>
              <w:pStyle w:val="TableTextLeft"/>
              <w:spacing w:before="20" w:after="20"/>
            </w:pPr>
            <w:r>
              <w:t>20%</w:t>
            </w:r>
          </w:p>
        </w:tc>
        <w:tc>
          <w:tcPr>
            <w:tcW w:w="1842" w:type="dxa"/>
          </w:tcPr>
          <w:p w14:paraId="54045A04" w14:textId="77777777" w:rsidR="00513159" w:rsidRPr="0064011C" w:rsidRDefault="00513159" w:rsidP="00C6006F">
            <w:pPr>
              <w:pStyle w:val="TableTextLeft"/>
              <w:spacing w:before="20" w:after="20"/>
            </w:pPr>
            <w:r w:rsidRPr="0064011C">
              <w:t>13%</w:t>
            </w:r>
          </w:p>
        </w:tc>
      </w:tr>
      <w:tr w:rsidR="00513159" w14:paraId="5CD5E2F2" w14:textId="77777777" w:rsidTr="00C6006F">
        <w:tc>
          <w:tcPr>
            <w:tcW w:w="5660" w:type="dxa"/>
          </w:tcPr>
          <w:p w14:paraId="4561B7F5" w14:textId="57C89DF0" w:rsidR="00513159" w:rsidRPr="0064011C" w:rsidRDefault="00C6006F" w:rsidP="00C6006F">
            <w:pPr>
              <w:pStyle w:val="TableTextLeft"/>
              <w:spacing w:before="20" w:after="20"/>
            </w:pPr>
            <w:r w:rsidRPr="00C51975">
              <w:tab/>
            </w:r>
            <w:r w:rsidR="00513159" w:rsidRPr="0064011C">
              <w:t xml:space="preserve">Mandatory requirements to evaluate interventions that meet </w:t>
            </w:r>
            <w:r>
              <w:br/>
            </w:r>
            <w:r w:rsidRPr="00C51975">
              <w:tab/>
            </w:r>
            <w:r w:rsidR="00513159" w:rsidRPr="0064011C">
              <w:t>certain criteria</w:t>
            </w:r>
          </w:p>
        </w:tc>
        <w:tc>
          <w:tcPr>
            <w:tcW w:w="1560" w:type="dxa"/>
          </w:tcPr>
          <w:p w14:paraId="50DB03FA" w14:textId="77777777" w:rsidR="00513159" w:rsidRPr="0064011C" w:rsidRDefault="00513159" w:rsidP="00C6006F">
            <w:pPr>
              <w:pStyle w:val="TableTextLeft"/>
              <w:spacing w:before="20" w:after="20"/>
            </w:pPr>
            <w:r>
              <w:t>40%</w:t>
            </w:r>
          </w:p>
        </w:tc>
        <w:tc>
          <w:tcPr>
            <w:tcW w:w="1842" w:type="dxa"/>
          </w:tcPr>
          <w:p w14:paraId="7D345CB7" w14:textId="77777777" w:rsidR="00513159" w:rsidRPr="0064011C" w:rsidRDefault="00513159" w:rsidP="00C6006F">
            <w:pPr>
              <w:pStyle w:val="TableTextLeft"/>
              <w:spacing w:before="20" w:after="20"/>
            </w:pPr>
            <w:r w:rsidRPr="0064011C">
              <w:t>32%</w:t>
            </w:r>
          </w:p>
        </w:tc>
      </w:tr>
      <w:tr w:rsidR="00513159" w14:paraId="568BE01F" w14:textId="77777777" w:rsidTr="00C6006F">
        <w:tc>
          <w:tcPr>
            <w:tcW w:w="5660" w:type="dxa"/>
          </w:tcPr>
          <w:p w14:paraId="14705188" w14:textId="167A6FB0" w:rsidR="00513159" w:rsidRPr="0064011C" w:rsidRDefault="00C6006F" w:rsidP="00C6006F">
            <w:pPr>
              <w:pStyle w:val="TableTextLeft"/>
              <w:spacing w:before="20" w:after="20"/>
            </w:pPr>
            <w:r w:rsidRPr="00C51975">
              <w:tab/>
            </w:r>
            <w:r w:rsidR="00513159" w:rsidRPr="0064011C">
              <w:t>Enhanced guidance and tools</w:t>
            </w:r>
          </w:p>
        </w:tc>
        <w:tc>
          <w:tcPr>
            <w:tcW w:w="1560" w:type="dxa"/>
          </w:tcPr>
          <w:p w14:paraId="33F48C4C" w14:textId="77777777" w:rsidR="00513159" w:rsidRPr="0064011C" w:rsidRDefault="00513159" w:rsidP="00C6006F">
            <w:pPr>
              <w:pStyle w:val="TableTextLeft"/>
              <w:spacing w:before="20" w:after="20"/>
            </w:pPr>
            <w:r>
              <w:t>80%</w:t>
            </w:r>
          </w:p>
        </w:tc>
        <w:tc>
          <w:tcPr>
            <w:tcW w:w="1842" w:type="dxa"/>
          </w:tcPr>
          <w:p w14:paraId="47B71ACC" w14:textId="77777777" w:rsidR="00513159" w:rsidRPr="0064011C" w:rsidRDefault="00513159" w:rsidP="00C6006F">
            <w:pPr>
              <w:pStyle w:val="TableTextLeft"/>
              <w:spacing w:before="20" w:after="20"/>
            </w:pPr>
            <w:r w:rsidRPr="0064011C">
              <w:t>62%</w:t>
            </w:r>
          </w:p>
        </w:tc>
      </w:tr>
      <w:tr w:rsidR="00513159" w14:paraId="4EE9ACC9" w14:textId="77777777" w:rsidTr="00C6006F">
        <w:tc>
          <w:tcPr>
            <w:tcW w:w="5660" w:type="dxa"/>
          </w:tcPr>
          <w:p w14:paraId="4F21E133" w14:textId="77777777" w:rsidR="00513159" w:rsidRPr="0064011C" w:rsidRDefault="00513159" w:rsidP="00C6006F">
            <w:pPr>
              <w:pStyle w:val="TableTextLeft"/>
              <w:spacing w:before="20" w:after="20"/>
            </w:pPr>
            <w:r w:rsidRPr="0064011C">
              <w:t xml:space="preserve">Are there specific areas where additional support from the Australian Centre of Evaluation would help your agency to build evaluation capability and embed an enduring culture of evaluation across the Australian Government? (please select all that </w:t>
            </w:r>
            <w:proofErr w:type="gramStart"/>
            <w:r w:rsidRPr="0064011C">
              <w:t>apply)  (</w:t>
            </w:r>
            <w:proofErr w:type="gramEnd"/>
            <w:r w:rsidRPr="0064011C">
              <w:t>Q. 38)*</w:t>
            </w:r>
          </w:p>
        </w:tc>
        <w:tc>
          <w:tcPr>
            <w:tcW w:w="1560" w:type="dxa"/>
          </w:tcPr>
          <w:p w14:paraId="61C9367F" w14:textId="77777777" w:rsidR="00513159" w:rsidRPr="0064011C" w:rsidRDefault="00513159" w:rsidP="00C6006F">
            <w:pPr>
              <w:pStyle w:val="TableTextLeft"/>
              <w:spacing w:before="20" w:after="20"/>
            </w:pPr>
            <w:r>
              <w:t>Aggregate responses only</w:t>
            </w:r>
          </w:p>
        </w:tc>
        <w:tc>
          <w:tcPr>
            <w:tcW w:w="1842" w:type="dxa"/>
          </w:tcPr>
          <w:p w14:paraId="7F3C7F39" w14:textId="77777777" w:rsidR="00513159" w:rsidRPr="0064011C" w:rsidRDefault="00513159" w:rsidP="00C6006F">
            <w:pPr>
              <w:pStyle w:val="TableTextLeft"/>
              <w:spacing w:before="20" w:after="20"/>
            </w:pPr>
          </w:p>
        </w:tc>
      </w:tr>
      <w:tr w:rsidR="00513159" w14:paraId="384D2A21" w14:textId="77777777" w:rsidTr="00C6006F">
        <w:tc>
          <w:tcPr>
            <w:tcW w:w="5660" w:type="dxa"/>
            <w:vAlign w:val="bottom"/>
          </w:tcPr>
          <w:p w14:paraId="75967741" w14:textId="3AD8D541" w:rsidR="00513159" w:rsidRPr="0064011C" w:rsidRDefault="00C6006F" w:rsidP="00C6006F">
            <w:pPr>
              <w:pStyle w:val="TableTextLeft"/>
              <w:spacing w:before="20" w:after="20"/>
            </w:pPr>
            <w:r w:rsidRPr="00C51975">
              <w:tab/>
            </w:r>
            <w:r w:rsidR="00513159" w:rsidRPr="0064011C">
              <w:t xml:space="preserve">Online training through APS Learn </w:t>
            </w:r>
          </w:p>
        </w:tc>
        <w:tc>
          <w:tcPr>
            <w:tcW w:w="1560" w:type="dxa"/>
          </w:tcPr>
          <w:p w14:paraId="2869E975" w14:textId="1773B42F" w:rsidR="00513159" w:rsidRPr="0064011C" w:rsidRDefault="00AD4DCC" w:rsidP="00C6006F">
            <w:pPr>
              <w:pStyle w:val="TableTextLeft"/>
              <w:spacing w:before="20" w:after="20"/>
            </w:pPr>
            <w:r>
              <w:noBreakHyphen/>
            </w:r>
          </w:p>
        </w:tc>
        <w:tc>
          <w:tcPr>
            <w:tcW w:w="1842" w:type="dxa"/>
            <w:vAlign w:val="bottom"/>
          </w:tcPr>
          <w:p w14:paraId="022DF643" w14:textId="77777777" w:rsidR="00513159" w:rsidRPr="0064011C" w:rsidRDefault="00513159" w:rsidP="00C6006F">
            <w:pPr>
              <w:pStyle w:val="TableTextLeft"/>
              <w:spacing w:before="20" w:after="20"/>
            </w:pPr>
            <w:r w:rsidRPr="0064011C">
              <w:t>61%</w:t>
            </w:r>
          </w:p>
        </w:tc>
      </w:tr>
      <w:tr w:rsidR="00513159" w14:paraId="488AC73D" w14:textId="77777777" w:rsidTr="00C6006F">
        <w:tc>
          <w:tcPr>
            <w:tcW w:w="5660" w:type="dxa"/>
            <w:vAlign w:val="bottom"/>
          </w:tcPr>
          <w:p w14:paraId="0355F9E7" w14:textId="67602419" w:rsidR="00513159" w:rsidRPr="0064011C" w:rsidRDefault="00C6006F" w:rsidP="00C6006F">
            <w:pPr>
              <w:pStyle w:val="TableTextLeft"/>
              <w:spacing w:before="20" w:after="20"/>
            </w:pPr>
            <w:r w:rsidRPr="00C51975">
              <w:tab/>
            </w:r>
            <w:r w:rsidR="00513159" w:rsidRPr="0064011C">
              <w:t>Provision of training resources</w:t>
            </w:r>
          </w:p>
        </w:tc>
        <w:tc>
          <w:tcPr>
            <w:tcW w:w="1560" w:type="dxa"/>
          </w:tcPr>
          <w:p w14:paraId="1460C918" w14:textId="025AE018" w:rsidR="00513159" w:rsidRPr="0064011C" w:rsidRDefault="00AD4DCC" w:rsidP="00C6006F">
            <w:pPr>
              <w:pStyle w:val="TableTextLeft"/>
              <w:spacing w:before="20" w:after="20"/>
            </w:pPr>
            <w:r>
              <w:noBreakHyphen/>
            </w:r>
          </w:p>
        </w:tc>
        <w:tc>
          <w:tcPr>
            <w:tcW w:w="1842" w:type="dxa"/>
            <w:vAlign w:val="bottom"/>
          </w:tcPr>
          <w:p w14:paraId="600F5DB5" w14:textId="77777777" w:rsidR="00513159" w:rsidRPr="0064011C" w:rsidRDefault="00513159" w:rsidP="00C6006F">
            <w:pPr>
              <w:pStyle w:val="TableTextLeft"/>
              <w:spacing w:before="20" w:after="20"/>
            </w:pPr>
            <w:r w:rsidRPr="0064011C">
              <w:t>57%</w:t>
            </w:r>
          </w:p>
        </w:tc>
      </w:tr>
      <w:tr w:rsidR="00513159" w14:paraId="27DC7DAC" w14:textId="77777777" w:rsidTr="00C6006F">
        <w:tc>
          <w:tcPr>
            <w:tcW w:w="5660" w:type="dxa"/>
            <w:vAlign w:val="bottom"/>
          </w:tcPr>
          <w:p w14:paraId="0F0A4AE0" w14:textId="7533B21B" w:rsidR="00513159" w:rsidRPr="0064011C" w:rsidRDefault="00C6006F" w:rsidP="00C6006F">
            <w:pPr>
              <w:pStyle w:val="TableTextLeft"/>
              <w:spacing w:before="20" w:after="20"/>
            </w:pPr>
            <w:r w:rsidRPr="00C51975">
              <w:tab/>
            </w:r>
            <w:r w:rsidR="00513159" w:rsidRPr="0064011C">
              <w:t>More guidance/resources on the Commonwealth Evaluation</w:t>
            </w:r>
            <w:r>
              <w:br/>
            </w:r>
            <w:r w:rsidRPr="00C51975">
              <w:tab/>
            </w:r>
            <w:r w:rsidR="00513159" w:rsidRPr="0064011C">
              <w:t>Toolkit</w:t>
            </w:r>
          </w:p>
        </w:tc>
        <w:tc>
          <w:tcPr>
            <w:tcW w:w="1560" w:type="dxa"/>
          </w:tcPr>
          <w:p w14:paraId="18E73371" w14:textId="6E0A146E" w:rsidR="00513159" w:rsidRPr="0064011C" w:rsidRDefault="00AD4DCC" w:rsidP="00C6006F">
            <w:pPr>
              <w:pStyle w:val="TableTextLeft"/>
              <w:spacing w:before="20" w:after="20"/>
            </w:pPr>
            <w:r>
              <w:noBreakHyphen/>
            </w:r>
          </w:p>
        </w:tc>
        <w:tc>
          <w:tcPr>
            <w:tcW w:w="1842" w:type="dxa"/>
            <w:vAlign w:val="bottom"/>
          </w:tcPr>
          <w:p w14:paraId="78AD3523" w14:textId="77777777" w:rsidR="00513159" w:rsidRPr="0064011C" w:rsidRDefault="00513159" w:rsidP="00C6006F">
            <w:pPr>
              <w:pStyle w:val="TableTextLeft"/>
              <w:spacing w:before="20" w:after="20"/>
            </w:pPr>
            <w:r w:rsidRPr="0064011C">
              <w:t>52%</w:t>
            </w:r>
          </w:p>
        </w:tc>
      </w:tr>
      <w:tr w:rsidR="00513159" w14:paraId="1A235DB0" w14:textId="77777777" w:rsidTr="00C6006F">
        <w:tc>
          <w:tcPr>
            <w:tcW w:w="5660" w:type="dxa"/>
            <w:vAlign w:val="bottom"/>
          </w:tcPr>
          <w:p w14:paraId="50CDEFFF" w14:textId="562E99A6" w:rsidR="00513159" w:rsidRPr="0064011C" w:rsidRDefault="00C6006F" w:rsidP="00C6006F">
            <w:pPr>
              <w:pStyle w:val="TableTextLeft"/>
              <w:spacing w:before="20" w:after="20"/>
            </w:pPr>
            <w:r w:rsidRPr="00C51975">
              <w:tab/>
            </w:r>
            <w:r w:rsidR="00513159" w:rsidRPr="0064011C">
              <w:t xml:space="preserve">Commonwealth Evaluation Community of Practice Events </w:t>
            </w:r>
          </w:p>
        </w:tc>
        <w:tc>
          <w:tcPr>
            <w:tcW w:w="1560" w:type="dxa"/>
          </w:tcPr>
          <w:p w14:paraId="077CF28A" w14:textId="12F3D5A7" w:rsidR="00513159" w:rsidRPr="0064011C" w:rsidRDefault="00AD4DCC" w:rsidP="00C6006F">
            <w:pPr>
              <w:pStyle w:val="TableTextLeft"/>
              <w:spacing w:before="20" w:after="20"/>
            </w:pPr>
            <w:r>
              <w:noBreakHyphen/>
            </w:r>
          </w:p>
        </w:tc>
        <w:tc>
          <w:tcPr>
            <w:tcW w:w="1842" w:type="dxa"/>
            <w:vAlign w:val="bottom"/>
          </w:tcPr>
          <w:p w14:paraId="5F7156FF" w14:textId="77777777" w:rsidR="00513159" w:rsidRPr="0064011C" w:rsidRDefault="00513159" w:rsidP="00C6006F">
            <w:pPr>
              <w:pStyle w:val="TableTextLeft"/>
              <w:spacing w:before="20" w:after="20"/>
            </w:pPr>
            <w:r w:rsidRPr="0064011C">
              <w:t>48%</w:t>
            </w:r>
          </w:p>
        </w:tc>
      </w:tr>
      <w:tr w:rsidR="00513159" w14:paraId="69853E34" w14:textId="77777777" w:rsidTr="00C6006F">
        <w:tc>
          <w:tcPr>
            <w:tcW w:w="5660" w:type="dxa"/>
            <w:vAlign w:val="bottom"/>
          </w:tcPr>
          <w:p w14:paraId="59CDF5BD" w14:textId="2B119E00" w:rsidR="00513159" w:rsidRPr="0064011C" w:rsidRDefault="00C6006F" w:rsidP="00C6006F">
            <w:pPr>
              <w:pStyle w:val="TableTextLeft"/>
              <w:spacing w:before="20" w:after="20"/>
            </w:pPr>
            <w:r w:rsidRPr="00C51975">
              <w:tab/>
            </w:r>
            <w:r w:rsidR="00513159" w:rsidRPr="0064011C">
              <w:t>Evaluation coaching/mentoring</w:t>
            </w:r>
          </w:p>
        </w:tc>
        <w:tc>
          <w:tcPr>
            <w:tcW w:w="1560" w:type="dxa"/>
          </w:tcPr>
          <w:p w14:paraId="4D593478" w14:textId="635AFD7F" w:rsidR="00513159" w:rsidRPr="0064011C" w:rsidRDefault="00AD4DCC" w:rsidP="00C6006F">
            <w:pPr>
              <w:pStyle w:val="TableTextLeft"/>
              <w:spacing w:before="20" w:after="20"/>
            </w:pPr>
            <w:r>
              <w:noBreakHyphen/>
            </w:r>
          </w:p>
        </w:tc>
        <w:tc>
          <w:tcPr>
            <w:tcW w:w="1842" w:type="dxa"/>
            <w:vAlign w:val="bottom"/>
          </w:tcPr>
          <w:p w14:paraId="723EAD24" w14:textId="77777777" w:rsidR="00513159" w:rsidRPr="0064011C" w:rsidRDefault="00513159" w:rsidP="00C6006F">
            <w:pPr>
              <w:pStyle w:val="TableTextLeft"/>
              <w:spacing w:before="20" w:after="20"/>
            </w:pPr>
            <w:r w:rsidRPr="0064011C">
              <w:t>48%</w:t>
            </w:r>
          </w:p>
        </w:tc>
      </w:tr>
      <w:tr w:rsidR="00513159" w14:paraId="0F22E898" w14:textId="77777777" w:rsidTr="00C6006F">
        <w:tc>
          <w:tcPr>
            <w:tcW w:w="5660" w:type="dxa"/>
            <w:vAlign w:val="bottom"/>
          </w:tcPr>
          <w:p w14:paraId="37B0421C" w14:textId="77B3D332" w:rsidR="00513159" w:rsidRPr="0064011C" w:rsidRDefault="00C6006F" w:rsidP="00C6006F">
            <w:pPr>
              <w:pStyle w:val="TableTextLeft"/>
              <w:spacing w:before="20" w:after="20"/>
            </w:pPr>
            <w:r w:rsidRPr="00C51975">
              <w:tab/>
            </w:r>
            <w:r w:rsidR="00513159" w:rsidRPr="0064011C">
              <w:t>Train</w:t>
            </w:r>
            <w:r w:rsidR="00AD4DCC">
              <w:noBreakHyphen/>
            </w:r>
            <w:r w:rsidR="00513159" w:rsidRPr="0064011C">
              <w:t>the</w:t>
            </w:r>
            <w:r w:rsidR="00AD4DCC">
              <w:noBreakHyphen/>
            </w:r>
            <w:r w:rsidR="00513159" w:rsidRPr="0064011C">
              <w:t>trainer support</w:t>
            </w:r>
          </w:p>
        </w:tc>
        <w:tc>
          <w:tcPr>
            <w:tcW w:w="1560" w:type="dxa"/>
          </w:tcPr>
          <w:p w14:paraId="7FE4F141" w14:textId="0DF626C1" w:rsidR="00513159" w:rsidRPr="0064011C" w:rsidRDefault="00AD4DCC" w:rsidP="00C6006F">
            <w:pPr>
              <w:pStyle w:val="TableTextLeft"/>
              <w:spacing w:before="20" w:after="20"/>
            </w:pPr>
            <w:r>
              <w:noBreakHyphen/>
            </w:r>
          </w:p>
        </w:tc>
        <w:tc>
          <w:tcPr>
            <w:tcW w:w="1842" w:type="dxa"/>
            <w:vAlign w:val="bottom"/>
          </w:tcPr>
          <w:p w14:paraId="0D083697" w14:textId="77777777" w:rsidR="00513159" w:rsidRPr="0064011C" w:rsidRDefault="00513159" w:rsidP="00C6006F">
            <w:pPr>
              <w:pStyle w:val="TableTextLeft"/>
              <w:spacing w:before="20" w:after="20"/>
            </w:pPr>
            <w:r w:rsidRPr="0064011C">
              <w:t>43%</w:t>
            </w:r>
          </w:p>
        </w:tc>
      </w:tr>
      <w:tr w:rsidR="00513159" w14:paraId="1ACEFB46" w14:textId="77777777" w:rsidTr="00C6006F">
        <w:tc>
          <w:tcPr>
            <w:tcW w:w="5660" w:type="dxa"/>
            <w:vAlign w:val="bottom"/>
          </w:tcPr>
          <w:p w14:paraId="4941C95D" w14:textId="7B32457E" w:rsidR="00513159" w:rsidRPr="0064011C" w:rsidRDefault="00C6006F" w:rsidP="00C6006F">
            <w:pPr>
              <w:pStyle w:val="TableTextLeft"/>
              <w:spacing w:before="20" w:after="20"/>
            </w:pPr>
            <w:r w:rsidRPr="00C51975">
              <w:tab/>
            </w:r>
            <w:r w:rsidR="00513159" w:rsidRPr="0064011C">
              <w:t>Enhanced coordinated evaluation procurement arrangements to</w:t>
            </w:r>
            <w:r>
              <w:br/>
            </w:r>
            <w:r w:rsidRPr="00C51975">
              <w:tab/>
            </w:r>
            <w:r w:rsidR="00513159" w:rsidRPr="0064011C">
              <w:t>access evaluation service providers</w:t>
            </w:r>
          </w:p>
        </w:tc>
        <w:tc>
          <w:tcPr>
            <w:tcW w:w="1560" w:type="dxa"/>
          </w:tcPr>
          <w:p w14:paraId="7BD6CCD3" w14:textId="339DCF77" w:rsidR="00513159" w:rsidRPr="0064011C" w:rsidRDefault="00AD4DCC" w:rsidP="00C6006F">
            <w:pPr>
              <w:pStyle w:val="TableTextLeft"/>
              <w:spacing w:before="20" w:after="20"/>
            </w:pPr>
            <w:r>
              <w:noBreakHyphen/>
            </w:r>
          </w:p>
        </w:tc>
        <w:tc>
          <w:tcPr>
            <w:tcW w:w="1842" w:type="dxa"/>
            <w:vAlign w:val="bottom"/>
          </w:tcPr>
          <w:p w14:paraId="7A7CA4E6" w14:textId="77777777" w:rsidR="00513159" w:rsidRPr="0064011C" w:rsidRDefault="00513159" w:rsidP="00C6006F">
            <w:pPr>
              <w:pStyle w:val="TableTextLeft"/>
              <w:spacing w:before="20" w:after="20"/>
            </w:pPr>
            <w:r w:rsidRPr="0064011C">
              <w:t>41%</w:t>
            </w:r>
          </w:p>
        </w:tc>
      </w:tr>
      <w:tr w:rsidR="00513159" w14:paraId="2B6B311B" w14:textId="77777777" w:rsidTr="00C6006F">
        <w:tc>
          <w:tcPr>
            <w:tcW w:w="5660" w:type="dxa"/>
            <w:vAlign w:val="bottom"/>
          </w:tcPr>
          <w:p w14:paraId="118A7FAE" w14:textId="1CED9D09" w:rsidR="00513159" w:rsidRPr="0064011C" w:rsidRDefault="00C6006F" w:rsidP="00C6006F">
            <w:pPr>
              <w:pStyle w:val="TableTextLeft"/>
              <w:spacing w:before="20" w:after="20"/>
            </w:pPr>
            <w:r w:rsidRPr="00C51975">
              <w:tab/>
            </w:r>
            <w:r w:rsidR="00513159" w:rsidRPr="0064011C">
              <w:t>Dedicated centrally held funds to support high quality evaluation</w:t>
            </w:r>
            <w:r>
              <w:br/>
            </w:r>
            <w:r w:rsidRPr="00C51975">
              <w:tab/>
            </w:r>
            <w:r w:rsidRPr="0064011C">
              <w:t xml:space="preserve"> </w:t>
            </w:r>
            <w:r w:rsidR="00513159" w:rsidRPr="0064011C">
              <w:t>(</w:t>
            </w:r>
            <w:proofErr w:type="gramStart"/>
            <w:r w:rsidR="00513159" w:rsidRPr="0064011C">
              <w:t>similar to</w:t>
            </w:r>
            <w:proofErr w:type="gramEnd"/>
            <w:r w:rsidR="00513159" w:rsidRPr="0064011C">
              <w:t xml:space="preserve"> UK</w:t>
            </w:r>
            <w:r w:rsidR="00AD4DCC">
              <w:t>’</w:t>
            </w:r>
            <w:r w:rsidR="00513159" w:rsidRPr="0064011C">
              <w:t>s Evaluation Accelerator Fund)</w:t>
            </w:r>
          </w:p>
        </w:tc>
        <w:tc>
          <w:tcPr>
            <w:tcW w:w="1560" w:type="dxa"/>
          </w:tcPr>
          <w:p w14:paraId="0950E21F" w14:textId="7B0F538C" w:rsidR="00513159" w:rsidRPr="0064011C" w:rsidRDefault="00AD4DCC" w:rsidP="00C6006F">
            <w:pPr>
              <w:pStyle w:val="TableTextLeft"/>
              <w:spacing w:before="20" w:after="20"/>
            </w:pPr>
            <w:r>
              <w:noBreakHyphen/>
            </w:r>
          </w:p>
        </w:tc>
        <w:tc>
          <w:tcPr>
            <w:tcW w:w="1842" w:type="dxa"/>
            <w:vAlign w:val="bottom"/>
          </w:tcPr>
          <w:p w14:paraId="7EFF83AB" w14:textId="77777777" w:rsidR="00513159" w:rsidRPr="0064011C" w:rsidRDefault="00513159" w:rsidP="00C6006F">
            <w:pPr>
              <w:pStyle w:val="TableTextLeft"/>
              <w:spacing w:before="20" w:after="20"/>
            </w:pPr>
            <w:r w:rsidRPr="0064011C">
              <w:t>41%</w:t>
            </w:r>
          </w:p>
        </w:tc>
      </w:tr>
      <w:tr w:rsidR="00513159" w14:paraId="6BD90AD5" w14:textId="77777777" w:rsidTr="00C6006F">
        <w:tc>
          <w:tcPr>
            <w:tcW w:w="5660" w:type="dxa"/>
            <w:vAlign w:val="bottom"/>
          </w:tcPr>
          <w:p w14:paraId="4A47A78F" w14:textId="01112D24" w:rsidR="00513159" w:rsidRPr="0064011C" w:rsidRDefault="00C6006F" w:rsidP="00C6006F">
            <w:pPr>
              <w:pStyle w:val="TableTextLeft"/>
              <w:spacing w:before="20" w:after="20"/>
            </w:pPr>
            <w:r w:rsidRPr="00C51975">
              <w:tab/>
            </w:r>
            <w:r w:rsidR="00513159" w:rsidRPr="0064011C">
              <w:t xml:space="preserve">Centrally supported ethics review arrangements </w:t>
            </w:r>
          </w:p>
        </w:tc>
        <w:tc>
          <w:tcPr>
            <w:tcW w:w="1560" w:type="dxa"/>
          </w:tcPr>
          <w:p w14:paraId="39F3EF1E" w14:textId="5C52047E" w:rsidR="00513159" w:rsidRPr="0064011C" w:rsidRDefault="00AD4DCC" w:rsidP="00C6006F">
            <w:pPr>
              <w:pStyle w:val="TableTextLeft"/>
              <w:spacing w:before="20" w:after="20"/>
            </w:pPr>
            <w:r>
              <w:noBreakHyphen/>
            </w:r>
          </w:p>
        </w:tc>
        <w:tc>
          <w:tcPr>
            <w:tcW w:w="1842" w:type="dxa"/>
            <w:vAlign w:val="bottom"/>
          </w:tcPr>
          <w:p w14:paraId="5E292764" w14:textId="77777777" w:rsidR="00513159" w:rsidRPr="0064011C" w:rsidRDefault="00513159" w:rsidP="00C6006F">
            <w:pPr>
              <w:pStyle w:val="TableTextLeft"/>
              <w:spacing w:before="20" w:after="20"/>
            </w:pPr>
            <w:r w:rsidRPr="0064011C">
              <w:t>39%</w:t>
            </w:r>
          </w:p>
        </w:tc>
      </w:tr>
      <w:tr w:rsidR="00513159" w14:paraId="04298BCC" w14:textId="77777777" w:rsidTr="00C6006F">
        <w:tc>
          <w:tcPr>
            <w:tcW w:w="5660" w:type="dxa"/>
            <w:vAlign w:val="bottom"/>
          </w:tcPr>
          <w:p w14:paraId="00816F9D" w14:textId="0D45E412" w:rsidR="00513159" w:rsidRPr="0064011C" w:rsidRDefault="00C6006F" w:rsidP="00C6006F">
            <w:pPr>
              <w:pStyle w:val="TableTextLeft"/>
              <w:spacing w:before="20" w:after="20"/>
            </w:pPr>
            <w:r w:rsidRPr="00C51975">
              <w:tab/>
            </w:r>
            <w:r w:rsidR="00513159" w:rsidRPr="0064011C">
              <w:t xml:space="preserve">Technical support for impact evaluations </w:t>
            </w:r>
          </w:p>
        </w:tc>
        <w:tc>
          <w:tcPr>
            <w:tcW w:w="1560" w:type="dxa"/>
          </w:tcPr>
          <w:p w14:paraId="00A3929C" w14:textId="3541581B" w:rsidR="00513159" w:rsidRPr="0064011C" w:rsidRDefault="00AD4DCC" w:rsidP="00C6006F">
            <w:pPr>
              <w:pStyle w:val="TableTextLeft"/>
              <w:spacing w:before="20" w:after="20"/>
            </w:pPr>
            <w:r>
              <w:noBreakHyphen/>
            </w:r>
          </w:p>
        </w:tc>
        <w:tc>
          <w:tcPr>
            <w:tcW w:w="1842" w:type="dxa"/>
            <w:vAlign w:val="bottom"/>
          </w:tcPr>
          <w:p w14:paraId="1E3C2379" w14:textId="77777777" w:rsidR="00513159" w:rsidRPr="0064011C" w:rsidRDefault="00513159" w:rsidP="00C6006F">
            <w:pPr>
              <w:pStyle w:val="TableTextLeft"/>
              <w:spacing w:before="20" w:after="20"/>
            </w:pPr>
            <w:r w:rsidRPr="0064011C">
              <w:t>37%</w:t>
            </w:r>
          </w:p>
        </w:tc>
      </w:tr>
      <w:tr w:rsidR="00513159" w14:paraId="3E43D980" w14:textId="77777777" w:rsidTr="00C6006F">
        <w:tc>
          <w:tcPr>
            <w:tcW w:w="5660" w:type="dxa"/>
            <w:vAlign w:val="bottom"/>
          </w:tcPr>
          <w:p w14:paraId="48E4CA18" w14:textId="64478006" w:rsidR="00513159" w:rsidRPr="0064011C" w:rsidRDefault="00C6006F" w:rsidP="00C6006F">
            <w:pPr>
              <w:pStyle w:val="TableTextLeft"/>
              <w:spacing w:before="20" w:after="20"/>
            </w:pPr>
            <w:r w:rsidRPr="00C51975">
              <w:tab/>
            </w:r>
            <w:r w:rsidR="00513159" w:rsidRPr="0064011C">
              <w:t>External training provider panel</w:t>
            </w:r>
          </w:p>
        </w:tc>
        <w:tc>
          <w:tcPr>
            <w:tcW w:w="1560" w:type="dxa"/>
          </w:tcPr>
          <w:p w14:paraId="0C29C6A9" w14:textId="2947D292" w:rsidR="00513159" w:rsidRPr="0064011C" w:rsidRDefault="00AD4DCC" w:rsidP="00C6006F">
            <w:pPr>
              <w:pStyle w:val="TableTextLeft"/>
              <w:spacing w:before="20" w:after="20"/>
            </w:pPr>
            <w:r>
              <w:noBreakHyphen/>
            </w:r>
          </w:p>
        </w:tc>
        <w:tc>
          <w:tcPr>
            <w:tcW w:w="1842" w:type="dxa"/>
            <w:vAlign w:val="bottom"/>
          </w:tcPr>
          <w:p w14:paraId="39B70B93" w14:textId="77777777" w:rsidR="00513159" w:rsidRPr="0064011C" w:rsidRDefault="00513159" w:rsidP="00C6006F">
            <w:pPr>
              <w:pStyle w:val="TableTextLeft"/>
              <w:spacing w:before="20" w:after="20"/>
            </w:pPr>
            <w:r w:rsidRPr="0064011C">
              <w:t>25%</w:t>
            </w:r>
          </w:p>
        </w:tc>
      </w:tr>
    </w:tbl>
    <w:p w14:paraId="39DF9727" w14:textId="49E73875" w:rsidR="00612CF9" w:rsidRPr="00612CF9" w:rsidRDefault="0044523F" w:rsidP="009E0141">
      <w:pPr>
        <w:pStyle w:val="Heading1"/>
      </w:pPr>
      <w:bookmarkStart w:id="36" w:name="_Toc189820838"/>
      <w:bookmarkEnd w:id="34"/>
      <w:r>
        <w:lastRenderedPageBreak/>
        <w:t xml:space="preserve">Appendix </w:t>
      </w:r>
      <w:r w:rsidR="008236CB">
        <w:t>6</w:t>
      </w:r>
      <w:r w:rsidR="00CF7B75">
        <w:t xml:space="preserve">: </w:t>
      </w:r>
      <w:r w:rsidR="008236CB">
        <w:t>Survey results (</w:t>
      </w:r>
      <w:r w:rsidR="00612CF9">
        <w:t>graph format)</w:t>
      </w:r>
      <w:bookmarkEnd w:id="36"/>
    </w:p>
    <w:p w14:paraId="50EDE08F" w14:textId="3669311C" w:rsidR="008A082A" w:rsidRDefault="008A082A" w:rsidP="008A082A">
      <w:pPr>
        <w:pStyle w:val="Heading2"/>
      </w:pPr>
      <w:bookmarkStart w:id="37" w:name="_Toc189820839"/>
      <w:r>
        <w:t xml:space="preserve">Agency </w:t>
      </w:r>
      <w:r w:rsidR="00CD7C1E">
        <w:t>i</w:t>
      </w:r>
      <w:r>
        <w:t>nformation</w:t>
      </w:r>
      <w:bookmarkEnd w:id="37"/>
    </w:p>
    <w:p w14:paraId="50CCAA7C" w14:textId="77777777" w:rsidR="008A082A" w:rsidRDefault="008A082A" w:rsidP="008A082A">
      <w:pPr>
        <w:pStyle w:val="Heading3"/>
      </w:pPr>
      <w:bookmarkStart w:id="38" w:name="_Toc188272207"/>
      <w:r>
        <w:t>Agency Characteristics</w:t>
      </w:r>
      <w:bookmarkEnd w:id="38"/>
    </w:p>
    <w:p w14:paraId="56B53D66" w14:textId="3BD36A0C" w:rsidR="008A082A" w:rsidRDefault="00FA3541" w:rsidP="00864466">
      <w:pPr>
        <w:pStyle w:val="ChartMainHeading"/>
      </w:pPr>
      <w:r>
        <w:t>Figure 2</w:t>
      </w:r>
      <w:r w:rsidR="00237F13">
        <w:t>4</w:t>
      </w:r>
      <w:r w:rsidR="002C0A2D">
        <w:t xml:space="preserve">: </w:t>
      </w:r>
      <w:r w:rsidR="008A082A">
        <w:t xml:space="preserve">Size of agency </w:t>
      </w:r>
      <w:r w:rsidR="008A082A" w:rsidRPr="00C8653E">
        <w:t>(N:92)</w:t>
      </w:r>
    </w:p>
    <w:p w14:paraId="0201508B" w14:textId="77777777" w:rsidR="008A082A" w:rsidRPr="00E01CBD" w:rsidRDefault="008A082A" w:rsidP="00864466">
      <w:pPr>
        <w:pStyle w:val="ChartSecondHeading"/>
      </w:pPr>
      <w:r>
        <w:t xml:space="preserve">Q3: </w:t>
      </w:r>
      <w:r w:rsidRPr="008A49F3">
        <w:t>What is the size of your agency (number of employees)?</w:t>
      </w:r>
    </w:p>
    <w:p w14:paraId="7F04D48E" w14:textId="77777777" w:rsidR="00773D71" w:rsidRDefault="008A082A" w:rsidP="00864466">
      <w:pPr>
        <w:pStyle w:val="ChartGraphic"/>
      </w:pPr>
      <w:r>
        <w:rPr>
          <w:noProof/>
        </w:rPr>
        <w:drawing>
          <wp:inline distT="0" distB="0" distL="0" distR="0" wp14:anchorId="26F55BF0" wp14:editId="3BE9DB0E">
            <wp:extent cx="4679950" cy="2838894"/>
            <wp:effectExtent l="0" t="0" r="0" b="0"/>
            <wp:docPr id="565227473" name="Chart 1" descr="Bar chart showing the results for survey question 3. The y-axis lists agency sizes, and the x-axis shows the percentage of entities that identified as each size. Detailed results are available in Appendix 5, Table 3.">
              <a:extLst xmlns:a="http://schemas.openxmlformats.org/drawingml/2006/main">
                <a:ext uri="{FF2B5EF4-FFF2-40B4-BE49-F238E27FC236}">
                  <a16:creationId xmlns:a16="http://schemas.microsoft.com/office/drawing/2014/main" id="{297F7CDD-A525-4625-95B7-0D30FAAC7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2C12C22" w14:textId="77777777" w:rsidR="00902DF8" w:rsidRDefault="00902DF8" w:rsidP="00864466">
      <w:pPr>
        <w:pStyle w:val="ChartMainHeading"/>
      </w:pPr>
    </w:p>
    <w:p w14:paraId="2BC9D9E6" w14:textId="6D527BE2" w:rsidR="008A082A" w:rsidRDefault="00F5523F" w:rsidP="00864466">
      <w:pPr>
        <w:pStyle w:val="ChartMainHeading"/>
      </w:pPr>
      <w:r>
        <w:t>Figure 2</w:t>
      </w:r>
      <w:r w:rsidR="00237F13">
        <w:t>5</w:t>
      </w:r>
      <w:r>
        <w:t xml:space="preserve">: </w:t>
      </w:r>
      <w:r w:rsidR="008A082A">
        <w:t>Nature of government programs, services or activities agency administers (N:79)</w:t>
      </w:r>
    </w:p>
    <w:p w14:paraId="79B922A2" w14:textId="77777777" w:rsidR="008A082A" w:rsidRPr="00E01CBD" w:rsidRDefault="008A082A" w:rsidP="00864466">
      <w:pPr>
        <w:pStyle w:val="ChartSecondHeading"/>
      </w:pPr>
      <w:r>
        <w:t xml:space="preserve">Q4: </w:t>
      </w:r>
      <w:r w:rsidRPr="008A49F3">
        <w:t>What is the nature of government programs, services or activities that your agency administers?</w:t>
      </w:r>
    </w:p>
    <w:p w14:paraId="4E72ACDB" w14:textId="77777777" w:rsidR="008A082A" w:rsidRDefault="008A082A" w:rsidP="00864466">
      <w:pPr>
        <w:pStyle w:val="ChartGraphic"/>
      </w:pPr>
      <w:r>
        <w:rPr>
          <w:noProof/>
        </w:rPr>
        <w:drawing>
          <wp:inline distT="0" distB="0" distL="0" distR="0" wp14:anchorId="569E2C83" wp14:editId="15857856">
            <wp:extent cx="4680000" cy="2880000"/>
            <wp:effectExtent l="0" t="0" r="0" b="0"/>
            <wp:docPr id="1471271092" name="Chart 1" descr="Bar chart showing the results for survey question 4. The y-axis lists program types, and the x-axis shows the percentage of entities that identified each program. Detailed results are available in Appendix 5, Table 3.">
              <a:extLst xmlns:a="http://schemas.openxmlformats.org/drawingml/2006/main">
                <a:ext uri="{FF2B5EF4-FFF2-40B4-BE49-F238E27FC236}">
                  <a16:creationId xmlns:a16="http://schemas.microsoft.com/office/drawing/2014/main" id="{5F0E55BF-380D-4C7D-B31A-B261355EC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5E2381" w14:textId="77777777" w:rsidR="008A082A" w:rsidRDefault="008A082A" w:rsidP="008A082A">
      <w:pPr>
        <w:pStyle w:val="Heading3"/>
      </w:pPr>
      <w:bookmarkStart w:id="39" w:name="_Toc188272208"/>
      <w:r>
        <w:lastRenderedPageBreak/>
        <w:t>Governance Characteristics</w:t>
      </w:r>
      <w:bookmarkEnd w:id="39"/>
    </w:p>
    <w:p w14:paraId="5684CC73" w14:textId="29782789" w:rsidR="008A082A" w:rsidRDefault="00F5523F" w:rsidP="00881308">
      <w:pPr>
        <w:pStyle w:val="ChartMainHeading"/>
      </w:pPr>
      <w:r>
        <w:t>Figure 2</w:t>
      </w:r>
      <w:r w:rsidR="00237F13">
        <w:t>6</w:t>
      </w:r>
      <w:r>
        <w:t xml:space="preserve">: </w:t>
      </w:r>
      <w:r w:rsidR="008A082A">
        <w:t>Senior officer (SES or equivalent) with oversight (N:92)</w:t>
      </w:r>
    </w:p>
    <w:p w14:paraId="3FA447A5" w14:textId="44BB6874" w:rsidR="008A082A" w:rsidRPr="00E01CBD" w:rsidRDefault="008A082A" w:rsidP="00FC75DF">
      <w:pPr>
        <w:pStyle w:val="ChartSecondHeading"/>
      </w:pPr>
      <w:r>
        <w:t xml:space="preserve">Q5: </w:t>
      </w:r>
      <w:r w:rsidRPr="00EF385B">
        <w:t>Does your agency have a senior officer (SES or equivalent) with oversight responsibility for evaluation at an enterprise</w:t>
      </w:r>
      <w:r w:rsidR="00AD4DCC">
        <w:noBreakHyphen/>
      </w:r>
      <w:r w:rsidRPr="00EF385B">
        <w:t>level?</w:t>
      </w:r>
    </w:p>
    <w:p w14:paraId="1C5D660D" w14:textId="77777777" w:rsidR="008A082A" w:rsidRDefault="008A082A" w:rsidP="00881308">
      <w:pPr>
        <w:pStyle w:val="ChartGraphic"/>
      </w:pPr>
      <w:r>
        <w:rPr>
          <w:noProof/>
        </w:rPr>
        <w:drawing>
          <wp:inline distT="0" distB="0" distL="0" distR="0" wp14:anchorId="6767EB25" wp14:editId="3C664353">
            <wp:extent cx="4680000" cy="2880000"/>
            <wp:effectExtent l="0" t="0" r="0" b="0"/>
            <wp:docPr id="1134357616" name="Chart 1" descr="Stacked bar chart showing the results for survey question 5. The y axis represents the size of entities and the total for all entities. The x-axis shows the percentage of 'Yes' and 'No' responses for senior officer oversight of evaluation activiti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A08BE280-7881-4240-8F04-B88648505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1806CF" w14:textId="77777777" w:rsidR="00902DF8" w:rsidRDefault="00902DF8" w:rsidP="00881308">
      <w:pPr>
        <w:pStyle w:val="ChartMainHeading"/>
      </w:pPr>
    </w:p>
    <w:p w14:paraId="4620C3C9" w14:textId="6597BC32" w:rsidR="008A082A" w:rsidRDefault="00F5523F" w:rsidP="00881308">
      <w:pPr>
        <w:pStyle w:val="ChartMainHeading"/>
      </w:pPr>
      <w:r>
        <w:t>Figure 2</w:t>
      </w:r>
      <w:r w:rsidR="00237F13">
        <w:t>7</w:t>
      </w:r>
      <w:r>
        <w:t xml:space="preserve">: </w:t>
      </w:r>
      <w:r w:rsidR="008A082A">
        <w:t>Dedicated evaluation unit or function (N:92)</w:t>
      </w:r>
    </w:p>
    <w:p w14:paraId="7203BF4C" w14:textId="77777777" w:rsidR="008A082A" w:rsidRDefault="008A082A" w:rsidP="00FC75DF">
      <w:pPr>
        <w:pStyle w:val="ChartSecondHeading"/>
      </w:pPr>
      <w:r>
        <w:t xml:space="preserve">Q6: </w:t>
      </w:r>
      <w:r w:rsidRPr="00397CF3">
        <w:t>Does your agency have a dedicated evaluation unit or function?</w:t>
      </w:r>
    </w:p>
    <w:p w14:paraId="14CEB92D" w14:textId="3638580C" w:rsidR="008A082A" w:rsidRDefault="00A913B3" w:rsidP="00881308">
      <w:pPr>
        <w:pStyle w:val="ChartGraphic"/>
      </w:pPr>
      <w:r>
        <w:rPr>
          <w:noProof/>
        </w:rPr>
        <w:drawing>
          <wp:inline distT="0" distB="0" distL="0" distR="0" wp14:anchorId="7E0D9F40" wp14:editId="3A3196F4">
            <wp:extent cx="5213400" cy="2737125"/>
            <wp:effectExtent l="0" t="0" r="0" b="0"/>
            <wp:docPr id="2037522085" name="Chart 1" descr="Stacked bar chart showing the results for survey question 6. The y axis represents the size of entities and the total for all entities. The x-axis shows the percentage of 'Yes', 'Partial' and 'No' responses to the question, whether they had an evaluation unit or function.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B34D8597-47C6-4909-8DEA-749A47317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CB89E1" w14:textId="77777777" w:rsidR="00902DF8" w:rsidRDefault="00902DF8">
      <w:pPr>
        <w:spacing w:before="0" w:after="160" w:line="259" w:lineRule="auto"/>
        <w:rPr>
          <w:rFonts w:ascii="Calibri" w:hAnsi="Calibri" w:cs="Arial"/>
          <w:color w:val="2C384A" w:themeColor="accent1"/>
          <w:kern w:val="32"/>
          <w:sz w:val="26"/>
          <w:szCs w:val="26"/>
        </w:rPr>
      </w:pPr>
      <w:r>
        <w:br w:type="page"/>
      </w:r>
    </w:p>
    <w:p w14:paraId="5419CDF5" w14:textId="3B43AF8E" w:rsidR="008A082A" w:rsidRDefault="00F5523F" w:rsidP="00864466">
      <w:pPr>
        <w:pStyle w:val="ChartMainHeading"/>
      </w:pPr>
      <w:r>
        <w:lastRenderedPageBreak/>
        <w:t>Figure 2</w:t>
      </w:r>
      <w:r w:rsidR="00237F13">
        <w:t>8</w:t>
      </w:r>
      <w:r>
        <w:t xml:space="preserve">: </w:t>
      </w:r>
      <w:r w:rsidR="008A082A">
        <w:t>Year of Establishment (N:27)</w:t>
      </w:r>
    </w:p>
    <w:p w14:paraId="0748D919" w14:textId="41F368DF" w:rsidR="008A082A" w:rsidRDefault="008A082A" w:rsidP="00864466">
      <w:pPr>
        <w:pStyle w:val="ChartSecondHeading"/>
      </w:pPr>
      <w:r>
        <w:t xml:space="preserve">6. 1 </w:t>
      </w:r>
      <w:r w:rsidRPr="00E01CBD">
        <w:t>When was this unit or function established (year)?</w:t>
      </w:r>
    </w:p>
    <w:p w14:paraId="34429066" w14:textId="794BD610" w:rsidR="00F24979" w:rsidRDefault="00FC0B8F" w:rsidP="00864466">
      <w:pPr>
        <w:pStyle w:val="ChartGraphic"/>
      </w:pPr>
      <w:r>
        <w:pict w14:anchorId="309FB0BB">
          <v:shape id="_x0000_i1027" type="#_x0000_t75" alt="This figure illustrates the growth in the Commonwealth Evaluation Network. It tracks the number of evaluation units cumulatively on the y-axis, and the year in which each unit was established. The PGPA Act (2013), Thodey Review (2019), and the Commonwealth Evaluation Policy (2021) are marked as milestones." style="width:396pt;height:229.5pt">
            <v:imagedata r:id="rId25" o:title=""/>
          </v:shape>
        </w:pict>
      </w:r>
    </w:p>
    <w:p w14:paraId="32AC6D6A" w14:textId="2B94C069" w:rsidR="00864466" w:rsidRDefault="00864466" w:rsidP="00864466">
      <w:pPr>
        <w:pStyle w:val="ChartMainHeading"/>
      </w:pPr>
    </w:p>
    <w:p w14:paraId="10BD508D" w14:textId="5E0A5846" w:rsidR="008A082A" w:rsidRDefault="00F5523F" w:rsidP="00864466">
      <w:pPr>
        <w:pStyle w:val="ChartMainHeading"/>
      </w:pPr>
      <w:r>
        <w:t>Figure 2</w:t>
      </w:r>
      <w:r w:rsidR="00237F13">
        <w:t>9</w:t>
      </w:r>
      <w:r>
        <w:t xml:space="preserve">: </w:t>
      </w:r>
      <w:r w:rsidR="008A082A">
        <w:t>ASL in 2023</w:t>
      </w:r>
      <w:r w:rsidR="00AD4DCC">
        <w:noBreakHyphen/>
      </w:r>
      <w:r w:rsidR="008A082A">
        <w:t>24 (N:27)</w:t>
      </w:r>
    </w:p>
    <w:p w14:paraId="49C7FB1A" w14:textId="0EA64CCC" w:rsidR="008A082A" w:rsidRPr="00E01CBD" w:rsidRDefault="008A082A" w:rsidP="00864466">
      <w:pPr>
        <w:pStyle w:val="ChartSecondHeading"/>
      </w:pPr>
      <w:r>
        <w:t xml:space="preserve">Q6.3: </w:t>
      </w:r>
      <w:r w:rsidRPr="002C4DC2">
        <w:t>What was the Average Staffing Level (ASL) for the unit or function in 2023</w:t>
      </w:r>
      <w:r w:rsidR="00AD4DCC">
        <w:noBreakHyphen/>
      </w:r>
      <w:r w:rsidRPr="002C4DC2">
        <w:t>24?</w:t>
      </w:r>
    </w:p>
    <w:p w14:paraId="6F7C302E" w14:textId="77777777" w:rsidR="0004659A" w:rsidRDefault="008A082A" w:rsidP="00864466">
      <w:pPr>
        <w:pStyle w:val="ChartGraphic"/>
      </w:pPr>
      <w:r>
        <w:rPr>
          <w:noProof/>
        </w:rPr>
        <w:drawing>
          <wp:inline distT="0" distB="0" distL="0" distR="0" wp14:anchorId="718A37BB" wp14:editId="1B78D347">
            <wp:extent cx="4572000" cy="2743200"/>
            <wp:effectExtent l="0" t="0" r="0" b="0"/>
            <wp:docPr id="780501576" name="Chart 1" descr="Illustrates the staffing strength of evaluation units identified through the survey. 9 units reported an average staffing level or ASL of 3 or less, while 7 units each reported 4-9 ASL, and 10-12 ASL respectively. Only 4 units reported an ASL of 13 or more, while one did not provide a response to this question.">
              <a:extLst xmlns:a="http://schemas.openxmlformats.org/drawingml/2006/main">
                <a:ext uri="{FF2B5EF4-FFF2-40B4-BE49-F238E27FC236}">
                  <a16:creationId xmlns:a16="http://schemas.microsoft.com/office/drawing/2014/main" id="{13979DE3-8576-7DA0-A944-140DD9DE3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665C92" w14:textId="77777777" w:rsidR="005D3AAC" w:rsidRDefault="0004659A" w:rsidP="00864466">
      <w:pPr>
        <w:pStyle w:val="ChartorTableNote"/>
        <w:jc w:val="left"/>
      </w:pPr>
      <w:r>
        <w:t>Average ASL= 8.27</w:t>
      </w:r>
    </w:p>
    <w:p w14:paraId="0E5306EF" w14:textId="3B09DE3D" w:rsidR="0004659A" w:rsidRDefault="005D3AAC" w:rsidP="00864466">
      <w:pPr>
        <w:pStyle w:val="ChartorTableNote"/>
        <w:jc w:val="left"/>
      </w:pPr>
      <w:r>
        <w:t>Median ASL= 4.5</w:t>
      </w:r>
    </w:p>
    <w:p w14:paraId="0BCBB5D9" w14:textId="77777777" w:rsidR="0004659A" w:rsidRPr="0004659A" w:rsidRDefault="0004659A" w:rsidP="00864466">
      <w:pPr>
        <w:pStyle w:val="SingleParagraph"/>
        <w:jc w:val="center"/>
      </w:pPr>
    </w:p>
    <w:p w14:paraId="3F45952A" w14:textId="12802AD0" w:rsidR="008A082A" w:rsidRDefault="00F5523F" w:rsidP="00864466">
      <w:pPr>
        <w:pStyle w:val="ChartMainHeading"/>
      </w:pPr>
      <w:r w:rsidRPr="00B42D68">
        <w:lastRenderedPageBreak/>
        <w:t xml:space="preserve">Figure </w:t>
      </w:r>
      <w:r w:rsidR="00237F13" w:rsidRPr="00B42D68">
        <w:t>30:</w:t>
      </w:r>
      <w:r w:rsidRPr="00B42D68">
        <w:t xml:space="preserve"> </w:t>
      </w:r>
      <w:r w:rsidR="008A082A" w:rsidRPr="00B42D68">
        <w:t>Decisions to change ASL level (N:28)</w:t>
      </w:r>
    </w:p>
    <w:p w14:paraId="6B7847BE" w14:textId="60BE698D" w:rsidR="008A082A" w:rsidRDefault="008A082A" w:rsidP="00864466">
      <w:pPr>
        <w:pStyle w:val="ChartSecondHeading"/>
      </w:pPr>
      <w:r>
        <w:t xml:space="preserve">Q6.4: </w:t>
      </w:r>
      <w:r w:rsidRPr="002C4DC2">
        <w:t>Has there been any substantial decisions to change the level of ASL in the evaluation unit or function since 2022</w:t>
      </w:r>
      <w:r w:rsidR="00AD4DCC">
        <w:noBreakHyphen/>
      </w:r>
      <w:r w:rsidRPr="002C4DC2">
        <w:t>23?</w:t>
      </w:r>
    </w:p>
    <w:p w14:paraId="00653BEA" w14:textId="77777777" w:rsidR="008A082A" w:rsidRPr="00B52060" w:rsidRDefault="008A082A" w:rsidP="00864466">
      <w:pPr>
        <w:pStyle w:val="ChartGraphic"/>
      </w:pPr>
      <w:r>
        <w:rPr>
          <w:noProof/>
        </w:rPr>
        <w:drawing>
          <wp:inline distT="0" distB="0" distL="0" distR="0" wp14:anchorId="4717A364" wp14:editId="054E0CF5">
            <wp:extent cx="4680000" cy="2880000"/>
            <wp:effectExtent l="0" t="0" r="0" b="0"/>
            <wp:docPr id="686381591" name="Chart 1" descr="Stacked bar chart showing the results for survey question 6.4. The y axis represents the size of entities and the total for all entities. The x-axis shows the percentage of 'Increase', 'No change' and 'Decrease'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A9DA584F-8577-4624-9331-7D7122F54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0E608BC" w14:textId="04857F13" w:rsidR="00B04E69" w:rsidRDefault="00B04E69" w:rsidP="00864466">
      <w:pPr>
        <w:spacing w:before="0" w:after="160" w:line="259" w:lineRule="auto"/>
        <w:jc w:val="center"/>
        <w:rPr>
          <w:rFonts w:cs="Arial"/>
          <w:color w:val="5D779D" w:themeColor="accent3"/>
          <w:kern w:val="32"/>
          <w:sz w:val="24"/>
          <w:szCs w:val="26"/>
        </w:rPr>
      </w:pPr>
    </w:p>
    <w:p w14:paraId="2174068E" w14:textId="75E03D5E" w:rsidR="008A082A" w:rsidRPr="00143998" w:rsidRDefault="00F5523F" w:rsidP="00864466">
      <w:pPr>
        <w:pStyle w:val="ChartMainHeading"/>
      </w:pPr>
      <w:r w:rsidRPr="00143998">
        <w:t>Figure 3</w:t>
      </w:r>
      <w:r w:rsidR="00237F13" w:rsidRPr="00143998">
        <w:t>1</w:t>
      </w:r>
      <w:r w:rsidRPr="00143998">
        <w:t xml:space="preserve">: </w:t>
      </w:r>
      <w:r w:rsidR="008A082A" w:rsidRPr="00143998">
        <w:t>Service the evaluation unit or function provides (N:2</w:t>
      </w:r>
      <w:r w:rsidR="00DF237C">
        <w:t>8</w:t>
      </w:r>
      <w:r w:rsidR="008A082A" w:rsidRPr="00143998">
        <w:t>)</w:t>
      </w:r>
    </w:p>
    <w:p w14:paraId="7B2C289C" w14:textId="77777777" w:rsidR="008A082A" w:rsidRPr="00E01CBD" w:rsidRDefault="008A082A" w:rsidP="00864466">
      <w:pPr>
        <w:pStyle w:val="ChartSecondHeading"/>
      </w:pPr>
      <w:r>
        <w:t xml:space="preserve">Q6.5: </w:t>
      </w:r>
      <w:r w:rsidRPr="00F00C7E">
        <w:t>What type of services does the evaluation unit or function provide?</w:t>
      </w:r>
    </w:p>
    <w:p w14:paraId="681EDD42" w14:textId="77777777" w:rsidR="008A082A" w:rsidRDefault="008A082A" w:rsidP="00864466">
      <w:pPr>
        <w:pStyle w:val="ChartGraphic"/>
      </w:pPr>
      <w:r>
        <w:rPr>
          <w:noProof/>
        </w:rPr>
        <w:drawing>
          <wp:inline distT="0" distB="0" distL="0" distR="0" wp14:anchorId="7AC27ACB" wp14:editId="1E53D565">
            <wp:extent cx="4680000" cy="2880000"/>
            <wp:effectExtent l="0" t="0" r="0" b="0"/>
            <wp:docPr id="900652772" name="Chart 1" descr="Bar chart showing the results for survey question 6.5. The y-axis lists services, and the x-axis shows the percentage of entities that identified each services. Detailed results are available in Appendix 5, Table 3.">
              <a:extLst xmlns:a="http://schemas.openxmlformats.org/drawingml/2006/main">
                <a:ext uri="{FF2B5EF4-FFF2-40B4-BE49-F238E27FC236}">
                  <a16:creationId xmlns:a16="http://schemas.microsoft.com/office/drawing/2014/main" id="{8186DD06-458F-483A-B2BD-FB522D1F85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31B1F19" w14:textId="77777777" w:rsidR="008A082A" w:rsidRDefault="008A082A" w:rsidP="00864466">
      <w:pPr>
        <w:jc w:val="center"/>
      </w:pPr>
    </w:p>
    <w:p w14:paraId="4284A7B2" w14:textId="7F24EEFA" w:rsidR="008A082A" w:rsidRPr="00143998" w:rsidRDefault="00F5523F" w:rsidP="00864466">
      <w:pPr>
        <w:pStyle w:val="ChartMainHeading"/>
      </w:pPr>
      <w:r w:rsidRPr="00143998">
        <w:lastRenderedPageBreak/>
        <w:t>Figure 3</w:t>
      </w:r>
      <w:r w:rsidR="00237F13" w:rsidRPr="00143998">
        <w:t>2</w:t>
      </w:r>
      <w:r w:rsidRPr="00143998">
        <w:t xml:space="preserve">: </w:t>
      </w:r>
      <w:r w:rsidR="008A082A" w:rsidRPr="00143998">
        <w:t>Specific support activities or support the evaluation unit provides to other areas of the agency (N:2</w:t>
      </w:r>
      <w:r w:rsidR="00D57B20">
        <w:t>8</w:t>
      </w:r>
      <w:r w:rsidR="008A082A" w:rsidRPr="00143998">
        <w:t>)</w:t>
      </w:r>
    </w:p>
    <w:p w14:paraId="7622388C" w14:textId="77777777" w:rsidR="008A082A" w:rsidRDefault="008A082A" w:rsidP="00864466">
      <w:pPr>
        <w:pStyle w:val="ChartSecondHeading"/>
      </w:pPr>
      <w:r>
        <w:t xml:space="preserve">Q6.6: </w:t>
      </w:r>
      <w:r w:rsidRPr="00F00C7E">
        <w:t>What specific support activities or support does the evaluation function or unit provide to other areas of the agency?</w:t>
      </w:r>
    </w:p>
    <w:p w14:paraId="19E03E62" w14:textId="77777777" w:rsidR="008A082A" w:rsidRDefault="008A082A" w:rsidP="00864466">
      <w:pPr>
        <w:pStyle w:val="ChartGraphic"/>
      </w:pPr>
      <w:r>
        <w:rPr>
          <w:noProof/>
        </w:rPr>
        <w:drawing>
          <wp:inline distT="0" distB="0" distL="0" distR="0" wp14:anchorId="699419E6" wp14:editId="112E349F">
            <wp:extent cx="4680000" cy="2880000"/>
            <wp:effectExtent l="0" t="0" r="0" b="0"/>
            <wp:docPr id="176150001" name="Chart 1" descr="Bar chart showing the results for survey question 6.6. The y-axis lists support activities, and the x-axis shows the percentage of entities that identified each support. Detailed results are available in Appendix 5, Table 3.">
              <a:extLst xmlns:a="http://schemas.openxmlformats.org/drawingml/2006/main">
                <a:ext uri="{FF2B5EF4-FFF2-40B4-BE49-F238E27FC236}">
                  <a16:creationId xmlns:a16="http://schemas.microsoft.com/office/drawing/2014/main" id="{94DC308A-CE3D-4559-BE65-177766E324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86981D8" w14:textId="0C5E7017" w:rsidR="00864466" w:rsidRDefault="00864466" w:rsidP="00864466">
      <w:pPr>
        <w:pStyle w:val="ChartMainHeading"/>
      </w:pPr>
    </w:p>
    <w:p w14:paraId="4AC60241" w14:textId="7817EDFE" w:rsidR="008A082A" w:rsidRDefault="00F5523F" w:rsidP="00864466">
      <w:pPr>
        <w:pStyle w:val="ChartMainHeading"/>
      </w:pPr>
      <w:r w:rsidRPr="00143998">
        <w:t>Figure 3</w:t>
      </w:r>
      <w:r w:rsidR="00237F13" w:rsidRPr="00143998">
        <w:t>3</w:t>
      </w:r>
      <w:r w:rsidRPr="00143998">
        <w:t xml:space="preserve">: </w:t>
      </w:r>
      <w:r w:rsidR="008A082A" w:rsidRPr="00143998">
        <w:t>Plans to establish a dedicated unit or function (N: 64)</w:t>
      </w:r>
    </w:p>
    <w:p w14:paraId="29514A7C" w14:textId="77777777" w:rsidR="008A082A" w:rsidRDefault="008A082A" w:rsidP="00864466">
      <w:pPr>
        <w:pStyle w:val="ChartSecondHeading"/>
      </w:pPr>
      <w:r>
        <w:t xml:space="preserve">Q6.7: </w:t>
      </w:r>
      <w:r w:rsidRPr="00C5561C">
        <w:t>Are there plans to establish a dedicated evaluation unit or function within your agency?</w:t>
      </w:r>
    </w:p>
    <w:p w14:paraId="0C495003" w14:textId="668ADA7D" w:rsidR="008A082A" w:rsidRDefault="008A082A" w:rsidP="00864466">
      <w:pPr>
        <w:pStyle w:val="ChartGraphic"/>
      </w:pPr>
      <w:r>
        <w:rPr>
          <w:noProof/>
        </w:rPr>
        <w:drawing>
          <wp:inline distT="0" distB="0" distL="0" distR="0" wp14:anchorId="696A24AC" wp14:editId="34A582B1">
            <wp:extent cx="4680000" cy="2880000"/>
            <wp:effectExtent l="0" t="0" r="0" b="0"/>
            <wp:docPr id="1265261619" name="Chart 1" descr="Stacked bar chart showing the results for survey question 6.7. The y axis represents the size of entities and the total for all entities. The x-axis shows the percentage of 'Planned', 'Alternative arrangements' and 'No plans'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6B654907-A703-425E-A201-1BA2B9A29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224ABCF" w14:textId="77777777" w:rsidR="003E2761" w:rsidRPr="008D3DDC" w:rsidRDefault="003E2761" w:rsidP="00864466">
      <w:pPr>
        <w:jc w:val="center"/>
      </w:pPr>
    </w:p>
    <w:p w14:paraId="738F3D15" w14:textId="23B40D3A" w:rsidR="008A082A" w:rsidRPr="00143998" w:rsidRDefault="00F5523F" w:rsidP="00881308">
      <w:pPr>
        <w:pStyle w:val="ChartMainHeading"/>
      </w:pPr>
      <w:r w:rsidRPr="00143998">
        <w:lastRenderedPageBreak/>
        <w:t>Figure 3</w:t>
      </w:r>
      <w:r w:rsidR="00237F13" w:rsidRPr="00143998">
        <w:t>4</w:t>
      </w:r>
      <w:r w:rsidRPr="00143998">
        <w:t xml:space="preserve">: </w:t>
      </w:r>
      <w:r w:rsidR="008A082A" w:rsidRPr="00143998">
        <w:t>Evaluation specific roles outside of a dedicated evaluation unit or function? (N: 89)</w:t>
      </w:r>
    </w:p>
    <w:p w14:paraId="59273F18" w14:textId="77777777" w:rsidR="008A082A" w:rsidRDefault="008A082A" w:rsidP="00FC75DF">
      <w:pPr>
        <w:pStyle w:val="ChartSecondHeading"/>
      </w:pPr>
      <w:r>
        <w:t xml:space="preserve">Q7: </w:t>
      </w:r>
      <w:r w:rsidRPr="003B7CC8">
        <w:t>Does your agency have any evaluation specific roles outside of a dedicated evaluation unit or function?</w:t>
      </w:r>
    </w:p>
    <w:p w14:paraId="5F0FB5F1" w14:textId="77777777" w:rsidR="008A082A" w:rsidRDefault="008A082A" w:rsidP="002B4668">
      <w:pPr>
        <w:pStyle w:val="ChartGraphic"/>
      </w:pPr>
      <w:r>
        <w:rPr>
          <w:noProof/>
        </w:rPr>
        <w:drawing>
          <wp:inline distT="0" distB="0" distL="0" distR="0" wp14:anchorId="351B742A" wp14:editId="4C938C5A">
            <wp:extent cx="4680000" cy="2880000"/>
            <wp:effectExtent l="0" t="0" r="0" b="0"/>
            <wp:docPr id="916018163" name="Chart 1" descr="Bar chart showing the results for survey question 7. The y-axis lists evaluation roles, and the x-axis shows the percentage of entities that identified each role. Detailed results are available in Appendix 5, Table 3.">
              <a:extLst xmlns:a="http://schemas.openxmlformats.org/drawingml/2006/main">
                <a:ext uri="{FF2B5EF4-FFF2-40B4-BE49-F238E27FC236}">
                  <a16:creationId xmlns:a16="http://schemas.microsoft.com/office/drawing/2014/main" id="{146A512B-F0AC-4932-862B-083AB0F9B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8AE031F" w14:textId="77777777" w:rsidR="00B46CC7" w:rsidRDefault="00B46CC7" w:rsidP="008A082A">
      <w:pPr>
        <w:pStyle w:val="Heading4"/>
        <w:rPr>
          <w:rFonts w:ascii="Calibri" w:hAnsi="Calibri"/>
          <w:color w:val="2C384A" w:themeColor="accent1"/>
          <w:sz w:val="26"/>
        </w:rPr>
      </w:pPr>
    </w:p>
    <w:p w14:paraId="78C3CD11" w14:textId="3CE001B3"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t>Figure 3</w:t>
      </w:r>
      <w:r w:rsidR="00237F13">
        <w:rPr>
          <w:rFonts w:ascii="Calibri" w:hAnsi="Calibri"/>
          <w:color w:val="2C384A" w:themeColor="accent1"/>
          <w:sz w:val="26"/>
        </w:rPr>
        <w:t>5</w:t>
      </w:r>
      <w:r w:rsidRPr="003F6CCD">
        <w:rPr>
          <w:rFonts w:ascii="Calibri" w:hAnsi="Calibri"/>
          <w:color w:val="2C384A" w:themeColor="accent1"/>
          <w:sz w:val="26"/>
        </w:rPr>
        <w:t xml:space="preserve">: </w:t>
      </w:r>
      <w:r w:rsidR="008A082A" w:rsidRPr="003F6CCD">
        <w:rPr>
          <w:rFonts w:ascii="Calibri" w:hAnsi="Calibri"/>
          <w:color w:val="2C384A" w:themeColor="accent1"/>
          <w:sz w:val="26"/>
        </w:rPr>
        <w:t>Evaluation specific roles outside of a dedicated evaluation unit or function (N: 91)</w:t>
      </w:r>
    </w:p>
    <w:p w14:paraId="0A9F024F" w14:textId="77777777" w:rsidR="008A082A" w:rsidRPr="00E01CBD" w:rsidRDefault="008A082A" w:rsidP="00FC75DF">
      <w:pPr>
        <w:pStyle w:val="ChartSecondHeading"/>
      </w:pPr>
      <w:r>
        <w:t xml:space="preserve">Q8: </w:t>
      </w:r>
      <w:r w:rsidRPr="00347357">
        <w:t xml:space="preserve">How many dedicated </w:t>
      </w:r>
      <w:proofErr w:type="gramStart"/>
      <w:r w:rsidRPr="00347357">
        <w:t>evaluation</w:t>
      </w:r>
      <w:proofErr w:type="gramEnd"/>
      <w:r w:rsidRPr="00347357">
        <w:t xml:space="preserve"> staff (ASL) work in your agency (outside of a dedicated evaluation unit or function)?</w:t>
      </w:r>
    </w:p>
    <w:p w14:paraId="17C319F7" w14:textId="57054AEE" w:rsidR="008A082A" w:rsidRPr="00442EC3" w:rsidRDefault="007842A4" w:rsidP="002B4668">
      <w:pPr>
        <w:pStyle w:val="ChartGraphic"/>
      </w:pPr>
      <w:r>
        <w:rPr>
          <w:noProof/>
        </w:rPr>
        <w:drawing>
          <wp:inline distT="0" distB="0" distL="0" distR="0" wp14:anchorId="188C8434" wp14:editId="537C408C">
            <wp:extent cx="4572000" cy="2933700"/>
            <wp:effectExtent l="0" t="0" r="0" b="0"/>
            <wp:docPr id="1085416456" name="Chart 1" descr="Bar chart showing the results for survey question 8. The y-axis lists the size of evaluation units in four groups as follows: 3 or less ASL, 4 to 9 ASL, 10-12 ASL, and 13+ ASL. The x-axis shows the number of entities for each group. Detailed results are available in Appendix 5, Table 3.">
              <a:extLst xmlns:a="http://schemas.openxmlformats.org/drawingml/2006/main">
                <a:ext uri="{FF2B5EF4-FFF2-40B4-BE49-F238E27FC236}">
                  <a16:creationId xmlns:a16="http://schemas.microsoft.com/office/drawing/2014/main" id="{B5E391CC-BFCC-45B5-820C-CCEEC5682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DE3E5C2" w14:textId="65617EE6" w:rsidR="001F4A85" w:rsidRDefault="002B4668" w:rsidP="00FC75DF">
      <w:pPr>
        <w:pStyle w:val="ChartorTableNote"/>
      </w:pPr>
      <w:r>
        <w:t>Average ASL = 6.41 (N: 21)</w:t>
      </w:r>
    </w:p>
    <w:p w14:paraId="359D8F97" w14:textId="77777777" w:rsidR="00FC75DF" w:rsidRPr="004B2F28" w:rsidRDefault="00FC75DF" w:rsidP="00FC75DF">
      <w:pPr>
        <w:pStyle w:val="SingleParagraph"/>
      </w:pPr>
    </w:p>
    <w:p w14:paraId="32C7DC2B" w14:textId="48BBC74A"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lastRenderedPageBreak/>
        <w:t>Figure 3</w:t>
      </w:r>
      <w:r w:rsidR="00237F13">
        <w:rPr>
          <w:rFonts w:ascii="Calibri" w:hAnsi="Calibri"/>
          <w:color w:val="2C384A" w:themeColor="accent1"/>
          <w:sz w:val="26"/>
        </w:rPr>
        <w:t>6</w:t>
      </w:r>
      <w:r w:rsidRPr="003F6CCD">
        <w:rPr>
          <w:rFonts w:ascii="Calibri" w:hAnsi="Calibri"/>
          <w:color w:val="2C384A" w:themeColor="accent1"/>
          <w:sz w:val="26"/>
        </w:rPr>
        <w:t xml:space="preserve">: </w:t>
      </w:r>
      <w:r w:rsidR="009A488A">
        <w:rPr>
          <w:rFonts w:ascii="Calibri" w:hAnsi="Calibri"/>
          <w:color w:val="2C384A" w:themeColor="accent1"/>
          <w:sz w:val="26"/>
        </w:rPr>
        <w:t xml:space="preserve">Percentage of entities </w:t>
      </w:r>
      <w:r w:rsidR="00596D83">
        <w:rPr>
          <w:rFonts w:ascii="Calibri" w:hAnsi="Calibri"/>
          <w:color w:val="2C384A" w:themeColor="accent1"/>
          <w:sz w:val="26"/>
        </w:rPr>
        <w:t xml:space="preserve">that reported considering </w:t>
      </w:r>
      <w:r w:rsidR="008A082A" w:rsidRPr="003F6CCD">
        <w:rPr>
          <w:rFonts w:ascii="Calibri" w:hAnsi="Calibri"/>
          <w:color w:val="2C384A" w:themeColor="accent1"/>
          <w:sz w:val="26"/>
        </w:rPr>
        <w:t xml:space="preserve">evaluation in the context of </w:t>
      </w:r>
      <w:r w:rsidR="00B350E9">
        <w:rPr>
          <w:rFonts w:ascii="Calibri" w:hAnsi="Calibri"/>
          <w:color w:val="2C384A" w:themeColor="accent1"/>
          <w:sz w:val="26"/>
        </w:rPr>
        <w:t xml:space="preserve">specific </w:t>
      </w:r>
      <w:r w:rsidR="008A082A" w:rsidRPr="003F6CCD">
        <w:rPr>
          <w:rFonts w:ascii="Calibri" w:hAnsi="Calibri"/>
          <w:color w:val="2C384A" w:themeColor="accent1"/>
          <w:sz w:val="26"/>
        </w:rPr>
        <w:t>enterprise</w:t>
      </w:r>
      <w:r w:rsidR="00AD4DCC">
        <w:rPr>
          <w:rFonts w:ascii="Calibri" w:hAnsi="Calibri"/>
          <w:color w:val="2C384A" w:themeColor="accent1"/>
          <w:sz w:val="26"/>
        </w:rPr>
        <w:noBreakHyphen/>
      </w:r>
      <w:r w:rsidR="008A082A" w:rsidRPr="003F6CCD">
        <w:rPr>
          <w:rFonts w:ascii="Calibri" w:hAnsi="Calibri"/>
          <w:color w:val="2C384A" w:themeColor="accent1"/>
          <w:sz w:val="26"/>
        </w:rPr>
        <w:t>level business planning processes (N:</w:t>
      </w:r>
      <w:r w:rsidR="00F950C1">
        <w:rPr>
          <w:rFonts w:ascii="Calibri" w:hAnsi="Calibri"/>
          <w:color w:val="2C384A" w:themeColor="accent1"/>
          <w:sz w:val="26"/>
        </w:rPr>
        <w:t xml:space="preserve"> 83</w:t>
      </w:r>
      <w:r w:rsidR="008A082A" w:rsidRPr="003F6CCD">
        <w:rPr>
          <w:rFonts w:ascii="Calibri" w:hAnsi="Calibri"/>
          <w:color w:val="2C384A" w:themeColor="accent1"/>
          <w:sz w:val="26"/>
        </w:rPr>
        <w:t>)</w:t>
      </w:r>
    </w:p>
    <w:p w14:paraId="38562361" w14:textId="5C442C27" w:rsidR="008A082A" w:rsidRPr="00FC75DF" w:rsidRDefault="008A082A" w:rsidP="00FC75DF">
      <w:pPr>
        <w:pStyle w:val="ChartSecondHeading"/>
      </w:pPr>
      <w:r w:rsidRPr="00FC75DF">
        <w:t>Q9: Is evaluation considered in the context of enterprise</w:t>
      </w:r>
      <w:r w:rsidR="00AD4DCC" w:rsidRPr="00FC75DF">
        <w:noBreakHyphen/>
      </w:r>
      <w:r w:rsidRPr="00FC75DF">
        <w:t>level business planning processes, such as:</w:t>
      </w:r>
    </w:p>
    <w:p w14:paraId="75CB5BD2" w14:textId="22AE6A33" w:rsidR="008A082A" w:rsidRDefault="008A082A" w:rsidP="00FC75DF">
      <w:pPr>
        <w:pStyle w:val="ChartGraphic"/>
      </w:pPr>
      <w:r>
        <w:rPr>
          <w:noProof/>
        </w:rPr>
        <w:drawing>
          <wp:inline distT="0" distB="0" distL="0" distR="0" wp14:anchorId="69B8F7AF" wp14:editId="60C50B41">
            <wp:extent cx="4680000" cy="2880000"/>
            <wp:effectExtent l="0" t="0" r="0" b="0"/>
            <wp:docPr id="530722111" name="Chart 1" descr="Figure 35 illustrates the ways in which evaluation is considered in everyday practice across the survey sample, comparing it with a subset, large entities. Corporate performance reporting was the most common business planning process reported (76% for all entities, and 88% for large entities). This is followed by program management (64% for all entities, 78% for large entities), enterprise-level risk management (48% for all entities, 64% for large entities), budget prioritisation process (47% for all entities, 72% for large entities), and finally internal audit (45% for all entities, 63% for large entities).">
              <a:extLst xmlns:a="http://schemas.openxmlformats.org/drawingml/2006/main">
                <a:ext uri="{FF2B5EF4-FFF2-40B4-BE49-F238E27FC236}">
                  <a16:creationId xmlns:a16="http://schemas.microsoft.com/office/drawing/2014/main" id="{1139A76D-581F-09ED-A9BA-4E902C8007A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2AF9BC9" w14:textId="4FCC2C20" w:rsidR="00FC75DF" w:rsidRPr="00FC75DF" w:rsidRDefault="00FC75DF" w:rsidP="00FC75DF">
      <w:pPr>
        <w:pStyle w:val="SingleParagraph"/>
      </w:pPr>
    </w:p>
    <w:p w14:paraId="18669925" w14:textId="1261DF9C" w:rsidR="008A082A" w:rsidRDefault="008A082A" w:rsidP="008A082A">
      <w:pPr>
        <w:pStyle w:val="Heading2"/>
      </w:pPr>
      <w:bookmarkStart w:id="40" w:name="_Toc188272209"/>
      <w:bookmarkStart w:id="41" w:name="_Toc189820840"/>
      <w:r>
        <w:t>Evaluation design and planning</w:t>
      </w:r>
      <w:bookmarkEnd w:id="40"/>
      <w:bookmarkEnd w:id="41"/>
    </w:p>
    <w:p w14:paraId="330DEA52" w14:textId="77777777" w:rsidR="008A082A" w:rsidRDefault="008A082A" w:rsidP="008A082A">
      <w:pPr>
        <w:pStyle w:val="Heading3"/>
      </w:pPr>
      <w:bookmarkStart w:id="42" w:name="_Toc188272210"/>
      <w:r>
        <w:t>Prioritisation and evaluation planning</w:t>
      </w:r>
      <w:bookmarkEnd w:id="42"/>
    </w:p>
    <w:p w14:paraId="37E32960" w14:textId="517CF1F1" w:rsidR="008A082A" w:rsidRDefault="00F5523F" w:rsidP="00FC75DF">
      <w:pPr>
        <w:pStyle w:val="ChartMainHeading"/>
      </w:pPr>
      <w:r w:rsidRPr="003F6CCD">
        <w:t>Figure 3</w:t>
      </w:r>
      <w:r w:rsidR="00237F13">
        <w:t>7</w:t>
      </w:r>
      <w:r w:rsidRPr="003F6CCD">
        <w:t xml:space="preserve">: </w:t>
      </w:r>
      <w:r w:rsidR="008A082A" w:rsidRPr="003F6CCD">
        <w:t>Enterprise</w:t>
      </w:r>
      <w:r w:rsidR="00AD4DCC">
        <w:noBreakHyphen/>
      </w:r>
      <w:r w:rsidR="008A082A" w:rsidRPr="003F6CCD">
        <w:t>level evaluation strategy or framework (N: 91)</w:t>
      </w:r>
    </w:p>
    <w:p w14:paraId="20B71CB2" w14:textId="4848257E" w:rsidR="008A082A" w:rsidRPr="00FC75DF" w:rsidRDefault="008A082A" w:rsidP="00FC75DF">
      <w:pPr>
        <w:pStyle w:val="ChartSecondHeading"/>
      </w:pPr>
      <w:r w:rsidRPr="00FC75DF">
        <w:t>Q10: Does your agency have an enterprise</w:t>
      </w:r>
      <w:r w:rsidR="00AD4DCC" w:rsidRPr="00FC75DF">
        <w:noBreakHyphen/>
      </w:r>
      <w:r w:rsidRPr="00FC75DF">
        <w:t>level evaluation strategy or framework?</w:t>
      </w:r>
    </w:p>
    <w:p w14:paraId="2BD4A3D2" w14:textId="77777777" w:rsidR="008A082A" w:rsidRDefault="008A082A" w:rsidP="00FC75DF">
      <w:pPr>
        <w:pStyle w:val="ChartGraphic"/>
        <w:rPr>
          <w:noProof/>
        </w:rPr>
      </w:pPr>
      <w:r>
        <w:rPr>
          <w:noProof/>
        </w:rPr>
        <w:drawing>
          <wp:inline distT="0" distB="0" distL="0" distR="0" wp14:anchorId="22645FC3" wp14:editId="024DB900">
            <wp:extent cx="4680000" cy="2880000"/>
            <wp:effectExtent l="0" t="0" r="0" b="0"/>
            <wp:docPr id="1380390281" name="Chart 1" descr="Stacked bar chart showing the results for survey question 10. The y axis shows the size of entities and the total for all entities. The x-axis shows the percentage of 'Yes, both', 'Yes, framework', 'Yes, strategy' and 'No'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C08C84D6-96EE-B37E-E1EC-F193C9102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50E8B00" w14:textId="77777777" w:rsidR="00FC75DF" w:rsidRPr="00FC75DF" w:rsidRDefault="00FC75DF" w:rsidP="00FC75DF">
      <w:pPr>
        <w:pStyle w:val="SingleParagraph"/>
      </w:pPr>
    </w:p>
    <w:p w14:paraId="179D69E3" w14:textId="27ED6218"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lastRenderedPageBreak/>
        <w:t>Figure 3</w:t>
      </w:r>
      <w:r w:rsidR="00237F13">
        <w:rPr>
          <w:rFonts w:ascii="Calibri" w:hAnsi="Calibri"/>
          <w:color w:val="2C384A" w:themeColor="accent1"/>
          <w:sz w:val="26"/>
        </w:rPr>
        <w:t>8</w:t>
      </w:r>
      <w:r w:rsidRPr="003F6CCD">
        <w:rPr>
          <w:rFonts w:ascii="Calibri" w:hAnsi="Calibri"/>
          <w:color w:val="2C384A" w:themeColor="accent1"/>
          <w:sz w:val="26"/>
        </w:rPr>
        <w:t xml:space="preserve">: </w:t>
      </w:r>
      <w:r w:rsidR="008A082A" w:rsidRPr="003F6CCD">
        <w:rPr>
          <w:rFonts w:ascii="Calibri" w:hAnsi="Calibri"/>
          <w:color w:val="2C384A" w:themeColor="accent1"/>
          <w:sz w:val="26"/>
        </w:rPr>
        <w:t>When this strategy or framework came into effect (Strategy N: 12, Framework N:13)</w:t>
      </w:r>
    </w:p>
    <w:p w14:paraId="17A672E6" w14:textId="77777777" w:rsidR="00FC75DF" w:rsidRDefault="008A082A" w:rsidP="00FC75DF">
      <w:pPr>
        <w:pStyle w:val="ChartSecondHeading"/>
      </w:pPr>
      <w:r>
        <w:rPr>
          <w:noProof/>
        </w:rPr>
        <w:t>Q10_1: When did this strategy or framework come into effect</w:t>
      </w:r>
      <w:r w:rsidRPr="00661D51">
        <w:rPr>
          <w:noProof/>
        </w:rPr>
        <w:t>?</w:t>
      </w:r>
      <w:r w:rsidR="00FC75DF" w:rsidRPr="00FC75DF">
        <w:t xml:space="preserve"> </w:t>
      </w:r>
    </w:p>
    <w:p w14:paraId="5E81451D" w14:textId="50478F02" w:rsidR="00FC75DF" w:rsidRDefault="00FC0B8F" w:rsidP="00FC75DF">
      <w:pPr>
        <w:pStyle w:val="ChartGraphic"/>
        <w:rPr>
          <w:noProof/>
        </w:rPr>
      </w:pPr>
      <w:r>
        <w:pict w14:anchorId="15AE06CC">
          <v:shape id="_x0000_i1028" type="#_x0000_t75" alt="This figure illustrates the growth in the number of evaluation strategies and frameworks. It tracks the number cumulatively on the y-axis, and the year in which each framework or strategy was established on the x-axis. The PGPA Act (2013), Thodey Review (2019), and the Commonwealth Evaluation Policy (2021) are marked as milestones." style="width:451.5pt;height:244.5pt">
            <v:imagedata r:id="rId62" o:title=""/>
          </v:shape>
        </w:pict>
      </w:r>
    </w:p>
    <w:p w14:paraId="4F5B146F" w14:textId="3D673C11" w:rsidR="004902B0" w:rsidRDefault="004902B0" w:rsidP="008A082A">
      <w:pPr>
        <w:pStyle w:val="Heading4"/>
        <w:rPr>
          <w:rFonts w:ascii="Calibri" w:hAnsi="Calibri"/>
          <w:color w:val="2C384A" w:themeColor="accent1"/>
          <w:sz w:val="26"/>
        </w:rPr>
      </w:pPr>
    </w:p>
    <w:p w14:paraId="02AF1862" w14:textId="2B342F99"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t>Figure 3</w:t>
      </w:r>
      <w:r w:rsidR="00237F13">
        <w:rPr>
          <w:rFonts w:ascii="Calibri" w:hAnsi="Calibri"/>
          <w:color w:val="2C384A" w:themeColor="accent1"/>
          <w:sz w:val="26"/>
        </w:rPr>
        <w:t>9</w:t>
      </w:r>
      <w:r w:rsidRPr="003F6CCD">
        <w:rPr>
          <w:rFonts w:ascii="Calibri" w:hAnsi="Calibri"/>
          <w:color w:val="2C384A" w:themeColor="accent1"/>
          <w:sz w:val="26"/>
        </w:rPr>
        <w:t xml:space="preserve">: </w:t>
      </w:r>
      <w:r w:rsidR="008A082A" w:rsidRPr="003F6CCD" w:rsidDel="005B5031">
        <w:rPr>
          <w:rFonts w:ascii="Calibri" w:hAnsi="Calibri"/>
          <w:color w:val="2C384A" w:themeColor="accent1"/>
          <w:sz w:val="26"/>
        </w:rPr>
        <w:t xml:space="preserve">What </w:t>
      </w:r>
      <w:r w:rsidR="008A082A" w:rsidRPr="003F6CCD">
        <w:rPr>
          <w:rFonts w:ascii="Calibri" w:hAnsi="Calibri"/>
          <w:color w:val="2C384A" w:themeColor="accent1"/>
          <w:sz w:val="26"/>
        </w:rPr>
        <w:t>the evaluation strategy and/or framework addresses (N: 21)</w:t>
      </w:r>
    </w:p>
    <w:p w14:paraId="12470CB2" w14:textId="77777777" w:rsidR="008A082A" w:rsidRPr="00E01CBD" w:rsidRDefault="008A082A" w:rsidP="00FC75DF">
      <w:pPr>
        <w:pStyle w:val="ChartSecondHeading"/>
      </w:pPr>
      <w:r>
        <w:t xml:space="preserve">Q10.1: </w:t>
      </w:r>
      <w:r w:rsidRPr="008D3DDC">
        <w:t>Does your evaluation strategy and/or framework address:</w:t>
      </w:r>
    </w:p>
    <w:p w14:paraId="4ABEB8C5" w14:textId="77777777" w:rsidR="008A082A" w:rsidRDefault="008A082A" w:rsidP="00FC75DF">
      <w:pPr>
        <w:pStyle w:val="ChartGraphic"/>
      </w:pPr>
      <w:r>
        <w:rPr>
          <w:noProof/>
        </w:rPr>
        <w:drawing>
          <wp:inline distT="0" distB="0" distL="0" distR="0" wp14:anchorId="073AFE9A" wp14:editId="7ABED631">
            <wp:extent cx="4680000" cy="2880000"/>
            <wp:effectExtent l="0" t="0" r="0" b="0"/>
            <wp:docPr id="905241981" name="Chart 1" descr="Bar chart showing the results for survey question 10.1. The y-axis lists actions an evaluation strategy or framework may address, and the x-axis shows the percentage of entities that identified each action addressed by a strategy or framework. Detailed results are available in Appendix 5, Table 3.">
              <a:extLst xmlns:a="http://schemas.openxmlformats.org/drawingml/2006/main">
                <a:ext uri="{FF2B5EF4-FFF2-40B4-BE49-F238E27FC236}">
                  <a16:creationId xmlns:a16="http://schemas.microsoft.com/office/drawing/2014/main" id="{C9E274AC-1A00-47B2-819E-90B968CCD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4913385" w14:textId="77777777" w:rsidR="001F4A85" w:rsidRDefault="001F4A85" w:rsidP="00FC75DF">
      <w:pPr>
        <w:pStyle w:val="SingleParagraph"/>
      </w:pPr>
    </w:p>
    <w:p w14:paraId="3A95EB9D" w14:textId="7FF841CA"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lastRenderedPageBreak/>
        <w:t xml:space="preserve">Figure </w:t>
      </w:r>
      <w:r w:rsidR="00237F13">
        <w:rPr>
          <w:rFonts w:ascii="Calibri" w:hAnsi="Calibri"/>
          <w:color w:val="2C384A" w:themeColor="accent1"/>
          <w:sz w:val="26"/>
        </w:rPr>
        <w:t>40</w:t>
      </w:r>
      <w:r w:rsidRPr="003F6CCD">
        <w:rPr>
          <w:rFonts w:ascii="Calibri" w:hAnsi="Calibri"/>
          <w:color w:val="2C384A" w:themeColor="accent1"/>
          <w:sz w:val="26"/>
        </w:rPr>
        <w:t xml:space="preserve">: </w:t>
      </w:r>
      <w:r w:rsidR="008A082A" w:rsidRPr="003F6CCD">
        <w:rPr>
          <w:rFonts w:ascii="Calibri" w:hAnsi="Calibri"/>
          <w:color w:val="2C384A" w:themeColor="accent1"/>
          <w:sz w:val="26"/>
        </w:rPr>
        <w:t>Plans to develop a strategy (N: 68)</w:t>
      </w:r>
    </w:p>
    <w:p w14:paraId="247CB6BC" w14:textId="49BF7C14" w:rsidR="008A082A" w:rsidRDefault="008A082A" w:rsidP="00864466">
      <w:pPr>
        <w:pStyle w:val="ChartSecondHeading"/>
      </w:pPr>
      <w:r>
        <w:t xml:space="preserve">Q10.2: </w:t>
      </w:r>
      <w:r w:rsidRPr="003F7457">
        <w:t>Is your agency planning to develop an enterprise</w:t>
      </w:r>
      <w:r w:rsidR="00AD4DCC">
        <w:noBreakHyphen/>
      </w:r>
      <w:r w:rsidRPr="003F7457">
        <w:t>level evaluation strategy?</w:t>
      </w:r>
    </w:p>
    <w:p w14:paraId="5F7B15D3" w14:textId="77777777" w:rsidR="008A082A" w:rsidRDefault="008A082A" w:rsidP="00864466">
      <w:pPr>
        <w:pStyle w:val="ChartGraphic"/>
      </w:pPr>
      <w:r>
        <w:rPr>
          <w:noProof/>
        </w:rPr>
        <w:drawing>
          <wp:inline distT="0" distB="0" distL="0" distR="0" wp14:anchorId="0258871A" wp14:editId="062C018E">
            <wp:extent cx="4680000" cy="2880000"/>
            <wp:effectExtent l="0" t="0" r="0" b="0"/>
            <wp:docPr id="141190023" name="Chart 1" descr="Stacked bar chart showing the results for survey question 10.2. The y axis represents the size of entities and the total for all entities. The x-axis shows the percentage of 'Planned' and 'No'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28F08994-3475-49F5-A609-C90A7F5DF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420863F" w14:textId="116D581D" w:rsidR="004902B0" w:rsidRDefault="004902B0" w:rsidP="00864466">
      <w:pPr>
        <w:pStyle w:val="Heading4"/>
        <w:jc w:val="center"/>
        <w:rPr>
          <w:rFonts w:ascii="Calibri" w:hAnsi="Calibri"/>
          <w:color w:val="2C384A" w:themeColor="accent1"/>
          <w:sz w:val="26"/>
        </w:rPr>
      </w:pPr>
    </w:p>
    <w:p w14:paraId="10011D17" w14:textId="1112B948"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t>Figure 4</w:t>
      </w:r>
      <w:r w:rsidR="00237F13">
        <w:rPr>
          <w:rFonts w:ascii="Calibri" w:hAnsi="Calibri"/>
          <w:color w:val="2C384A" w:themeColor="accent1"/>
          <w:sz w:val="26"/>
        </w:rPr>
        <w:t>1</w:t>
      </w:r>
      <w:r w:rsidRPr="003F6CCD">
        <w:rPr>
          <w:rFonts w:ascii="Calibri" w:hAnsi="Calibri"/>
          <w:color w:val="2C384A" w:themeColor="accent1"/>
          <w:sz w:val="26"/>
        </w:rPr>
        <w:t xml:space="preserve">: </w:t>
      </w:r>
      <w:r w:rsidR="008A082A" w:rsidRPr="003F6CCD">
        <w:rPr>
          <w:rFonts w:ascii="Calibri" w:hAnsi="Calibri"/>
          <w:color w:val="2C384A" w:themeColor="accent1"/>
          <w:sz w:val="26"/>
        </w:rPr>
        <w:t>Plans to develop a framework (N: 67)</w:t>
      </w:r>
    </w:p>
    <w:p w14:paraId="15C5C23E" w14:textId="1490E71D" w:rsidR="008A082A" w:rsidRDefault="008A082A" w:rsidP="00864466">
      <w:pPr>
        <w:pStyle w:val="ChartSecondHeading"/>
      </w:pPr>
      <w:r>
        <w:t xml:space="preserve">10.3: </w:t>
      </w:r>
      <w:r w:rsidRPr="003F7457">
        <w:t>Is your agency planning to develop an enterprise</w:t>
      </w:r>
      <w:r w:rsidR="00AD4DCC">
        <w:noBreakHyphen/>
      </w:r>
      <w:r w:rsidRPr="003F7457">
        <w:t>level evaluation framework?</w:t>
      </w:r>
    </w:p>
    <w:p w14:paraId="61E9A229" w14:textId="2D7B6C84" w:rsidR="008A082A" w:rsidRDefault="008A082A" w:rsidP="00F51B1B">
      <w:pPr>
        <w:jc w:val="center"/>
      </w:pPr>
      <w:r>
        <w:rPr>
          <w:noProof/>
        </w:rPr>
        <w:drawing>
          <wp:inline distT="0" distB="0" distL="0" distR="0" wp14:anchorId="52A3EA07" wp14:editId="6144506B">
            <wp:extent cx="4680000" cy="2880000"/>
            <wp:effectExtent l="0" t="0" r="0" b="0"/>
            <wp:docPr id="1211727255" name="Chart 1" descr="Stacked bar chart showing the results for survey question 10.3. The y axis represents the size of entities and the total for all entities. The x-axis shows the percentage of 'Planned' and 'No'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F051659D-4138-439F-A31C-19B142EC6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6E29AF0" w14:textId="77777777" w:rsidR="00F51B1B" w:rsidRDefault="00F51B1B" w:rsidP="00FC75DF">
      <w:pPr>
        <w:pStyle w:val="SingleParagraph"/>
      </w:pPr>
    </w:p>
    <w:p w14:paraId="5AFEECF6" w14:textId="51BC0863"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lastRenderedPageBreak/>
        <w:t>Figure 4</w:t>
      </w:r>
      <w:r w:rsidR="00237F13">
        <w:rPr>
          <w:rFonts w:ascii="Calibri" w:hAnsi="Calibri"/>
          <w:color w:val="2C384A" w:themeColor="accent1"/>
          <w:sz w:val="26"/>
        </w:rPr>
        <w:t>2</w:t>
      </w:r>
      <w:r w:rsidRPr="003F6CCD">
        <w:rPr>
          <w:rFonts w:ascii="Calibri" w:hAnsi="Calibri"/>
          <w:color w:val="2C384A" w:themeColor="accent1"/>
          <w:sz w:val="26"/>
        </w:rPr>
        <w:t xml:space="preserve">: </w:t>
      </w:r>
      <w:r w:rsidR="008A082A" w:rsidRPr="003F6CCD">
        <w:rPr>
          <w:rFonts w:ascii="Calibri" w:hAnsi="Calibri"/>
          <w:color w:val="2C384A" w:themeColor="accent1"/>
          <w:sz w:val="26"/>
        </w:rPr>
        <w:t>Central monitoring of the status and use of evaluations (N: 47)</w:t>
      </w:r>
    </w:p>
    <w:p w14:paraId="00D5930E" w14:textId="77777777" w:rsidR="008A082A" w:rsidRDefault="008A082A" w:rsidP="00864466">
      <w:pPr>
        <w:pStyle w:val="ChartSecondHeading"/>
      </w:pPr>
      <w:r>
        <w:t xml:space="preserve">Q11: </w:t>
      </w:r>
      <w:r w:rsidRPr="00E930E8">
        <w:t>Does your agency centrally monitor the status and use of evaluations?</w:t>
      </w:r>
    </w:p>
    <w:p w14:paraId="1C7732F7" w14:textId="77777777" w:rsidR="008A082A" w:rsidRDefault="008A082A" w:rsidP="00864466">
      <w:pPr>
        <w:pStyle w:val="ChartGraphic"/>
      </w:pPr>
      <w:r>
        <w:rPr>
          <w:noProof/>
        </w:rPr>
        <w:drawing>
          <wp:inline distT="0" distB="0" distL="0" distR="0" wp14:anchorId="7F2D81D3" wp14:editId="14CDFCAE">
            <wp:extent cx="4680000" cy="2880000"/>
            <wp:effectExtent l="0" t="0" r="0" b="0"/>
            <wp:docPr id="1006359626" name="Chart 1" descr="Bar chart showing the results for survey question 11. The y-axis lists evaluation status and uses that may be centrally monitored, and the x-axis shows the percentage of entities that identified they centrally evaluate that option. Detailed results are available in Appendix 5, Table 3.">
              <a:extLst xmlns:a="http://schemas.openxmlformats.org/drawingml/2006/main">
                <a:ext uri="{FF2B5EF4-FFF2-40B4-BE49-F238E27FC236}">
                  <a16:creationId xmlns:a16="http://schemas.microsoft.com/office/drawing/2014/main" id="{DD5338E7-B079-4644-96FE-5B28271EE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C840ADA" w14:textId="1745684D" w:rsidR="004902B0" w:rsidRDefault="004902B0" w:rsidP="00864466">
      <w:pPr>
        <w:pStyle w:val="Heading4"/>
        <w:jc w:val="center"/>
        <w:rPr>
          <w:rFonts w:ascii="Calibri" w:hAnsi="Calibri"/>
          <w:color w:val="2C384A" w:themeColor="accent1"/>
          <w:sz w:val="26"/>
        </w:rPr>
      </w:pPr>
    </w:p>
    <w:p w14:paraId="23EAEE06" w14:textId="42F699E8"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t>Figure 4</w:t>
      </w:r>
      <w:r w:rsidR="00237F13">
        <w:rPr>
          <w:rFonts w:ascii="Calibri" w:hAnsi="Calibri"/>
          <w:color w:val="2C384A" w:themeColor="accent1"/>
          <w:sz w:val="26"/>
        </w:rPr>
        <w:t>3</w:t>
      </w:r>
      <w:r w:rsidRPr="003F6CCD">
        <w:rPr>
          <w:rFonts w:ascii="Calibri" w:hAnsi="Calibri"/>
          <w:color w:val="2C384A" w:themeColor="accent1"/>
          <w:sz w:val="26"/>
        </w:rPr>
        <w:t xml:space="preserve">: </w:t>
      </w:r>
      <w:r w:rsidR="008A082A" w:rsidRPr="003F6CCD">
        <w:rPr>
          <w:rFonts w:ascii="Calibri" w:hAnsi="Calibri"/>
          <w:color w:val="2C384A" w:themeColor="accent1"/>
          <w:sz w:val="26"/>
        </w:rPr>
        <w:t>Centrally managed forward work plan for conducting evaluations (N: 91)</w:t>
      </w:r>
    </w:p>
    <w:p w14:paraId="06BA1551" w14:textId="77777777" w:rsidR="008A082A" w:rsidRDefault="008A082A" w:rsidP="00864466">
      <w:pPr>
        <w:pStyle w:val="ChartSecondHeading"/>
      </w:pPr>
      <w:r>
        <w:t xml:space="preserve">Q12: </w:t>
      </w:r>
      <w:r w:rsidRPr="00AB5FD3">
        <w:t>Does your agency have a centrally managed forward work plan for conducting evaluations?</w:t>
      </w:r>
    </w:p>
    <w:p w14:paraId="77F7333F" w14:textId="5E070630" w:rsidR="008A082A" w:rsidRPr="008D3DDC" w:rsidRDefault="008A082A" w:rsidP="00FC75DF">
      <w:pPr>
        <w:pStyle w:val="ChartGraphic"/>
      </w:pPr>
      <w:r>
        <w:rPr>
          <w:noProof/>
        </w:rPr>
        <w:drawing>
          <wp:inline distT="0" distB="0" distL="0" distR="0" wp14:anchorId="4D1BC34E" wp14:editId="3D635097">
            <wp:extent cx="4680000" cy="2880000"/>
            <wp:effectExtent l="0" t="0" r="0" b="0"/>
            <wp:docPr id="385236654" name="Chart 1" descr="Stacked bar chart showing the results for survey question 12. The y axis represents the size of entities and the total for all entities. The x-axis shows the percentage of 'Yes' and 'No'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A78C8474-A78E-4BEF-BD7D-96270B705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2D8ACE7" w14:textId="5CEF7596" w:rsidR="00520497" w:rsidRPr="00FC75DF" w:rsidRDefault="00520497" w:rsidP="00FC75DF">
      <w:pPr>
        <w:pStyle w:val="SingleParagraph"/>
      </w:pPr>
    </w:p>
    <w:p w14:paraId="6175FEE8" w14:textId="0331797C"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lastRenderedPageBreak/>
        <w:t>Figure 4</w:t>
      </w:r>
      <w:r w:rsidR="00237F13">
        <w:rPr>
          <w:rFonts w:ascii="Calibri" w:hAnsi="Calibri"/>
          <w:color w:val="2C384A" w:themeColor="accent1"/>
          <w:sz w:val="26"/>
        </w:rPr>
        <w:t>4</w:t>
      </w:r>
      <w:r w:rsidRPr="003F6CCD">
        <w:rPr>
          <w:rFonts w:ascii="Calibri" w:hAnsi="Calibri"/>
          <w:color w:val="2C384A" w:themeColor="accent1"/>
          <w:sz w:val="26"/>
        </w:rPr>
        <w:t xml:space="preserve">: </w:t>
      </w:r>
      <w:r w:rsidR="008A082A" w:rsidRPr="003F6CCD">
        <w:rPr>
          <w:rFonts w:ascii="Calibri" w:hAnsi="Calibri"/>
          <w:color w:val="2C384A" w:themeColor="accent1"/>
          <w:sz w:val="26"/>
        </w:rPr>
        <w:t xml:space="preserve">How evaluation activities are identified, prioritised and scheduled (N: </w:t>
      </w:r>
      <w:r w:rsidR="001E4878">
        <w:rPr>
          <w:rFonts w:ascii="Calibri" w:hAnsi="Calibri"/>
          <w:color w:val="2C384A" w:themeColor="accent1"/>
          <w:sz w:val="26"/>
        </w:rPr>
        <w:t>82</w:t>
      </w:r>
      <w:r w:rsidR="008A082A" w:rsidRPr="003F6CCD">
        <w:rPr>
          <w:rFonts w:ascii="Calibri" w:hAnsi="Calibri"/>
          <w:color w:val="2C384A" w:themeColor="accent1"/>
          <w:sz w:val="26"/>
        </w:rPr>
        <w:t>)</w:t>
      </w:r>
    </w:p>
    <w:p w14:paraId="06C0F06A" w14:textId="77777777" w:rsidR="008A082A" w:rsidRDefault="008A082A" w:rsidP="00864466">
      <w:pPr>
        <w:pStyle w:val="ChartSecondHeading"/>
      </w:pPr>
      <w:r>
        <w:t xml:space="preserve">Q13: </w:t>
      </w:r>
      <w:r w:rsidRPr="00EC17D1">
        <w:t>How does your agency currently identify, prioritise, and schedule evaluation activities?</w:t>
      </w:r>
    </w:p>
    <w:p w14:paraId="32D3B5BA" w14:textId="77777777" w:rsidR="008A082A" w:rsidRPr="008C5C93" w:rsidRDefault="008A082A" w:rsidP="00864466">
      <w:pPr>
        <w:pStyle w:val="ChartGraphic"/>
      </w:pPr>
      <w:r>
        <w:rPr>
          <w:noProof/>
        </w:rPr>
        <w:drawing>
          <wp:inline distT="0" distB="0" distL="0" distR="0" wp14:anchorId="1C90804B" wp14:editId="26177F3B">
            <wp:extent cx="4680000" cy="2880000"/>
            <wp:effectExtent l="0" t="0" r="0" b="0"/>
            <wp:docPr id="1216642144" name="Chart 1" descr="Bar chart showing the results for survey question 13. The y-axis lists evaluation planning approaches, and the x-axis shows the percentage of entities that identified each approach. Detailed results are available in Appendix 5, Table 3.">
              <a:extLst xmlns:a="http://schemas.openxmlformats.org/drawingml/2006/main">
                <a:ext uri="{FF2B5EF4-FFF2-40B4-BE49-F238E27FC236}">
                  <a16:creationId xmlns:a16="http://schemas.microsoft.com/office/drawing/2014/main" id="{331A3AF4-3293-44E6-BAA7-5D2022F3E8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BF4B9E4" w14:textId="40E98F56" w:rsidR="00A32EAF" w:rsidRDefault="00A32EAF" w:rsidP="00864466">
      <w:pPr>
        <w:pStyle w:val="Heading4"/>
        <w:jc w:val="center"/>
        <w:rPr>
          <w:rFonts w:ascii="Calibri" w:hAnsi="Calibri"/>
          <w:color w:val="2C384A" w:themeColor="accent1"/>
          <w:sz w:val="26"/>
        </w:rPr>
      </w:pPr>
    </w:p>
    <w:p w14:paraId="7EEF6247" w14:textId="05030563"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t>Figure 4</w:t>
      </w:r>
      <w:r w:rsidR="00237F13">
        <w:rPr>
          <w:rFonts w:ascii="Calibri" w:hAnsi="Calibri"/>
          <w:color w:val="2C384A" w:themeColor="accent1"/>
          <w:sz w:val="26"/>
        </w:rPr>
        <w:t>5</w:t>
      </w:r>
      <w:r w:rsidRPr="003F6CCD">
        <w:rPr>
          <w:rFonts w:ascii="Calibri" w:hAnsi="Calibri"/>
          <w:color w:val="2C384A" w:themeColor="accent1"/>
          <w:sz w:val="26"/>
        </w:rPr>
        <w:t xml:space="preserve">: </w:t>
      </w:r>
      <w:r w:rsidR="008A082A" w:rsidRPr="003F6CCD">
        <w:rPr>
          <w:rFonts w:ascii="Calibri" w:hAnsi="Calibri"/>
          <w:color w:val="2C384A" w:themeColor="accent1"/>
          <w:sz w:val="26"/>
        </w:rPr>
        <w:t>How agencies use evaluation</w:t>
      </w:r>
      <w:r w:rsidR="001F4A85">
        <w:rPr>
          <w:rFonts w:ascii="Calibri" w:hAnsi="Calibri"/>
          <w:color w:val="2C384A" w:themeColor="accent1"/>
          <w:sz w:val="26"/>
        </w:rPr>
        <w:t xml:space="preserve"> </w:t>
      </w:r>
      <w:r w:rsidR="008A082A" w:rsidRPr="003F6CCD">
        <w:rPr>
          <w:rFonts w:ascii="Calibri" w:hAnsi="Calibri"/>
          <w:color w:val="2C384A" w:themeColor="accent1"/>
          <w:sz w:val="26"/>
        </w:rPr>
        <w:t>(N: 70)</w:t>
      </w:r>
    </w:p>
    <w:p w14:paraId="409A4976" w14:textId="77777777" w:rsidR="008A082A" w:rsidRPr="008C5C93" w:rsidRDefault="008A082A" w:rsidP="00864466">
      <w:pPr>
        <w:pStyle w:val="ChartSecondHeading"/>
      </w:pPr>
      <w:r>
        <w:t xml:space="preserve">Q14: </w:t>
      </w:r>
      <w:r w:rsidRPr="000B3CCC">
        <w:t>How does your agency use evaluation?</w:t>
      </w:r>
    </w:p>
    <w:p w14:paraId="7A00FD85" w14:textId="77777777" w:rsidR="008A082A" w:rsidRDefault="008A082A" w:rsidP="00FC75DF">
      <w:pPr>
        <w:pStyle w:val="ChartGraphic"/>
      </w:pPr>
      <w:r>
        <w:rPr>
          <w:noProof/>
        </w:rPr>
        <w:drawing>
          <wp:inline distT="0" distB="0" distL="0" distR="0" wp14:anchorId="1C669B45" wp14:editId="6E78D41F">
            <wp:extent cx="4701772" cy="2938316"/>
            <wp:effectExtent l="0" t="0" r="0" b="0"/>
            <wp:docPr id="1824393478" name="Chart 1" descr="Bar chart showing the results for survey question 14. The y-axis lists evaluation uses, and the x-axis shows the percentage of entities that identified each use. Detailed results are available in Appendix 5, Table 3.">
              <a:extLst xmlns:a="http://schemas.openxmlformats.org/drawingml/2006/main">
                <a:ext uri="{FF2B5EF4-FFF2-40B4-BE49-F238E27FC236}">
                  <a16:creationId xmlns:a16="http://schemas.microsoft.com/office/drawing/2014/main" id="{8D886891-7348-425D-8D09-D9D87F95C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30AC65D" w14:textId="77777777" w:rsidR="008A082A" w:rsidRDefault="008A082A" w:rsidP="00FC75DF">
      <w:pPr>
        <w:pStyle w:val="SingleParagraph"/>
      </w:pPr>
    </w:p>
    <w:p w14:paraId="1F6898C2" w14:textId="77777777" w:rsidR="008A082A" w:rsidRDefault="008A082A" w:rsidP="008A082A">
      <w:pPr>
        <w:pStyle w:val="Heading3"/>
      </w:pPr>
      <w:bookmarkStart w:id="43" w:name="_Toc188272211"/>
      <w:r>
        <w:lastRenderedPageBreak/>
        <w:t>Execution and evaluation practice</w:t>
      </w:r>
      <w:bookmarkEnd w:id="43"/>
    </w:p>
    <w:p w14:paraId="0AB8FC15" w14:textId="411555A7" w:rsidR="008A082A" w:rsidRPr="003F6CCD" w:rsidRDefault="00F5523F" w:rsidP="00FC75DF">
      <w:pPr>
        <w:pStyle w:val="ChartMainHeading"/>
      </w:pPr>
      <w:r w:rsidRPr="003F6CCD">
        <w:t>Figure 4</w:t>
      </w:r>
      <w:r w:rsidR="00237F13">
        <w:t>6</w:t>
      </w:r>
      <w:r w:rsidRPr="003F6CCD">
        <w:t xml:space="preserve">: </w:t>
      </w:r>
      <w:r w:rsidR="008A082A" w:rsidRPr="003F6CCD">
        <w:t>Defined processes to assure quality of evaluations (N: 91)</w:t>
      </w:r>
    </w:p>
    <w:p w14:paraId="75AB6E8B" w14:textId="77777777" w:rsidR="008A082A" w:rsidRDefault="008A082A" w:rsidP="00FC75DF">
      <w:pPr>
        <w:pStyle w:val="ChartSecondHeading"/>
      </w:pPr>
      <w:r>
        <w:t xml:space="preserve">Q15: </w:t>
      </w:r>
      <w:r w:rsidRPr="003B1AA4">
        <w:t>Does your agency use any defined processes to assure the quality of its evaluations?</w:t>
      </w:r>
    </w:p>
    <w:p w14:paraId="4CBCBE2F" w14:textId="77777777" w:rsidR="008A082A" w:rsidRDefault="008A082A" w:rsidP="00FC75DF">
      <w:pPr>
        <w:pStyle w:val="ChartGraphic"/>
      </w:pPr>
      <w:r>
        <w:rPr>
          <w:noProof/>
        </w:rPr>
        <w:drawing>
          <wp:inline distT="0" distB="0" distL="0" distR="0" wp14:anchorId="11C6E67B" wp14:editId="2C6E935D">
            <wp:extent cx="4680000" cy="2880000"/>
            <wp:effectExtent l="0" t="0" r="0" b="0"/>
            <wp:docPr id="1681933289" name="Chart 1" descr="Stacked bar chart showing the results for survey question 15. The y axis represents the size of entities and the total for all entities. The x-axis shows the percentage of 'Yes' and 'No'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A0562B9D-41E5-4AE1-9BE2-BE891F4D26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91D40A4" w14:textId="20005243" w:rsidR="00A32EAF" w:rsidRDefault="00A32EAF" w:rsidP="00FC75DF">
      <w:pPr>
        <w:pStyle w:val="ChartMainHeading"/>
      </w:pPr>
    </w:p>
    <w:p w14:paraId="7FD8FC4B" w14:textId="6B281AEA" w:rsidR="008A082A" w:rsidRPr="003F6CCD" w:rsidRDefault="00F5523F" w:rsidP="00FC75DF">
      <w:pPr>
        <w:pStyle w:val="ChartMainHeading"/>
      </w:pPr>
      <w:r w:rsidRPr="003F6CCD">
        <w:t>Figure 4</w:t>
      </w:r>
      <w:r w:rsidR="00237F13">
        <w:t>7</w:t>
      </w:r>
      <w:r w:rsidRPr="003F6CCD">
        <w:t xml:space="preserve">: </w:t>
      </w:r>
      <w:r w:rsidR="008A082A" w:rsidRPr="003F6CCD">
        <w:t>Proportion of work commenced early in the policy/program cycle (N: 88)</w:t>
      </w:r>
    </w:p>
    <w:p w14:paraId="4253C6AD" w14:textId="77777777" w:rsidR="008A082A" w:rsidRDefault="008A082A" w:rsidP="00FC75DF">
      <w:pPr>
        <w:pStyle w:val="ChartSecondHeading"/>
      </w:pPr>
      <w:r>
        <w:t xml:space="preserve">Q16: </w:t>
      </w:r>
      <w:r w:rsidRPr="00941C85">
        <w:t>What proportion of evaluation work commences early in the policy/program cycle?</w:t>
      </w:r>
    </w:p>
    <w:p w14:paraId="22F9B763" w14:textId="77777777" w:rsidR="008A082A" w:rsidRDefault="008A082A" w:rsidP="00FC75DF">
      <w:pPr>
        <w:pStyle w:val="ChartGraphic"/>
      </w:pPr>
      <w:r>
        <w:rPr>
          <w:noProof/>
        </w:rPr>
        <w:drawing>
          <wp:inline distT="0" distB="0" distL="0" distR="0" wp14:anchorId="7A41B3C1" wp14:editId="2918120E">
            <wp:extent cx="4680000" cy="2880000"/>
            <wp:effectExtent l="0" t="0" r="0" b="0"/>
            <wp:docPr id="1507086496" name="Chart 1" descr="Stacked bar chart showing the results for survey question 16. The y axis represents the size of entities and the total for all entities. The x-axis shows the percentage of 'Almost all', 'Most', 'N/A or unsure', 'Some' and 'Very few' responses to the question, stacked to display the proportions. Detailed results are available in Appendix 5, Table 3.">
              <a:extLst xmlns:a="http://schemas.openxmlformats.org/drawingml/2006/main">
                <a:ext uri="{FF2B5EF4-FFF2-40B4-BE49-F238E27FC236}">
                  <a16:creationId xmlns:a16="http://schemas.microsoft.com/office/drawing/2014/main" id="{7CD5E3BB-191F-4EF0-A1A8-58AAE90AB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1F92115" w14:textId="791918BF" w:rsidR="00052B4B" w:rsidRDefault="00052B4B" w:rsidP="00FC75DF">
      <w:pPr>
        <w:pStyle w:val="SingleParagraph"/>
      </w:pPr>
    </w:p>
    <w:p w14:paraId="3E028A56" w14:textId="706748DE" w:rsidR="008A082A" w:rsidRPr="003F6CCD" w:rsidRDefault="00F5523F" w:rsidP="00FC75DF">
      <w:pPr>
        <w:pStyle w:val="ChartMainHeading"/>
      </w:pPr>
      <w:r w:rsidRPr="003F6CCD">
        <w:lastRenderedPageBreak/>
        <w:t>Figure 4</w:t>
      </w:r>
      <w:r w:rsidR="00237F13">
        <w:t>8</w:t>
      </w:r>
      <w:r w:rsidRPr="003F6CCD">
        <w:t xml:space="preserve">: </w:t>
      </w:r>
      <w:r w:rsidR="008A082A" w:rsidRPr="003F6CCD">
        <w:t>Use of external evaluation services (N: 91)</w:t>
      </w:r>
    </w:p>
    <w:p w14:paraId="0281EBAC" w14:textId="77777777" w:rsidR="008A082A" w:rsidRDefault="008A082A" w:rsidP="00FC75DF">
      <w:pPr>
        <w:pStyle w:val="ChartSecondHeading"/>
      </w:pPr>
      <w:r>
        <w:t xml:space="preserve">Q17: </w:t>
      </w:r>
      <w:r w:rsidRPr="006677F0">
        <w:t>Does your agency use external evaluation services?</w:t>
      </w:r>
    </w:p>
    <w:p w14:paraId="4D3AE493" w14:textId="77777777" w:rsidR="008A082A" w:rsidRPr="005B4277" w:rsidRDefault="008A082A" w:rsidP="00FC75DF">
      <w:pPr>
        <w:pStyle w:val="ChartGraphic"/>
      </w:pPr>
      <w:r>
        <w:rPr>
          <w:noProof/>
        </w:rPr>
        <w:drawing>
          <wp:inline distT="0" distB="0" distL="0" distR="0" wp14:anchorId="3DC7BFCB" wp14:editId="1B797090">
            <wp:extent cx="4680000" cy="2880000"/>
            <wp:effectExtent l="0" t="0" r="6350" b="0"/>
            <wp:docPr id="1107351647" name="Chart 1" descr="Stacked bar chart showing the results for survey question 17. The y axis represents the size of entities and the total for all entities. The x-axis shows the percentage of 'In-house', 'External services', 'Other reasons', 'Performance monitoring/reporting' and 'Not conducted' responses, stacked to display the proportions. Detailed results are available in Appendix 5, Table 3.">
              <a:extLst xmlns:a="http://schemas.openxmlformats.org/drawingml/2006/main">
                <a:ext uri="{FF2B5EF4-FFF2-40B4-BE49-F238E27FC236}">
                  <a16:creationId xmlns:a16="http://schemas.microsoft.com/office/drawing/2014/main" id="{3A20A5F7-4F59-4891-9E40-BEA14D6A7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016AC06" w14:textId="2B55C63C" w:rsidR="00A32EAF" w:rsidRDefault="00A32EAF" w:rsidP="00FC75DF">
      <w:pPr>
        <w:pStyle w:val="ChartMainHeading"/>
      </w:pPr>
    </w:p>
    <w:p w14:paraId="675FB2FE" w14:textId="5770C7CE" w:rsidR="008A082A" w:rsidRPr="003F6CCD" w:rsidRDefault="00F5523F" w:rsidP="00FC75DF">
      <w:pPr>
        <w:pStyle w:val="ChartMainHeading"/>
      </w:pPr>
      <w:r w:rsidRPr="003F6CCD">
        <w:t>Figure 4</w:t>
      </w:r>
      <w:r w:rsidR="00237F13">
        <w:t>9</w:t>
      </w:r>
      <w:r w:rsidRPr="003F6CCD">
        <w:t xml:space="preserve">: </w:t>
      </w:r>
      <w:r w:rsidR="008A082A" w:rsidRPr="003F6CCD">
        <w:t>Proportion of evaluations conducted by evaluators from outside your agency (N: 90)</w:t>
      </w:r>
    </w:p>
    <w:p w14:paraId="5D62B814" w14:textId="77777777" w:rsidR="008A082A" w:rsidRDefault="008A082A" w:rsidP="00FC75DF">
      <w:pPr>
        <w:pStyle w:val="ChartSecondHeading"/>
      </w:pPr>
      <w:r>
        <w:t xml:space="preserve">Q18: </w:t>
      </w:r>
      <w:r w:rsidRPr="006677F0">
        <w:t>What proportion of evaluations are conducted by evaluators from outside your agency?</w:t>
      </w:r>
    </w:p>
    <w:p w14:paraId="2F3CB022" w14:textId="77777777" w:rsidR="008A082A" w:rsidRDefault="008A082A" w:rsidP="00FC75DF">
      <w:pPr>
        <w:pStyle w:val="ChartGraphic"/>
      </w:pPr>
      <w:r>
        <w:rPr>
          <w:noProof/>
        </w:rPr>
        <w:drawing>
          <wp:inline distT="0" distB="0" distL="0" distR="0" wp14:anchorId="61F6E865" wp14:editId="1CE0171C">
            <wp:extent cx="4680000" cy="2880000"/>
            <wp:effectExtent l="0" t="0" r="6350" b="0"/>
            <wp:docPr id="715173712" name="Chart 1" descr="Stacked bar chart showing the results for survey question 18. The y axis represents the size of entities and the total for all entities. The x-axis shows the percentage of 'Almost all', 'Most', 'N/A or unsure', 'Some' and 'Very few' responses to the question, stacked to display the proportions. Detailed results are available in Appendix 5, Table 3.">
              <a:extLst xmlns:a="http://schemas.openxmlformats.org/drawingml/2006/main">
                <a:ext uri="{FF2B5EF4-FFF2-40B4-BE49-F238E27FC236}">
                  <a16:creationId xmlns:a16="http://schemas.microsoft.com/office/drawing/2014/main" id="{44BC42B7-0C04-48A3-82CC-D6D93E016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AD9E115" w14:textId="24014406" w:rsidR="00052B4B" w:rsidRDefault="00052B4B" w:rsidP="00FC75DF">
      <w:pPr>
        <w:pStyle w:val="SingleParagraph"/>
      </w:pPr>
      <w:bookmarkStart w:id="44" w:name="_Toc188272212"/>
    </w:p>
    <w:p w14:paraId="4BCE297E" w14:textId="77777777" w:rsidR="008A082A" w:rsidRDefault="008A082A" w:rsidP="008A082A">
      <w:pPr>
        <w:pStyle w:val="Heading3"/>
      </w:pPr>
      <w:r>
        <w:lastRenderedPageBreak/>
        <w:t>Purpose of evaluation</w:t>
      </w:r>
      <w:bookmarkEnd w:id="44"/>
    </w:p>
    <w:p w14:paraId="3F1AB67E" w14:textId="5D5FBD79" w:rsidR="008A082A" w:rsidRPr="003F6CCD" w:rsidRDefault="00F5523F" w:rsidP="00FC75DF">
      <w:pPr>
        <w:pStyle w:val="ChartMainHeading"/>
      </w:pPr>
      <w:r w:rsidRPr="003F6CCD">
        <w:t xml:space="preserve">Figure </w:t>
      </w:r>
      <w:r w:rsidR="00237F13">
        <w:t>50</w:t>
      </w:r>
      <w:r w:rsidRPr="003F6CCD">
        <w:t xml:space="preserve">: </w:t>
      </w:r>
      <w:r w:rsidR="008A082A" w:rsidRPr="003F6CCD">
        <w:t>Motivations for evaluations (N: 8</w:t>
      </w:r>
      <w:r w:rsidR="00E45FEC">
        <w:t>8</w:t>
      </w:r>
      <w:r w:rsidR="008A082A" w:rsidRPr="003F6CCD">
        <w:t>)</w:t>
      </w:r>
    </w:p>
    <w:p w14:paraId="7ED7D2F1" w14:textId="77777777" w:rsidR="008A082A" w:rsidRDefault="008A082A" w:rsidP="00FC75DF">
      <w:pPr>
        <w:pStyle w:val="ChartSecondHeading"/>
      </w:pPr>
      <w:r>
        <w:t xml:space="preserve">Q19: </w:t>
      </w:r>
      <w:r w:rsidRPr="00CD78B9">
        <w:t>What are the motivations for evaluation within your agency?</w:t>
      </w:r>
    </w:p>
    <w:p w14:paraId="38C45938" w14:textId="77777777" w:rsidR="008A082A" w:rsidRDefault="008A082A" w:rsidP="00FC75DF">
      <w:pPr>
        <w:pStyle w:val="ChartGraphic"/>
      </w:pPr>
      <w:r>
        <w:rPr>
          <w:noProof/>
        </w:rPr>
        <w:drawing>
          <wp:inline distT="0" distB="0" distL="0" distR="0" wp14:anchorId="691138FB" wp14:editId="5BE35BFF">
            <wp:extent cx="4680000" cy="2880000"/>
            <wp:effectExtent l="0" t="0" r="0" b="0"/>
            <wp:docPr id="1452799048" name="Chart 1" descr="Bar chart showing the results for survey question 19. The y-axis lists motivations, and the x-axis shows the percentage of entities that identified each motivation. Detailed results are available in Appendix 5, Table 3.">
              <a:extLst xmlns:a="http://schemas.openxmlformats.org/drawingml/2006/main">
                <a:ext uri="{FF2B5EF4-FFF2-40B4-BE49-F238E27FC236}">
                  <a16:creationId xmlns:a16="http://schemas.microsoft.com/office/drawing/2014/main" id="{F720D464-8170-953E-C789-60775C19A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F4009B3" w14:textId="77777777" w:rsidR="00A32EAF" w:rsidRDefault="00A32EAF" w:rsidP="008A082A">
      <w:pPr>
        <w:pStyle w:val="Heading3"/>
      </w:pPr>
      <w:bookmarkStart w:id="45" w:name="_Toc188272213"/>
    </w:p>
    <w:p w14:paraId="5F9F81F3" w14:textId="77777777" w:rsidR="008A082A" w:rsidRDefault="008A082A" w:rsidP="008A082A">
      <w:pPr>
        <w:pStyle w:val="Heading3"/>
      </w:pPr>
      <w:r>
        <w:t>Barriers and supports</w:t>
      </w:r>
      <w:bookmarkEnd w:id="45"/>
    </w:p>
    <w:p w14:paraId="0549217F" w14:textId="215C4E1D" w:rsidR="008A082A" w:rsidRPr="003F6CCD" w:rsidRDefault="00F5523F" w:rsidP="00864466">
      <w:pPr>
        <w:pStyle w:val="ChartMainHeading"/>
      </w:pPr>
      <w:r w:rsidRPr="003F6CCD">
        <w:t>Figure 5</w:t>
      </w:r>
      <w:r w:rsidR="00237F13">
        <w:t>1</w:t>
      </w:r>
      <w:r w:rsidRPr="003F6CCD">
        <w:t xml:space="preserve">: </w:t>
      </w:r>
      <w:r w:rsidR="008A082A" w:rsidRPr="003F6CCD">
        <w:t>Supports that have helped to embed a culture of evaluation since the introduction of the Commonwealth Evaluation Policy in December 2021 (N: 71)</w:t>
      </w:r>
    </w:p>
    <w:p w14:paraId="6196ACEC" w14:textId="77777777" w:rsidR="008A082A" w:rsidRDefault="008A082A" w:rsidP="00864466">
      <w:pPr>
        <w:pStyle w:val="ChartSecondHeading"/>
      </w:pPr>
      <w:r>
        <w:t xml:space="preserve">Q20: </w:t>
      </w:r>
      <w:r w:rsidRPr="00A1718E">
        <w:t>Within your agency, what supports have helped to embed a culture of evaluation since the introduction of the Commonwealth Evaluation Policy in December 2021?</w:t>
      </w:r>
    </w:p>
    <w:p w14:paraId="6C74C4E1" w14:textId="77777777" w:rsidR="008A082A" w:rsidRDefault="008A082A" w:rsidP="00FC75DF">
      <w:pPr>
        <w:pStyle w:val="ChartGraphic"/>
      </w:pPr>
      <w:r>
        <w:rPr>
          <w:noProof/>
        </w:rPr>
        <w:drawing>
          <wp:inline distT="0" distB="0" distL="0" distR="0" wp14:anchorId="7884F85B" wp14:editId="3C4D22C6">
            <wp:extent cx="4680000" cy="2520000"/>
            <wp:effectExtent l="0" t="0" r="0" b="0"/>
            <wp:docPr id="217029033" name="Chart 1" descr="Bar chart showing the results for survey question 20. The y-axis lists supports, and the x-axis shows the percentage of entities that identified each support. Detailed results are available in Appendix 5, Table 3.">
              <a:extLst xmlns:a="http://schemas.openxmlformats.org/drawingml/2006/main">
                <a:ext uri="{FF2B5EF4-FFF2-40B4-BE49-F238E27FC236}">
                  <a16:creationId xmlns:a16="http://schemas.microsoft.com/office/drawing/2014/main" id="{AD07492B-6429-49A1-91F9-4740E1721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629B833" w14:textId="77777777" w:rsidR="00F51B1B" w:rsidRPr="00DA66CF" w:rsidRDefault="00F51B1B" w:rsidP="00FC75DF">
      <w:pPr>
        <w:pStyle w:val="SingleParagraph"/>
      </w:pPr>
    </w:p>
    <w:p w14:paraId="56B1E233" w14:textId="1AC7265F" w:rsidR="008A082A" w:rsidRPr="003F6CCD" w:rsidRDefault="00F5523F" w:rsidP="00045E65">
      <w:pPr>
        <w:pStyle w:val="ChartMainHeading"/>
      </w:pPr>
      <w:r w:rsidRPr="003F6CCD">
        <w:lastRenderedPageBreak/>
        <w:t>Figure 5</w:t>
      </w:r>
      <w:r w:rsidR="00237F13">
        <w:t>2</w:t>
      </w:r>
      <w:r w:rsidRPr="003F6CCD">
        <w:t xml:space="preserve">: </w:t>
      </w:r>
      <w:r w:rsidR="008A082A" w:rsidRPr="003F6CCD">
        <w:t>The major barriers to embedding a culture of evaluation since the introduction of the Commonwealth Evaluation Policy in December 2021(N: 79)</w:t>
      </w:r>
    </w:p>
    <w:p w14:paraId="013F9F1D" w14:textId="7EE3EC9E" w:rsidR="008A082A" w:rsidRDefault="008A082A" w:rsidP="00045E65">
      <w:pPr>
        <w:pStyle w:val="ChartSecondHeading"/>
      </w:pPr>
      <w:r>
        <w:t xml:space="preserve">Q21: </w:t>
      </w:r>
      <w:r w:rsidRPr="002C210B">
        <w:t>Within your agency, what have been the major barriers (if any) to embedding a culture of evaluation since the introduction of the Commonwealth Evaluation Policy in December 2021 (</w:t>
      </w:r>
      <w:r w:rsidR="00254D23">
        <w:t>that is</w:t>
      </w:r>
      <w:r w:rsidRPr="002C210B">
        <w:t>, the reasons why evaluation may NOT occur)?</w:t>
      </w:r>
    </w:p>
    <w:p w14:paraId="0D23CED8" w14:textId="45EA1960" w:rsidR="008A082A" w:rsidRDefault="008A082A" w:rsidP="00045E65">
      <w:pPr>
        <w:pStyle w:val="ChartGraphic"/>
      </w:pPr>
      <w:r>
        <w:rPr>
          <w:noProof/>
        </w:rPr>
        <w:drawing>
          <wp:inline distT="0" distB="0" distL="0" distR="0" wp14:anchorId="394FC3B7" wp14:editId="763BD74D">
            <wp:extent cx="4680000" cy="2520000"/>
            <wp:effectExtent l="0" t="0" r="0" b="0"/>
            <wp:docPr id="826027478" name="Chart 1" descr="Bar chart showing the results for survey question 21. The y-axis lists barriers, and the x-axis shows the percentage of entities that identified each barrier. Detailed results are available in Appendix 5, Table 3.">
              <a:extLst xmlns:a="http://schemas.openxmlformats.org/drawingml/2006/main">
                <a:ext uri="{FF2B5EF4-FFF2-40B4-BE49-F238E27FC236}">
                  <a16:creationId xmlns:a16="http://schemas.microsoft.com/office/drawing/2014/main" id="{02CB4AFC-DB37-46CC-9626-C3912273D4D6}"/>
                </a:ext>
                <a:ext uri="{147F2762-F138-4A5C-976F-8EAC2B608ADB}">
                  <a16:predDERef xmlns:a16="http://schemas.microsoft.com/office/drawing/2014/main" pred="{91DB8AD6-D594-1E93-4E48-BFF43D5E3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347A1EB" w14:textId="77777777" w:rsidR="00A32EAF" w:rsidRDefault="00A32EAF" w:rsidP="008A082A">
      <w:pPr>
        <w:pStyle w:val="Heading3"/>
      </w:pPr>
      <w:bookmarkStart w:id="46" w:name="_Toc188272214"/>
    </w:p>
    <w:p w14:paraId="31C2E32F" w14:textId="77777777" w:rsidR="008A082A" w:rsidRDefault="008A082A" w:rsidP="008A082A">
      <w:pPr>
        <w:pStyle w:val="Heading3"/>
      </w:pPr>
      <w:r>
        <w:t>Indigenous Evaluation</w:t>
      </w:r>
      <w:bookmarkEnd w:id="46"/>
    </w:p>
    <w:p w14:paraId="1C9261CF" w14:textId="1835C23C" w:rsidR="008A082A" w:rsidRPr="003F6CCD" w:rsidRDefault="00F5523F" w:rsidP="00045E65">
      <w:pPr>
        <w:pStyle w:val="ChartMainHeading"/>
      </w:pPr>
      <w:r w:rsidRPr="003F6CCD">
        <w:t>Figure 5</w:t>
      </w:r>
      <w:r w:rsidR="00237F13">
        <w:t>3</w:t>
      </w:r>
      <w:r w:rsidRPr="003F6CCD">
        <w:t xml:space="preserve">: </w:t>
      </w:r>
      <w:r w:rsidR="008A082A" w:rsidRPr="003F6CCD">
        <w:t>Processes established to ensure evaluations are culturally appropriate with respect to Aboriginal and Torres Strait Islander people and communities (N; 89)</w:t>
      </w:r>
    </w:p>
    <w:p w14:paraId="36BEF381" w14:textId="77777777" w:rsidR="008A082A" w:rsidRDefault="008A082A" w:rsidP="00045E65">
      <w:pPr>
        <w:pStyle w:val="ChartSecondHeading"/>
      </w:pPr>
      <w:r>
        <w:t xml:space="preserve">Q22: </w:t>
      </w:r>
      <w:r w:rsidRPr="00D65B51">
        <w:t>Does your agency have processes established to ensure evaluations are culturally appropriate with respect to Aboriginal and Torres Strait Islander people and communities?</w:t>
      </w:r>
    </w:p>
    <w:p w14:paraId="56906345" w14:textId="77777777" w:rsidR="008A082A" w:rsidRDefault="008A082A" w:rsidP="00045E65">
      <w:pPr>
        <w:pStyle w:val="ChartGraphic"/>
      </w:pPr>
      <w:r>
        <w:rPr>
          <w:noProof/>
        </w:rPr>
        <w:drawing>
          <wp:inline distT="0" distB="0" distL="0" distR="0" wp14:anchorId="4FDE652E" wp14:editId="70BF88D9">
            <wp:extent cx="4680000" cy="2880000"/>
            <wp:effectExtent l="0" t="0" r="0" b="0"/>
            <wp:docPr id="1827594410" name="Chart 1" descr="Stacked bar chart showing the results for survey question 22. The y axis represents the size of entities and the total for all entities. The x-axis shows the percentage of 'Yes' and 'No'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A1D765BE-4C2F-A210-131B-DBAAA2B80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E647FDD" w14:textId="1FFC643D" w:rsidR="00052B4B" w:rsidRDefault="00052B4B" w:rsidP="00045E65">
      <w:pPr>
        <w:pStyle w:val="SingleParagraph"/>
      </w:pPr>
    </w:p>
    <w:p w14:paraId="7C3D2BE0" w14:textId="01735F06" w:rsidR="008A082A" w:rsidRPr="003F6CCD" w:rsidRDefault="00F5523F" w:rsidP="00045E65">
      <w:pPr>
        <w:pStyle w:val="ChartMainHeading"/>
      </w:pPr>
      <w:r w:rsidRPr="003F6CCD">
        <w:lastRenderedPageBreak/>
        <w:t>Figure 5</w:t>
      </w:r>
      <w:r w:rsidR="00237F13">
        <w:t>4</w:t>
      </w:r>
      <w:r w:rsidRPr="003F6CCD">
        <w:t xml:space="preserve">: </w:t>
      </w:r>
      <w:r w:rsidR="008A082A" w:rsidRPr="003F6CCD">
        <w:t>The extent to which processes are applied consistently (N: 29)</w:t>
      </w:r>
    </w:p>
    <w:p w14:paraId="51C91A19" w14:textId="77777777" w:rsidR="008A082A" w:rsidRPr="008D3DDC" w:rsidRDefault="008A082A" w:rsidP="00045E65">
      <w:pPr>
        <w:pStyle w:val="ChartSecondHeading"/>
      </w:pPr>
      <w:r>
        <w:t xml:space="preserve">Q22.1: </w:t>
      </w:r>
      <w:r w:rsidRPr="001E0F7A">
        <w:t>Please indicate the extent to which processes below are applied consistently</w:t>
      </w:r>
    </w:p>
    <w:p w14:paraId="2AFB1650" w14:textId="77777777" w:rsidR="008A082A" w:rsidRDefault="008A082A" w:rsidP="00045E65">
      <w:pPr>
        <w:pStyle w:val="ChartGraphic"/>
      </w:pPr>
      <w:r>
        <w:rPr>
          <w:noProof/>
        </w:rPr>
        <w:drawing>
          <wp:inline distT="0" distB="0" distL="0" distR="0" wp14:anchorId="21A49AE7" wp14:editId="7EF1F1FA">
            <wp:extent cx="4680000" cy="2880000"/>
            <wp:effectExtent l="0" t="0" r="0" b="0"/>
            <wp:docPr id="758151739" name="Chart 1" descr="Stacked bar chart showing the results for survey question 22.1. The y axis lists processes. The x-axis shows the percentage of 'Used for all evaluations', 'Used on a case-by-case basis', 'N/A or unsure' and 'Not used' responses, stacked to display the proportions. Detailed results are available in Appendix 5, Table 3.">
              <a:extLst xmlns:a="http://schemas.openxmlformats.org/drawingml/2006/main">
                <a:ext uri="{FF2B5EF4-FFF2-40B4-BE49-F238E27FC236}">
                  <a16:creationId xmlns:a16="http://schemas.microsoft.com/office/drawing/2014/main" id="{A4BFB27F-8038-450F-8737-660400D26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5E122DF" w14:textId="77777777" w:rsidR="00A32EAF" w:rsidRDefault="00A32EAF" w:rsidP="007F36B4">
      <w:pPr>
        <w:pStyle w:val="ChartMainHeading"/>
      </w:pPr>
    </w:p>
    <w:p w14:paraId="7D93BDBF" w14:textId="763D8227" w:rsidR="008A082A" w:rsidRPr="003F6CCD" w:rsidRDefault="00F5523F" w:rsidP="007F36B4">
      <w:pPr>
        <w:pStyle w:val="ChartMainHeading"/>
      </w:pPr>
      <w:r w:rsidRPr="003F6CCD">
        <w:t>Figure 5</w:t>
      </w:r>
      <w:r w:rsidR="00237F13">
        <w:t>5</w:t>
      </w:r>
      <w:r w:rsidRPr="003F6CCD">
        <w:t xml:space="preserve">: </w:t>
      </w:r>
      <w:r w:rsidR="008A082A" w:rsidRPr="003F6CCD">
        <w:t xml:space="preserve">To what extent does your agency draw on resources to support evaluations </w:t>
      </w:r>
      <w:r w:rsidR="00B5254E">
        <w:t xml:space="preserve">that </w:t>
      </w:r>
      <w:r w:rsidR="008A082A" w:rsidRPr="003F6CCD">
        <w:t>are culturally appropriate with respect to Aboriginal and Torres Strait Islander people and communities? (N: 77)</w:t>
      </w:r>
    </w:p>
    <w:p w14:paraId="27E33B8E" w14:textId="4FEB71CB" w:rsidR="008A082A" w:rsidRDefault="008A082A" w:rsidP="007F36B4">
      <w:pPr>
        <w:pStyle w:val="ChartSecondHeading"/>
      </w:pPr>
      <w:r>
        <w:t xml:space="preserve">Q24: </w:t>
      </w:r>
      <w:r w:rsidRPr="004F75A7">
        <w:t xml:space="preserve">To what extent does your agency draw on the following resources to support evaluations </w:t>
      </w:r>
      <w:r w:rsidR="00AF13F7">
        <w:t>to be</w:t>
      </w:r>
      <w:r w:rsidR="00AF13F7" w:rsidRPr="004F75A7">
        <w:t xml:space="preserve"> </w:t>
      </w:r>
      <w:r w:rsidRPr="004F75A7">
        <w:t>culturally appropriate with respect to Aboriginal and Torres Strait Islander people and communities?</w:t>
      </w:r>
    </w:p>
    <w:p w14:paraId="5370711B" w14:textId="77777777" w:rsidR="008A082A" w:rsidRPr="006B6554" w:rsidRDefault="008A082A" w:rsidP="007F36B4">
      <w:pPr>
        <w:pStyle w:val="ChartGraphic"/>
      </w:pPr>
      <w:r>
        <w:rPr>
          <w:noProof/>
        </w:rPr>
        <w:drawing>
          <wp:inline distT="0" distB="0" distL="0" distR="0" wp14:anchorId="5C2F3296" wp14:editId="22DCFB7C">
            <wp:extent cx="4680000" cy="2880000"/>
            <wp:effectExtent l="0" t="0" r="0" b="0"/>
            <wp:docPr id="184257525" name="Chart 1" descr="Stacked bar chart showing the results for survey question 24. The y axis lists resources. The x-axis shows the percentage of 'Used for all evaluations', 'Used on a case-by-case basis', 'N/A or unsure' and 'Not used' responses, stacked to display the proportions. Detailed results are available in Appendix 5, Table 3.">
              <a:extLst xmlns:a="http://schemas.openxmlformats.org/drawingml/2006/main">
                <a:ext uri="{FF2B5EF4-FFF2-40B4-BE49-F238E27FC236}">
                  <a16:creationId xmlns:a16="http://schemas.microsoft.com/office/drawing/2014/main" id="{8BC7013C-B95B-4F79-A3EF-459AF4A99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A2EAF9B" w14:textId="07C72299" w:rsidR="00052B4B" w:rsidRDefault="00052B4B" w:rsidP="007F36B4">
      <w:pPr>
        <w:pStyle w:val="SingleParagraph"/>
      </w:pPr>
    </w:p>
    <w:p w14:paraId="1BAFED55" w14:textId="0871163A" w:rsidR="008A082A" w:rsidRPr="003F6CCD" w:rsidRDefault="00F5523F" w:rsidP="007F36B4">
      <w:pPr>
        <w:pStyle w:val="ChartMainHeading"/>
      </w:pPr>
      <w:r w:rsidRPr="003F6CCD">
        <w:lastRenderedPageBreak/>
        <w:t>Figure 5</w:t>
      </w:r>
      <w:r w:rsidR="00237F13">
        <w:t>6</w:t>
      </w:r>
      <w:r w:rsidRPr="003F6CCD">
        <w:t xml:space="preserve">: </w:t>
      </w:r>
      <w:r w:rsidR="008A082A" w:rsidRPr="003F6CCD">
        <w:t>Approaches to support culturally appropriate evaluation (N: 60)</w:t>
      </w:r>
    </w:p>
    <w:p w14:paraId="47308529" w14:textId="67414486" w:rsidR="008A082A" w:rsidRDefault="008A082A" w:rsidP="007F36B4">
      <w:pPr>
        <w:pStyle w:val="ChartSecondHeading"/>
      </w:pPr>
      <w:r>
        <w:t xml:space="preserve">Q25: </w:t>
      </w:r>
      <w:r w:rsidRPr="00303D95">
        <w:t>Does your agenc</w:t>
      </w:r>
      <w:r>
        <w:t>y</w:t>
      </w:r>
      <w:r w:rsidR="00AD4DCC">
        <w:t>’</w:t>
      </w:r>
      <w:r w:rsidRPr="00303D95">
        <w:t>s evaluation practice adopt any of following approaches to support culturally appropriate evaluation?</w:t>
      </w:r>
    </w:p>
    <w:p w14:paraId="2B7140F9" w14:textId="77777777" w:rsidR="008A082A" w:rsidRDefault="008A082A" w:rsidP="007F36B4">
      <w:pPr>
        <w:pStyle w:val="ChartGraphic"/>
      </w:pPr>
      <w:r>
        <w:rPr>
          <w:noProof/>
        </w:rPr>
        <w:drawing>
          <wp:inline distT="0" distB="0" distL="0" distR="0" wp14:anchorId="4124FD96" wp14:editId="12A87AAC">
            <wp:extent cx="4680000" cy="2520000"/>
            <wp:effectExtent l="0" t="0" r="0" b="0"/>
            <wp:docPr id="80333335" name="Chart 1" descr="Bar chart showing the results for survey question 25. The y-axis lists approaches, and the x-axis shows the percentage of entities that identified each approach. Detailed results are available in Appendix 5, Table 3.">
              <a:extLst xmlns:a="http://schemas.openxmlformats.org/drawingml/2006/main">
                <a:ext uri="{FF2B5EF4-FFF2-40B4-BE49-F238E27FC236}">
                  <a16:creationId xmlns:a16="http://schemas.microsoft.com/office/drawing/2014/main" id="{6EAC7A8A-5D9B-4287-9857-0E177E520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8F15DE1" w14:textId="77777777" w:rsidR="00A32EAF" w:rsidRDefault="00A32EAF" w:rsidP="008A082A">
      <w:pPr>
        <w:pStyle w:val="Heading3"/>
      </w:pPr>
      <w:bookmarkStart w:id="47" w:name="_Toc188272215"/>
    </w:p>
    <w:p w14:paraId="32D66A72" w14:textId="77777777" w:rsidR="008A082A" w:rsidRDefault="008A082A" w:rsidP="008A082A">
      <w:pPr>
        <w:pStyle w:val="Heading3"/>
      </w:pPr>
      <w:r>
        <w:t>Ethical Evaluation</w:t>
      </w:r>
      <w:bookmarkEnd w:id="47"/>
    </w:p>
    <w:p w14:paraId="66BE7705" w14:textId="536C9146" w:rsidR="008A082A" w:rsidRPr="003F6CCD" w:rsidRDefault="00F5523F" w:rsidP="007F36B4">
      <w:pPr>
        <w:pStyle w:val="ChartMainHeading"/>
      </w:pPr>
      <w:r w:rsidRPr="003F6CCD">
        <w:t>Figure 5</w:t>
      </w:r>
      <w:r w:rsidR="00237F13">
        <w:t>7</w:t>
      </w:r>
      <w:r w:rsidRPr="003F6CCD">
        <w:t xml:space="preserve">: </w:t>
      </w:r>
      <w:r w:rsidR="008A082A" w:rsidRPr="003F6CCD">
        <w:t>Existence of an agency evaluation ethics review process (N:90)</w:t>
      </w:r>
    </w:p>
    <w:p w14:paraId="33E8F254" w14:textId="77777777" w:rsidR="008A082A" w:rsidRDefault="008A082A" w:rsidP="007F36B4">
      <w:pPr>
        <w:pStyle w:val="ChartSecondHeading"/>
      </w:pPr>
      <w:r>
        <w:t xml:space="preserve">Q26: </w:t>
      </w:r>
      <w:r w:rsidRPr="004930E3">
        <w:t>Does your agency have an evaluation ethics review process?</w:t>
      </w:r>
    </w:p>
    <w:p w14:paraId="0AA54F7E" w14:textId="77777777" w:rsidR="008A082A" w:rsidRDefault="008A082A" w:rsidP="007F36B4">
      <w:pPr>
        <w:pStyle w:val="ChartGraphic"/>
      </w:pPr>
      <w:r>
        <w:rPr>
          <w:noProof/>
        </w:rPr>
        <w:drawing>
          <wp:inline distT="0" distB="0" distL="0" distR="0" wp14:anchorId="6F26416F" wp14:editId="6476DBEB">
            <wp:extent cx="4680000" cy="2880000"/>
            <wp:effectExtent l="0" t="0" r="0" b="0"/>
            <wp:docPr id="1602533067" name="Chart 1" descr="Stacked bar chart showing the results for survey question 26. The y axis represents the size of entities and the total for all entities. The x-axis shows the percentage of 'Yes' and 'No'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DF0C3FAB-6C44-B673-AAD9-4FCC68427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50F3BDE" w14:textId="295057CD" w:rsidR="00052B4B" w:rsidRDefault="00052B4B" w:rsidP="007F36B4">
      <w:pPr>
        <w:pStyle w:val="SingleParagraph"/>
      </w:pPr>
    </w:p>
    <w:p w14:paraId="02E7597D" w14:textId="123EE9A6" w:rsidR="008A082A" w:rsidRPr="003F6CCD" w:rsidRDefault="00F5523F" w:rsidP="007F36B4">
      <w:pPr>
        <w:pStyle w:val="ChartMainHeading"/>
      </w:pPr>
      <w:r w:rsidRPr="003F6CCD">
        <w:lastRenderedPageBreak/>
        <w:t>Figure 5</w:t>
      </w:r>
      <w:r w:rsidR="00237F13">
        <w:t>8</w:t>
      </w:r>
      <w:r w:rsidRPr="003F6CCD">
        <w:t xml:space="preserve">: </w:t>
      </w:r>
      <w:r w:rsidR="008A082A" w:rsidRPr="003F6CCD">
        <w:t>How the evaluation ethics review process operates (N:19)</w:t>
      </w:r>
    </w:p>
    <w:p w14:paraId="0060B32E" w14:textId="77777777" w:rsidR="008A082A" w:rsidRDefault="008A082A" w:rsidP="007F36B4">
      <w:pPr>
        <w:pStyle w:val="ChartSecondHeading"/>
      </w:pPr>
      <w:r>
        <w:t xml:space="preserve">Q26.1: </w:t>
      </w:r>
      <w:r w:rsidRPr="00113370">
        <w:t>Please specify how the evaluation ethics review process operates</w:t>
      </w:r>
    </w:p>
    <w:p w14:paraId="6B025DF9" w14:textId="184C282C" w:rsidR="008A082A" w:rsidRDefault="008A082A" w:rsidP="007F36B4">
      <w:pPr>
        <w:pStyle w:val="ChartGraphic"/>
      </w:pPr>
      <w:r>
        <w:rPr>
          <w:noProof/>
        </w:rPr>
        <w:drawing>
          <wp:inline distT="0" distB="0" distL="0" distR="0" wp14:anchorId="5AC668EF" wp14:editId="3EDFB27E">
            <wp:extent cx="4680000" cy="2520000"/>
            <wp:effectExtent l="0" t="0" r="0" b="0"/>
            <wp:docPr id="1333903078" name="Chart 1" descr="Bar chart showing the results for survey question 26.1. The y-axis lists options for review, and the x-axis shows the percentage of entities that identified each option. Detailed results are available in Appendix 5, Table 3.">
              <a:extLst xmlns:a="http://schemas.openxmlformats.org/drawingml/2006/main">
                <a:ext uri="{FF2B5EF4-FFF2-40B4-BE49-F238E27FC236}">
                  <a16:creationId xmlns:a16="http://schemas.microsoft.com/office/drawing/2014/main" id="{B8C1C74B-C49C-40D7-A28D-963DB2A70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B01499F" w14:textId="60367B81" w:rsidR="00A32EAF" w:rsidRDefault="00A32EAF" w:rsidP="00BE3B9F">
      <w:pPr>
        <w:pStyle w:val="ChartMainHeading"/>
      </w:pPr>
    </w:p>
    <w:p w14:paraId="54DC196F" w14:textId="52B66086" w:rsidR="008A082A" w:rsidRPr="003F6CCD" w:rsidRDefault="00F5523F" w:rsidP="00BE3B9F">
      <w:pPr>
        <w:pStyle w:val="ChartMainHeading"/>
      </w:pPr>
      <w:r w:rsidRPr="003F6CCD">
        <w:t>Figure 5</w:t>
      </w:r>
      <w:r w:rsidR="00237F13">
        <w:t>9</w:t>
      </w:r>
      <w:r w:rsidRPr="003F6CCD">
        <w:t xml:space="preserve">: </w:t>
      </w:r>
      <w:r w:rsidR="008A082A" w:rsidRPr="003F6CCD">
        <w:t>Plans to establish an evaluation ethics review process (N:59)</w:t>
      </w:r>
    </w:p>
    <w:p w14:paraId="1AC89A75" w14:textId="77777777" w:rsidR="008A082A" w:rsidRDefault="008A082A" w:rsidP="00BE3B9F">
      <w:pPr>
        <w:pStyle w:val="ChartSecondHeading"/>
      </w:pPr>
      <w:r>
        <w:t xml:space="preserve">Q26.2: </w:t>
      </w:r>
      <w:r w:rsidRPr="000273D0">
        <w:t>Please specify if any of the following apply</w:t>
      </w:r>
    </w:p>
    <w:p w14:paraId="634C86BD" w14:textId="5B816EB2" w:rsidR="000B56BA" w:rsidRDefault="008A082A" w:rsidP="00BE3B9F">
      <w:pPr>
        <w:pStyle w:val="ChartGraphic"/>
      </w:pPr>
      <w:r>
        <w:rPr>
          <w:noProof/>
        </w:rPr>
        <w:drawing>
          <wp:inline distT="0" distB="0" distL="0" distR="0" wp14:anchorId="0D40D9B3" wp14:editId="26CF69BC">
            <wp:extent cx="4680000" cy="2880000"/>
            <wp:effectExtent l="0" t="0" r="0" b="0"/>
            <wp:docPr id="2096802458" name="Chart 1" descr="Stacked bar chart showing the results for survey question 26.2. The y axis represents the size of entities and the total for all entities. The x-axis shows the percentage of 'Under-consideration', 'Unsure' and 'No formal process' responses, stacked to display the proportions for each size category and all entities.">
              <a:extLst xmlns:a="http://schemas.openxmlformats.org/drawingml/2006/main">
                <a:ext uri="{FF2B5EF4-FFF2-40B4-BE49-F238E27FC236}">
                  <a16:creationId xmlns:a16="http://schemas.microsoft.com/office/drawing/2014/main" id="{C4EAFA27-1301-46DD-9532-C6844C510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bookmarkStart w:id="48" w:name="_Toc188272216"/>
    </w:p>
    <w:p w14:paraId="48F89463" w14:textId="77777777" w:rsidR="0087541F" w:rsidRPr="0087541F" w:rsidRDefault="0087541F" w:rsidP="0087541F">
      <w:pPr>
        <w:pStyle w:val="SingleParagraph"/>
      </w:pPr>
    </w:p>
    <w:p w14:paraId="7AEBD34A" w14:textId="76402DB2" w:rsidR="008A082A" w:rsidRDefault="008A082A" w:rsidP="008A082A">
      <w:pPr>
        <w:pStyle w:val="Heading2"/>
      </w:pPr>
      <w:bookmarkStart w:id="49" w:name="_Toc189820841"/>
      <w:r>
        <w:lastRenderedPageBreak/>
        <w:t xml:space="preserve">Evaluation </w:t>
      </w:r>
      <w:r w:rsidR="008D1AAF">
        <w:t>e</w:t>
      </w:r>
      <w:r>
        <w:t xml:space="preserve">vidence </w:t>
      </w:r>
      <w:r w:rsidR="008D1AAF">
        <w:t>u</w:t>
      </w:r>
      <w:r>
        <w:t>se</w:t>
      </w:r>
      <w:bookmarkEnd w:id="48"/>
      <w:bookmarkEnd w:id="49"/>
    </w:p>
    <w:p w14:paraId="4415BA90" w14:textId="1B6F9782" w:rsidR="008A082A" w:rsidRDefault="008A082A" w:rsidP="008A082A">
      <w:pPr>
        <w:pStyle w:val="Heading3"/>
      </w:pPr>
      <w:bookmarkStart w:id="50" w:name="_Toc188272217"/>
      <w:r>
        <w:t xml:space="preserve">Evaluation </w:t>
      </w:r>
      <w:r w:rsidR="008D1AAF">
        <w:t>e</w:t>
      </w:r>
      <w:r>
        <w:t xml:space="preserve">vidence </w:t>
      </w:r>
      <w:r w:rsidR="008D1AAF">
        <w:t>u</w:t>
      </w:r>
      <w:r>
        <w:t>se</w:t>
      </w:r>
      <w:bookmarkEnd w:id="50"/>
    </w:p>
    <w:p w14:paraId="10A309BF" w14:textId="4D5DAF15" w:rsidR="008A082A" w:rsidRPr="003F6CCD" w:rsidRDefault="00F5523F" w:rsidP="00BE3B9F">
      <w:pPr>
        <w:pStyle w:val="ChartMainHeading"/>
      </w:pPr>
      <w:r w:rsidRPr="003F6CCD">
        <w:t xml:space="preserve">Figure </w:t>
      </w:r>
      <w:r w:rsidR="00237F13">
        <w:t>60</w:t>
      </w:r>
      <w:r w:rsidRPr="003F6CCD">
        <w:t xml:space="preserve">: </w:t>
      </w:r>
      <w:r w:rsidR="008A082A" w:rsidRPr="003F6CCD">
        <w:t>Extent agency uses evaluation evidence (N:79)</w:t>
      </w:r>
    </w:p>
    <w:p w14:paraId="59B99949" w14:textId="77777777" w:rsidR="008A082A" w:rsidRDefault="008A082A" w:rsidP="00BE3B9F">
      <w:pPr>
        <w:pStyle w:val="ChartSecondHeading"/>
      </w:pPr>
      <w:r>
        <w:t xml:space="preserve">Q27: </w:t>
      </w:r>
      <w:r w:rsidRPr="00C61728">
        <w:t>To what extent does your agency use evaluation evidence to</w:t>
      </w:r>
      <w:r>
        <w:t>…</w:t>
      </w:r>
    </w:p>
    <w:p w14:paraId="403A6880" w14:textId="76A41067" w:rsidR="008A082A" w:rsidRDefault="003D085A" w:rsidP="00BE3B9F">
      <w:pPr>
        <w:pStyle w:val="ChartGraphic"/>
      </w:pPr>
      <w:r>
        <w:rPr>
          <w:noProof/>
        </w:rPr>
        <w:drawing>
          <wp:inline distT="0" distB="0" distL="0" distR="0" wp14:anchorId="0F1624F3" wp14:editId="7E182297">
            <wp:extent cx="5213400" cy="2737125"/>
            <wp:effectExtent l="0" t="0" r="0" b="0"/>
            <wp:docPr id="826579044" name="Chart 1" descr="Stacked bar chart showing the results for survey question 27. The y axis lists uses of evaluation evidence. The x-axis shows the percentage of 'Always', 'Often', 'Sometimes', 'Rarely' and 'Never' responses, stacked to display the proportions. Detailed results are available in Appendix 5, Table 3.">
              <a:extLst xmlns:a="http://schemas.openxmlformats.org/drawingml/2006/main">
                <a:ext uri="{FF2B5EF4-FFF2-40B4-BE49-F238E27FC236}">
                  <a16:creationId xmlns:a16="http://schemas.microsoft.com/office/drawing/2014/main" id="{BD3FE013-89DD-4E89-993F-F29BB1A23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C32154D" w14:textId="77777777" w:rsidR="00A32EAF" w:rsidRDefault="00A32EAF" w:rsidP="00BE3B9F">
      <w:pPr>
        <w:pStyle w:val="ChartMainHeading"/>
      </w:pPr>
    </w:p>
    <w:p w14:paraId="1BC7CE52" w14:textId="33183652" w:rsidR="008A082A" w:rsidRPr="003F6CCD" w:rsidRDefault="00F5523F" w:rsidP="00BE3B9F">
      <w:pPr>
        <w:pStyle w:val="ChartMainHeading"/>
      </w:pPr>
      <w:r w:rsidRPr="003F6CCD">
        <w:t>Figure 6</w:t>
      </w:r>
      <w:r w:rsidR="00237F13">
        <w:t>1</w:t>
      </w:r>
      <w:r w:rsidRPr="003F6CCD">
        <w:t xml:space="preserve">: </w:t>
      </w:r>
      <w:r w:rsidR="008A082A" w:rsidRPr="003F6CCD">
        <w:t>Extent agency uses evaluation evidence (N:81)</w:t>
      </w:r>
    </w:p>
    <w:p w14:paraId="5B42CEC5" w14:textId="77777777" w:rsidR="008A082A" w:rsidRPr="008D3DDC" w:rsidRDefault="008A082A" w:rsidP="00BE3B9F">
      <w:pPr>
        <w:pStyle w:val="ChartSecondHeading"/>
      </w:pPr>
      <w:r>
        <w:t xml:space="preserve">Q28: </w:t>
      </w:r>
      <w:r w:rsidRPr="009B454F">
        <w:t>To what extent does your agency use evaluation evidence to</w:t>
      </w:r>
      <w:r>
        <w:t>…</w:t>
      </w:r>
    </w:p>
    <w:p w14:paraId="2D033123" w14:textId="77777777" w:rsidR="008A082A" w:rsidRPr="006F571E" w:rsidRDefault="008A082A" w:rsidP="00BE3B9F">
      <w:pPr>
        <w:pStyle w:val="ChartGraphic"/>
      </w:pPr>
      <w:r>
        <w:rPr>
          <w:noProof/>
        </w:rPr>
        <w:drawing>
          <wp:inline distT="0" distB="0" distL="0" distR="0" wp14:anchorId="34FC547A" wp14:editId="7EF3FE20">
            <wp:extent cx="4680000" cy="2880000"/>
            <wp:effectExtent l="0" t="0" r="0" b="0"/>
            <wp:docPr id="935786720" name="Chart 1" descr="Stacked bar chart showing the results for survey question 28. The y axis lists uses of evaluation evidence. The x-axis shows the percentage of 'Always', 'Often', 'Sometimes', 'Rarely' and 'Never' responses, stacked to display the proportions. Detailed results are available in Appendix 5, Table 3.">
              <a:extLst xmlns:a="http://schemas.openxmlformats.org/drawingml/2006/main">
                <a:ext uri="{FF2B5EF4-FFF2-40B4-BE49-F238E27FC236}">
                  <a16:creationId xmlns:a16="http://schemas.microsoft.com/office/drawing/2014/main" id="{0F436605-FEE5-4065-BB58-15F566D8C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84C5365" w14:textId="74288950" w:rsidR="000B56BA" w:rsidRDefault="000B56BA">
      <w:pPr>
        <w:spacing w:before="0" w:after="160" w:line="259" w:lineRule="auto"/>
        <w:rPr>
          <w:rFonts w:cs="Arial"/>
          <w:color w:val="5D779D" w:themeColor="accent3"/>
          <w:kern w:val="32"/>
          <w:sz w:val="24"/>
          <w:szCs w:val="26"/>
        </w:rPr>
      </w:pPr>
    </w:p>
    <w:p w14:paraId="6E80CFD2" w14:textId="194E60A4" w:rsidR="008A082A" w:rsidRPr="003F6CCD" w:rsidRDefault="00F5523F" w:rsidP="00C6006F">
      <w:pPr>
        <w:pStyle w:val="ChartMainHeading"/>
      </w:pPr>
      <w:r w:rsidRPr="003F6CCD">
        <w:lastRenderedPageBreak/>
        <w:t>Figure 6</w:t>
      </w:r>
      <w:r w:rsidR="00237F13">
        <w:t>2</w:t>
      </w:r>
      <w:r w:rsidRPr="003F6CCD">
        <w:t xml:space="preserve">: </w:t>
      </w:r>
      <w:r w:rsidR="008A082A" w:rsidRPr="003F6CCD">
        <w:t>Extent agenc</w:t>
      </w:r>
      <w:r w:rsidR="00C050D8">
        <w:t>ies</w:t>
      </w:r>
      <w:r w:rsidR="008A082A" w:rsidRPr="003F6CCD">
        <w:t xml:space="preserve"> present evaluation findings to stakeholders (N:79)</w:t>
      </w:r>
    </w:p>
    <w:p w14:paraId="5EB1AFC3" w14:textId="77777777" w:rsidR="008A082A" w:rsidRDefault="008A082A" w:rsidP="00C6006F">
      <w:pPr>
        <w:pStyle w:val="ChartSecondHeading"/>
      </w:pPr>
      <w:r>
        <w:t xml:space="preserve">Q29: </w:t>
      </w:r>
      <w:r w:rsidRPr="009458B6">
        <w:t>To what extent are evaluation findings presented to each of these stakeholders?</w:t>
      </w:r>
    </w:p>
    <w:p w14:paraId="61B0AB12" w14:textId="77777777" w:rsidR="008A082A" w:rsidRPr="005A6DD0" w:rsidRDefault="008A082A" w:rsidP="00C6006F">
      <w:pPr>
        <w:pStyle w:val="ChartGraphic"/>
      </w:pPr>
      <w:r>
        <w:rPr>
          <w:noProof/>
        </w:rPr>
        <w:drawing>
          <wp:inline distT="0" distB="0" distL="0" distR="0" wp14:anchorId="221AC0E4" wp14:editId="71691AD1">
            <wp:extent cx="4680000" cy="2880000"/>
            <wp:effectExtent l="0" t="0" r="0" b="0"/>
            <wp:docPr id="1080250297" name="Chart 1" descr="Stacked bar chart showing the results for survey question 29. The y axis lists stakeholders. The x-axis shows the percentage of 'Always', 'Often', 'Sometimes', 'Rarely' and 'Never' responses, stacked to display the proportions. Detailed results are available in Appendix 5, Table 3.">
              <a:extLst xmlns:a="http://schemas.openxmlformats.org/drawingml/2006/main">
                <a:ext uri="{FF2B5EF4-FFF2-40B4-BE49-F238E27FC236}">
                  <a16:creationId xmlns:a16="http://schemas.microsoft.com/office/drawing/2014/main" id="{1E8DBAD4-75AC-4139-BAE1-61776C7FE4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6C0115E" w14:textId="2257E8C1" w:rsidR="00A32EAF" w:rsidRDefault="00A32EAF" w:rsidP="00C6006F">
      <w:pPr>
        <w:pStyle w:val="ChartMainHeading"/>
      </w:pPr>
    </w:p>
    <w:p w14:paraId="519FCC92" w14:textId="7B2D0F0E" w:rsidR="008A082A" w:rsidRDefault="00F5523F" w:rsidP="00C6006F">
      <w:pPr>
        <w:pStyle w:val="ChartMainHeading"/>
      </w:pPr>
      <w:r w:rsidRPr="003F6CCD">
        <w:t>Figure 6</w:t>
      </w:r>
      <w:r w:rsidR="00237F13">
        <w:t>3</w:t>
      </w:r>
      <w:r w:rsidRPr="003F6CCD">
        <w:t xml:space="preserve">: </w:t>
      </w:r>
      <w:r w:rsidR="008A082A" w:rsidRPr="003F6CCD">
        <w:t>Routine dissemination</w:t>
      </w:r>
      <w:r w:rsidR="00C050D8">
        <w:t xml:space="preserve"> </w:t>
      </w:r>
      <w:r w:rsidR="008A082A" w:rsidRPr="003F6CCD">
        <w:t>evaluation findings or reports</w:t>
      </w:r>
      <w:r w:rsidR="008A082A" w:rsidRPr="003F6CCD" w:rsidDel="00C050D8">
        <w:t xml:space="preserve"> publicly </w:t>
      </w:r>
      <w:r w:rsidR="008A082A" w:rsidRPr="003F6CCD">
        <w:t>(N:87)</w:t>
      </w:r>
    </w:p>
    <w:p w14:paraId="7C3F0E0D" w14:textId="77777777" w:rsidR="001D0780" w:rsidRDefault="008A082A" w:rsidP="00C6006F">
      <w:pPr>
        <w:pStyle w:val="ChartSecondHeading"/>
      </w:pPr>
      <w:r>
        <w:t xml:space="preserve">Q30: </w:t>
      </w:r>
      <w:r w:rsidRPr="009946F9">
        <w:t>Does your agency routinely disseminate evaluation findings or reports publicly?</w:t>
      </w:r>
    </w:p>
    <w:p w14:paraId="7A77E09E" w14:textId="00208FF3" w:rsidR="008A082A" w:rsidRDefault="008A082A" w:rsidP="00C6006F">
      <w:pPr>
        <w:pStyle w:val="ChartGraphic"/>
      </w:pPr>
      <w:r>
        <w:rPr>
          <w:noProof/>
        </w:rPr>
        <w:drawing>
          <wp:inline distT="0" distB="0" distL="0" distR="0" wp14:anchorId="39C7E5FF" wp14:editId="6836B43E">
            <wp:extent cx="4680000" cy="2880000"/>
            <wp:effectExtent l="0" t="0" r="0" b="0"/>
            <wp:docPr id="1532360052" name="Chart 1" descr="Stacked bar chart showing the results for survey question 30. The y axis represents the size of entities and the total for all entities. The x-axis shows the percentage of 'Yes' and 'No' responses, stacked to display the proportions for each size category and total. Detailed results are available in Appendix 5, Table 3.">
              <a:extLst xmlns:a="http://schemas.openxmlformats.org/drawingml/2006/main">
                <a:ext uri="{FF2B5EF4-FFF2-40B4-BE49-F238E27FC236}">
                  <a16:creationId xmlns:a16="http://schemas.microsoft.com/office/drawing/2014/main" id="{8FA2D5FF-7A28-424A-B35B-B0D87E8BA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295105B" w14:textId="0BC3CB8A" w:rsidR="000B56BA" w:rsidRDefault="000B56BA" w:rsidP="0087541F">
      <w:pPr>
        <w:pStyle w:val="SingleParagraph"/>
      </w:pPr>
    </w:p>
    <w:p w14:paraId="63F0F699" w14:textId="77D1F6EB" w:rsidR="008A082A" w:rsidRPr="003F6CCD" w:rsidRDefault="00F5523F" w:rsidP="00864466">
      <w:pPr>
        <w:pStyle w:val="Heading4"/>
        <w:jc w:val="center"/>
        <w:rPr>
          <w:rFonts w:ascii="Calibri" w:hAnsi="Calibri"/>
          <w:color w:val="2C384A" w:themeColor="accent1"/>
          <w:sz w:val="26"/>
        </w:rPr>
      </w:pPr>
      <w:r w:rsidRPr="003F6CCD">
        <w:rPr>
          <w:rFonts w:ascii="Calibri" w:hAnsi="Calibri"/>
          <w:color w:val="2C384A" w:themeColor="accent1"/>
          <w:sz w:val="26"/>
        </w:rPr>
        <w:lastRenderedPageBreak/>
        <w:t>Figure 6</w:t>
      </w:r>
      <w:r w:rsidR="00237F13">
        <w:rPr>
          <w:rFonts w:ascii="Calibri" w:hAnsi="Calibri"/>
          <w:color w:val="2C384A" w:themeColor="accent1"/>
          <w:sz w:val="26"/>
        </w:rPr>
        <w:t>4</w:t>
      </w:r>
      <w:r w:rsidRPr="003F6CCD">
        <w:rPr>
          <w:rFonts w:ascii="Calibri" w:hAnsi="Calibri"/>
          <w:color w:val="2C384A" w:themeColor="accent1"/>
          <w:sz w:val="26"/>
        </w:rPr>
        <w:t xml:space="preserve">: </w:t>
      </w:r>
      <w:r w:rsidR="008A082A" w:rsidRPr="003F6CCD">
        <w:rPr>
          <w:rFonts w:ascii="Calibri" w:hAnsi="Calibri"/>
          <w:color w:val="2C384A" w:themeColor="accent1"/>
          <w:sz w:val="26"/>
        </w:rPr>
        <w:t>How evaluation findings or reports are distributed to stakeholders (N: 48)</w:t>
      </w:r>
    </w:p>
    <w:p w14:paraId="2E312652" w14:textId="77777777" w:rsidR="008A082A" w:rsidRDefault="008A082A" w:rsidP="00C6006F">
      <w:pPr>
        <w:pStyle w:val="ChartSecondHeading"/>
      </w:pPr>
      <w:r>
        <w:t xml:space="preserve">Q30.1: </w:t>
      </w:r>
      <w:r w:rsidRPr="00076A94">
        <w:t>Please specify how evaluation findings or reports are distributed to stakeholders</w:t>
      </w:r>
    </w:p>
    <w:p w14:paraId="2E97F05B" w14:textId="77777777" w:rsidR="008A082A" w:rsidRDefault="008A082A" w:rsidP="00C6006F">
      <w:pPr>
        <w:pStyle w:val="ChartGraphic"/>
      </w:pPr>
      <w:r>
        <w:rPr>
          <w:noProof/>
        </w:rPr>
        <w:drawing>
          <wp:inline distT="0" distB="0" distL="0" distR="0" wp14:anchorId="5C8E8852" wp14:editId="15AD9328">
            <wp:extent cx="4680000" cy="2880000"/>
            <wp:effectExtent l="0" t="0" r="0" b="0"/>
            <wp:docPr id="1520498852" name="Chart 1" descr="Stacked bar chart showing the results for survey question 30.1. The y axis lists how findings or reports may be distributed to stakeholders. The x-axis shows the percentage of 'Always', 'Often', 'Sometimes', 'Rarely' and 'Never' responses, stacked to display the proportions. Detailed results are available in Appendix 5, Table 3.">
              <a:extLst xmlns:a="http://schemas.openxmlformats.org/drawingml/2006/main">
                <a:ext uri="{FF2B5EF4-FFF2-40B4-BE49-F238E27FC236}">
                  <a16:creationId xmlns:a16="http://schemas.microsoft.com/office/drawing/2014/main" id="{D8C9D2DE-1160-4960-B4C4-917FD5E7A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4A6CF2F" w14:textId="77777777" w:rsidR="00A32EAF" w:rsidRDefault="00A32EAF" w:rsidP="00C6006F">
      <w:pPr>
        <w:pStyle w:val="ChartMainHeading"/>
      </w:pPr>
    </w:p>
    <w:p w14:paraId="631C71CB" w14:textId="164EF355" w:rsidR="008A082A" w:rsidRPr="003F6CCD" w:rsidRDefault="00F5523F" w:rsidP="00C6006F">
      <w:pPr>
        <w:pStyle w:val="ChartMainHeading"/>
      </w:pPr>
      <w:r w:rsidRPr="003F6CCD">
        <w:t>Figure 6</w:t>
      </w:r>
      <w:r w:rsidR="00237F13">
        <w:t>5</w:t>
      </w:r>
      <w:r w:rsidRPr="003F6CCD">
        <w:t xml:space="preserve">: </w:t>
      </w:r>
      <w:r w:rsidR="008A082A" w:rsidRPr="003F6CCD">
        <w:t xml:space="preserve">Inclusion of evaluation findings in </w:t>
      </w:r>
      <w:r w:rsidR="008A082A" w:rsidRPr="003F6CCD" w:rsidDel="002D36F9">
        <w:t>the</w:t>
      </w:r>
      <w:r w:rsidR="008A082A" w:rsidRPr="003F6CCD">
        <w:t xml:space="preserve"> 2023 Annual Report (N:88)</w:t>
      </w:r>
    </w:p>
    <w:p w14:paraId="55466E28" w14:textId="77777777" w:rsidR="008A082A" w:rsidRDefault="008A082A" w:rsidP="00C6006F">
      <w:pPr>
        <w:pStyle w:val="ChartSecondHeading"/>
      </w:pPr>
      <w:r>
        <w:t xml:space="preserve">Q31: </w:t>
      </w:r>
      <w:r w:rsidRPr="004C1BA2">
        <w:t>Did your agency include any evaluation findings in the 2023 Annual Report?</w:t>
      </w:r>
    </w:p>
    <w:p w14:paraId="09FCE693" w14:textId="77777777" w:rsidR="008A082A" w:rsidRPr="003B30D0" w:rsidRDefault="008A082A" w:rsidP="00C6006F">
      <w:pPr>
        <w:pStyle w:val="ChartGraphic"/>
      </w:pPr>
      <w:r>
        <w:rPr>
          <w:noProof/>
        </w:rPr>
        <w:drawing>
          <wp:inline distT="0" distB="0" distL="0" distR="0" wp14:anchorId="0EFCD7D1" wp14:editId="3EF316D6">
            <wp:extent cx="4680000" cy="2880000"/>
            <wp:effectExtent l="0" t="0" r="0" b="0"/>
            <wp:docPr id="28060396" name="Chart 1" descr="Stacked bar chart showing the results for survey question 31. The y axis represents the size of entities and the total for all entities. The x-axis shows the percentage of 'Yes', 'Unsure' and 'No' responses, stacked to display the proportions for each size category and total.">
              <a:extLst xmlns:a="http://schemas.openxmlformats.org/drawingml/2006/main">
                <a:ext uri="{FF2B5EF4-FFF2-40B4-BE49-F238E27FC236}">
                  <a16:creationId xmlns:a16="http://schemas.microsoft.com/office/drawing/2014/main" id="{EF0AD19C-0421-48A3-9224-D36332E21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1339516" w14:textId="77777777" w:rsidR="00A32EAF" w:rsidRDefault="00A32EAF">
      <w:pPr>
        <w:spacing w:before="0" w:after="160" w:line="259" w:lineRule="auto"/>
        <w:rPr>
          <w:rFonts w:ascii="Calibri" w:hAnsi="Calibri" w:cs="Arial"/>
          <w:iCs/>
          <w:color w:val="2C384A" w:themeColor="accent1"/>
          <w:kern w:val="32"/>
          <w:sz w:val="36"/>
          <w:szCs w:val="28"/>
        </w:rPr>
      </w:pPr>
      <w:bookmarkStart w:id="51" w:name="_Toc188272218"/>
      <w:bookmarkStart w:id="52" w:name="_Toc189820842"/>
      <w:r>
        <w:br w:type="page"/>
      </w:r>
    </w:p>
    <w:p w14:paraId="46265A69" w14:textId="2E989F33" w:rsidR="008A082A" w:rsidRDefault="008A082A" w:rsidP="008A082A">
      <w:pPr>
        <w:pStyle w:val="Heading2"/>
      </w:pPr>
      <w:r>
        <w:lastRenderedPageBreak/>
        <w:t xml:space="preserve">Evaluation </w:t>
      </w:r>
      <w:r w:rsidR="00F5397E">
        <w:t>c</w:t>
      </w:r>
      <w:r>
        <w:t>apability</w:t>
      </w:r>
      <w:bookmarkEnd w:id="51"/>
      <w:r w:rsidR="00F5397E">
        <w:t xml:space="preserve"> building</w:t>
      </w:r>
      <w:bookmarkEnd w:id="52"/>
    </w:p>
    <w:p w14:paraId="48675326" w14:textId="77777777" w:rsidR="008A082A" w:rsidRDefault="008A082A" w:rsidP="008A082A">
      <w:pPr>
        <w:pStyle w:val="Heading3"/>
      </w:pPr>
      <w:bookmarkStart w:id="53" w:name="_Toc188272219"/>
      <w:r>
        <w:t>Evaluation capability building efforts</w:t>
      </w:r>
      <w:bookmarkEnd w:id="53"/>
    </w:p>
    <w:p w14:paraId="3EEDACF3" w14:textId="7090A8AF" w:rsidR="008A082A" w:rsidRPr="003F6CCD" w:rsidRDefault="00D951DD" w:rsidP="00C6006F">
      <w:pPr>
        <w:pStyle w:val="ChartMainHeading"/>
      </w:pPr>
      <w:r w:rsidRPr="003F6CCD">
        <w:t xml:space="preserve">Figure 66: </w:t>
      </w:r>
      <w:r w:rsidR="008A082A" w:rsidRPr="003F6CCD">
        <w:t>In 2023</w:t>
      </w:r>
      <w:r w:rsidR="00AD4DCC">
        <w:noBreakHyphen/>
      </w:r>
      <w:r w:rsidR="008A082A" w:rsidRPr="003F6CCD">
        <w:t>24 agency engagements in evaluation capability building activities (N: 54)</w:t>
      </w:r>
    </w:p>
    <w:p w14:paraId="3F10BF71" w14:textId="4D09C8AB" w:rsidR="008A082A" w:rsidRDefault="008A082A" w:rsidP="00C6006F">
      <w:pPr>
        <w:pStyle w:val="ChartSecondHeading"/>
      </w:pPr>
      <w:r>
        <w:t xml:space="preserve">Q32: </w:t>
      </w:r>
      <w:r w:rsidRPr="00FE62D2">
        <w:t>In the 2023</w:t>
      </w:r>
      <w:r w:rsidR="00AD4DCC">
        <w:noBreakHyphen/>
      </w:r>
      <w:r w:rsidRPr="00FE62D2">
        <w:t>24 financial year, did your entity engage in evaluation capability building activities?</w:t>
      </w:r>
    </w:p>
    <w:p w14:paraId="008D31BD" w14:textId="77777777" w:rsidR="008A082A" w:rsidRDefault="008A082A" w:rsidP="00C6006F">
      <w:pPr>
        <w:pStyle w:val="ChartGraphic"/>
        <w:rPr>
          <w:noProof/>
        </w:rPr>
      </w:pPr>
      <w:r>
        <w:rPr>
          <w:noProof/>
        </w:rPr>
        <w:drawing>
          <wp:inline distT="0" distB="0" distL="0" distR="0" wp14:anchorId="5AB6257C" wp14:editId="0EBFD727">
            <wp:extent cx="4680000" cy="2520000"/>
            <wp:effectExtent l="0" t="0" r="0" b="0"/>
            <wp:docPr id="170537505" name="Chart 1" descr="Bar chart showing the results for survey question 32. The y-axis lists activities, and the x-axis shows the percentage of entities that identified each activity. Detailed results are available in Appendix 5, Table 3.">
              <a:extLst xmlns:a="http://schemas.openxmlformats.org/drawingml/2006/main">
                <a:ext uri="{FF2B5EF4-FFF2-40B4-BE49-F238E27FC236}">
                  <a16:creationId xmlns:a16="http://schemas.microsoft.com/office/drawing/2014/main" id="{9271079A-4DE6-0D11-8093-5E3930B43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95B1886" w14:textId="77777777" w:rsidR="00A32EAF" w:rsidRDefault="00A32EAF" w:rsidP="00C6006F">
      <w:pPr>
        <w:pStyle w:val="ChartMainHeading"/>
      </w:pPr>
    </w:p>
    <w:p w14:paraId="43B9D16A" w14:textId="492DADA8" w:rsidR="008A082A" w:rsidRPr="003F6CCD" w:rsidRDefault="00D951DD" w:rsidP="00C6006F">
      <w:pPr>
        <w:pStyle w:val="ChartMainHeading"/>
      </w:pPr>
      <w:r w:rsidRPr="003F6CCD">
        <w:t xml:space="preserve">Figure 67: </w:t>
      </w:r>
      <w:r w:rsidR="008A082A" w:rsidRPr="003F6CCD" w:rsidDel="005C77E0">
        <w:t>In 2023</w:t>
      </w:r>
      <w:r w:rsidR="00AD4DCC" w:rsidDel="005C77E0">
        <w:noBreakHyphen/>
      </w:r>
      <w:r w:rsidR="008A082A" w:rsidRPr="003F6CCD" w:rsidDel="005C77E0">
        <w:t xml:space="preserve">24 </w:t>
      </w:r>
      <w:r w:rsidR="008A082A" w:rsidRPr="003F6CCD">
        <w:t>agency engagements in evaluation capability building specific to impact evaluation using experimental or quasi</w:t>
      </w:r>
      <w:r w:rsidR="00AD4DCC">
        <w:noBreakHyphen/>
      </w:r>
      <w:r w:rsidR="008A082A" w:rsidRPr="003F6CCD">
        <w:t>experimental designs (N:88)</w:t>
      </w:r>
    </w:p>
    <w:p w14:paraId="4AA39A5D" w14:textId="5FA711E4" w:rsidR="008A082A" w:rsidRDefault="008A082A" w:rsidP="00C6006F">
      <w:pPr>
        <w:pStyle w:val="ChartSecondHeading"/>
      </w:pPr>
      <w:r>
        <w:t xml:space="preserve">Q33: </w:t>
      </w:r>
      <w:r w:rsidRPr="00945E54">
        <w:t>In the 2023</w:t>
      </w:r>
      <w:r w:rsidR="00AD4DCC">
        <w:noBreakHyphen/>
      </w:r>
      <w:r w:rsidRPr="00945E54">
        <w:t>24 financial year, did your agency engage in any capability building specific to impact evaluation using experimental or quasi</w:t>
      </w:r>
      <w:r w:rsidR="00AD4DCC">
        <w:noBreakHyphen/>
      </w:r>
      <w:r w:rsidRPr="00945E54">
        <w:t>experimental designs?</w:t>
      </w:r>
    </w:p>
    <w:p w14:paraId="38A1954F" w14:textId="5B75C1BF" w:rsidR="00C6006F" w:rsidRDefault="008A082A" w:rsidP="00C6006F">
      <w:pPr>
        <w:pStyle w:val="ChartGraphic"/>
      </w:pPr>
      <w:r>
        <w:rPr>
          <w:noProof/>
        </w:rPr>
        <w:drawing>
          <wp:inline distT="0" distB="0" distL="0" distR="0" wp14:anchorId="70F0AEB7" wp14:editId="70ADAA9D">
            <wp:extent cx="4680000" cy="2880000"/>
            <wp:effectExtent l="0" t="0" r="0" b="0"/>
            <wp:docPr id="863483067" name="Chart 1" descr="Stacked bar chart showing the results for survey question 33. The y axis represents the size of entities and the total for all entities. The x-axis shows the percentage of 'Yes', 'Unsure' and 'No' responses, stacked to display the proportions for each size category and total.">
              <a:extLst xmlns:a="http://schemas.openxmlformats.org/drawingml/2006/main">
                <a:ext uri="{FF2B5EF4-FFF2-40B4-BE49-F238E27FC236}">
                  <a16:creationId xmlns:a16="http://schemas.microsoft.com/office/drawing/2014/main" id="{4705C681-1C3B-4F10-80FC-994246951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745C73B" w14:textId="77777777" w:rsidR="00C6006F" w:rsidRPr="00C6006F" w:rsidRDefault="00C6006F" w:rsidP="00C6006F">
      <w:pPr>
        <w:pStyle w:val="SingleParagraph"/>
      </w:pPr>
    </w:p>
    <w:p w14:paraId="35774AD6" w14:textId="77777777" w:rsidR="008A082A" w:rsidRDefault="008A082A" w:rsidP="008A082A">
      <w:pPr>
        <w:pStyle w:val="Heading3"/>
      </w:pPr>
      <w:bookmarkStart w:id="54" w:name="_Toc188272220"/>
      <w:r>
        <w:lastRenderedPageBreak/>
        <w:t>Additional support to embed the Commonwealth Evaluation Policy</w:t>
      </w:r>
      <w:bookmarkEnd w:id="54"/>
    </w:p>
    <w:p w14:paraId="3C7EB30F" w14:textId="12773740" w:rsidR="008A082A" w:rsidRPr="003F6CCD" w:rsidRDefault="00D951DD" w:rsidP="00881308">
      <w:pPr>
        <w:pStyle w:val="ChartMainHeading"/>
      </w:pPr>
      <w:r w:rsidRPr="003F6CCD">
        <w:t xml:space="preserve">Figure 68: </w:t>
      </w:r>
      <w:r w:rsidR="008A082A" w:rsidRPr="003F6CCD">
        <w:t xml:space="preserve">Additional activities or actions </w:t>
      </w:r>
      <w:r w:rsidR="005C77E0">
        <w:t xml:space="preserve">that </w:t>
      </w:r>
      <w:r w:rsidR="008A082A" w:rsidRPr="003F6CCD">
        <w:t>could be taken centrally that would help to support agencies to deliver on the policy intent of the Commonwealth Evaluation Policy (N:64)</w:t>
      </w:r>
    </w:p>
    <w:p w14:paraId="63A8180B" w14:textId="77777777" w:rsidR="008A082A" w:rsidRDefault="008A082A" w:rsidP="00C6006F">
      <w:pPr>
        <w:pStyle w:val="ChartSecondHeading"/>
      </w:pPr>
      <w:r>
        <w:t xml:space="preserve">Q34: </w:t>
      </w:r>
      <w:r w:rsidRPr="00C42B9B">
        <w:t>What additional activities or actions could be taken centrally that would help to support your agency to deliver on the policy intent of the Commonwealth Evaluation Policy?</w:t>
      </w:r>
    </w:p>
    <w:p w14:paraId="42AF56C8" w14:textId="77777777" w:rsidR="008A082A" w:rsidRDefault="008A082A" w:rsidP="00C6006F">
      <w:pPr>
        <w:pStyle w:val="ChartGraphic"/>
      </w:pPr>
      <w:r>
        <w:rPr>
          <w:noProof/>
        </w:rPr>
        <w:drawing>
          <wp:inline distT="0" distB="0" distL="0" distR="0" wp14:anchorId="26E2B59E" wp14:editId="517732C2">
            <wp:extent cx="4680000" cy="2520000"/>
            <wp:effectExtent l="0" t="0" r="0" b="0"/>
            <wp:docPr id="2006563537" name="Chart 1" descr="Bar chart showing the results for survey question 34. The y-axis lists suggested activities or actions, and the x-axis shows the percentage of entities that identified each suggestion. Detailed results are available in Appendix 5, Table 3.">
              <a:extLst xmlns:a="http://schemas.openxmlformats.org/drawingml/2006/main">
                <a:ext uri="{FF2B5EF4-FFF2-40B4-BE49-F238E27FC236}">
                  <a16:creationId xmlns:a16="http://schemas.microsoft.com/office/drawing/2014/main" id="{AFD17F4F-4110-4004-BE39-B1BA35799E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D71C7B1" w14:textId="77777777" w:rsidR="00A32EAF" w:rsidRDefault="00A32EAF" w:rsidP="00C6006F">
      <w:pPr>
        <w:pStyle w:val="ChartMainHeading"/>
      </w:pPr>
    </w:p>
    <w:p w14:paraId="5BA10900" w14:textId="1CF34F66" w:rsidR="008A082A" w:rsidRPr="00881308" w:rsidRDefault="00D951DD" w:rsidP="00C6006F">
      <w:pPr>
        <w:pStyle w:val="ChartMainHeading"/>
      </w:pPr>
      <w:r w:rsidRPr="00881308">
        <w:t xml:space="preserve">Figure 69: </w:t>
      </w:r>
      <w:r w:rsidR="008A082A" w:rsidRPr="00881308">
        <w:t>Areas where additional support from the Australian Centre of Evaluation would help agencies</w:t>
      </w:r>
      <w:r w:rsidR="008A082A" w:rsidRPr="00881308" w:rsidDel="0069284F">
        <w:t xml:space="preserve"> to</w:t>
      </w:r>
      <w:r w:rsidR="008A082A" w:rsidRPr="00881308">
        <w:t xml:space="preserve"> build evaluation capability and embed an enduring culture of evaluation across the Australian Government (N:66)</w:t>
      </w:r>
    </w:p>
    <w:p w14:paraId="4BE336BE" w14:textId="77777777" w:rsidR="008A082A" w:rsidRDefault="008A082A" w:rsidP="00C6006F">
      <w:pPr>
        <w:pStyle w:val="ChartSecondHeading"/>
      </w:pPr>
      <w:r>
        <w:t xml:space="preserve">Q38: </w:t>
      </w:r>
      <w:r w:rsidRPr="006F52CD">
        <w:t>Are there specific areas where additional support from the Australian Centre of Evaluation would help your agency to build evaluation capability and embed an enduring culture of evaluation across the Australian Government?</w:t>
      </w:r>
    </w:p>
    <w:p w14:paraId="67E66F2D" w14:textId="02586CDB" w:rsidR="000755C0" w:rsidRDefault="008A082A" w:rsidP="00C6006F">
      <w:pPr>
        <w:pStyle w:val="ChartGraphic"/>
      </w:pPr>
      <w:r>
        <w:rPr>
          <w:noProof/>
        </w:rPr>
        <w:drawing>
          <wp:inline distT="0" distB="0" distL="0" distR="0" wp14:anchorId="5454115C" wp14:editId="64E321B4">
            <wp:extent cx="4680000" cy="2520000"/>
            <wp:effectExtent l="0" t="0" r="0" b="0"/>
            <wp:docPr id="1912137393" name="Chart 1" descr="Bar chart showing the results for survey question 38. The y-axis lists areas of support, and the x-axis shows the percentage of entities that selected each area. Detailed results are available in Appendix 5, Table 3.">
              <a:extLst xmlns:a="http://schemas.openxmlformats.org/drawingml/2006/main">
                <a:ext uri="{FF2B5EF4-FFF2-40B4-BE49-F238E27FC236}">
                  <a16:creationId xmlns:a16="http://schemas.microsoft.com/office/drawing/2014/main" id="{749DDAAC-9112-44BC-8075-9540E523AA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sectPr w:rsidR="000755C0" w:rsidSect="0044523F">
      <w:headerReference w:type="even" r:id="rId94"/>
      <w:headerReference w:type="default" r:id="rId95"/>
      <w:footerReference w:type="even" r:id="rId96"/>
      <w:headerReference w:type="first" r:id="rId97"/>
      <w:footerReference w:type="first" r:id="rId98"/>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25A28" w14:textId="77777777" w:rsidR="00282C5F" w:rsidRDefault="00282C5F">
      <w:pPr>
        <w:spacing w:before="0" w:after="0"/>
      </w:pPr>
      <w:r>
        <w:separator/>
      </w:r>
    </w:p>
    <w:p w14:paraId="0E099E4E" w14:textId="77777777" w:rsidR="00282C5F" w:rsidRDefault="00282C5F"/>
  </w:endnote>
  <w:endnote w:type="continuationSeparator" w:id="0">
    <w:p w14:paraId="13883B41" w14:textId="77777777" w:rsidR="00282C5F" w:rsidRDefault="00282C5F">
      <w:pPr>
        <w:spacing w:before="0" w:after="0"/>
      </w:pPr>
      <w:r>
        <w:continuationSeparator/>
      </w:r>
    </w:p>
    <w:p w14:paraId="6C55E748" w14:textId="77777777" w:rsidR="00282C5F" w:rsidRDefault="00282C5F"/>
  </w:endnote>
  <w:endnote w:type="continuationNotice" w:id="1">
    <w:p w14:paraId="4A432F96" w14:textId="77777777" w:rsidR="00282C5F" w:rsidRDefault="00282C5F">
      <w:pPr>
        <w:spacing w:before="0" w:after="0"/>
      </w:pPr>
    </w:p>
    <w:p w14:paraId="0E856742" w14:textId="77777777" w:rsidR="00282C5F" w:rsidRDefault="00282C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45 Light">
    <w:altName w:val="Calibri"/>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C368" w14:textId="1A909907" w:rsidR="0044523F" w:rsidRDefault="0044523F" w:rsidP="00EE1447">
    <w:pPr>
      <w:pStyle w:val="FooterEven"/>
    </w:pPr>
    <w:r>
      <w:drawing>
        <wp:anchor distT="0" distB="0" distL="114300" distR="114300" simplePos="0" relativeHeight="251658265" behindDoc="1" locked="0" layoutInCell="1" allowOverlap="0" wp14:anchorId="620E76D9" wp14:editId="6340BC2D">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747376964" name="Picture 1747376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08329" name="Picture 5307083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001A6BA5">
      <w:fldChar w:fldCharType="begin"/>
    </w:r>
    <w:r w:rsidR="001A6BA5">
      <w:instrText>STYLEREF  "Heading 1"  \* MERGEFORMAT</w:instrText>
    </w:r>
    <w:r w:rsidR="001A6BA5">
      <w:fldChar w:fldCharType="end"/>
    </w:r>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3163" w14:textId="4CBBF63E" w:rsidR="0044523F" w:rsidRDefault="004452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8DF9" w14:textId="1A95AB88" w:rsidR="0044523F" w:rsidRDefault="0044523F" w:rsidP="00962ACF">
    <w:pPr>
      <w:pStyle w:val="FooterOdd"/>
    </w:pPr>
    <w:r>
      <w:rPr>
        <w:rStyle w:val="ui-provider"/>
      </w:rPr>
      <w:t>evaluation.treasury.gov.au</w:t>
    </w:r>
    <w:r>
      <w:tab/>
    </w:r>
    <w:r w:rsidR="0091321A">
      <w:fldChar w:fldCharType="begin"/>
    </w:r>
    <w:r w:rsidR="0091321A">
      <w:instrText>STYLEREF  "Heading 1"  \* MERGEFORMAT</w:instrText>
    </w:r>
    <w:r w:rsidR="0091321A">
      <w:rPr>
        <w:noProof/>
      </w:rPr>
      <w:fldChar w:fldCharType="end"/>
    </w:r>
    <w:r w:rsidR="0091321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B191" w14:textId="7C2232C7" w:rsidR="0044523F" w:rsidRDefault="0044523F" w:rsidP="00F615F5">
    <w:pPr>
      <w:pStyle w:val="FooterOdd"/>
    </w:pPr>
    <w:r>
      <w:rPr>
        <w:rStyle w:val="ui-provider"/>
      </w:rPr>
      <w:t>evaluation.treasury.gov.au</w:t>
    </w:r>
    <w:r>
      <w:tab/>
    </w:r>
    <w:r w:rsidR="00A71676">
      <w:fldChar w:fldCharType="begin"/>
    </w:r>
    <w:r w:rsidR="00A71676">
      <w:instrText>STYLEREF  "Heading 1"  \* MERGEFORMAT</w:instrText>
    </w:r>
    <w:r w:rsidR="00A71676">
      <w:rPr>
        <w:noProof/>
      </w:rPr>
      <w:fldChar w:fldCharType="end"/>
    </w:r>
    <w:r>
      <w:t xml:space="preserve"> | </w:t>
    </w:r>
    <w:r>
      <w:fldChar w:fldCharType="begin"/>
    </w:r>
    <w:r>
      <w:instrText xml:space="preserve"> PAGE   \* MERGEFORMAT </w:instrText>
    </w:r>
    <w:r>
      <w:fldChar w:fldCharType="separate"/>
    </w:r>
    <w:r>
      <w:t>1</w:t>
    </w:r>
    <w:r>
      <w:fldChar w:fldCharType="end"/>
    </w:r>
  </w:p>
  <w:p w14:paraId="0AB9CBA4" w14:textId="293905BA" w:rsidR="0044523F" w:rsidRDefault="004452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04972" w14:textId="5E096C68" w:rsidR="0044523F" w:rsidRDefault="0044523F" w:rsidP="00103F3C">
    <w:pPr>
      <w:pStyle w:val="FooterOdd"/>
    </w:pPr>
    <w:r>
      <w:rPr>
        <w:rStyle w:val="ui-provider"/>
      </w:rPr>
      <w:t>evaluation.treasury.gov.au</w:t>
    </w:r>
    <w:r>
      <w:tab/>
    </w:r>
    <w:r w:rsidR="00FC0B8F">
      <w:fldChar w:fldCharType="begin"/>
    </w:r>
    <w:r w:rsidR="00FC0B8F">
      <w:instrText>STYLEREF  "Heading 1"  \* MERGEFORMAT</w:instrText>
    </w:r>
    <w:r w:rsidR="00FC0B8F">
      <w:fldChar w:fldCharType="separate"/>
    </w:r>
    <w:r w:rsidR="00FC0B8F">
      <w:rPr>
        <w:noProof/>
      </w:rPr>
      <w:t>Evaluation evidence use</w:t>
    </w:r>
    <w:r w:rsidR="00FC0B8F">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2130" w14:textId="07FC47D8" w:rsidR="0044523F" w:rsidRDefault="004452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2DF8" w14:textId="40F75F66" w:rsidR="00672B5D" w:rsidRDefault="00672B5D" w:rsidP="00BC6E69">
    <w:pPr>
      <w:pStyle w:val="FooterEven"/>
      <w:jc w:val="both"/>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r w:rsidR="00FC0B8F">
      <w:fldChar w:fldCharType="begin"/>
    </w:r>
    <w:r w:rsidR="00FC0B8F">
      <w:instrText xml:space="preserve"> STYLEREF  "Heading 1"  \* MERGEFORMAT </w:instrText>
    </w:r>
    <w:r w:rsidR="00FC0B8F">
      <w:fldChar w:fldCharType="separate"/>
    </w:r>
    <w:r w:rsidR="000E5C41">
      <w:t>Evaluation evidence use</w:t>
    </w:r>
    <w:r w:rsidR="00FC0B8F">
      <w:fldChar w:fldCharType="end"/>
    </w:r>
    <w:r w:rsidR="007A182A" w:rsidRPr="007A182A">
      <w:t>u</w:t>
    </w:r>
  </w:p>
  <w:p w14:paraId="0DCD0CF1" w14:textId="77777777" w:rsidR="00773D71" w:rsidRDefault="00773D7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BC79" w14:textId="5A46EFA1" w:rsidR="00095D88" w:rsidRPr="00095D88" w:rsidRDefault="00095D88"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CA072" w14:textId="77777777" w:rsidR="00282C5F" w:rsidRPr="00ED5A20" w:rsidRDefault="00282C5F" w:rsidP="000F6233">
      <w:pPr>
        <w:rPr>
          <w:color w:val="4D7861" w:themeColor="accent2"/>
        </w:rPr>
      </w:pPr>
      <w:r w:rsidRPr="00ED5A20">
        <w:rPr>
          <w:color w:val="4D7861" w:themeColor="accent2"/>
        </w:rPr>
        <w:separator/>
      </w:r>
    </w:p>
    <w:p w14:paraId="7C43F759" w14:textId="77777777" w:rsidR="00282C5F" w:rsidRDefault="00282C5F"/>
  </w:footnote>
  <w:footnote w:type="continuationSeparator" w:id="0">
    <w:p w14:paraId="6348A7CA" w14:textId="77777777" w:rsidR="00282C5F" w:rsidRPr="00B737EB" w:rsidRDefault="00282C5F">
      <w:pPr>
        <w:spacing w:before="0" w:after="0"/>
        <w:rPr>
          <w:color w:val="2C384A" w:themeColor="accent1"/>
        </w:rPr>
      </w:pPr>
      <w:r w:rsidRPr="00B737EB">
        <w:rPr>
          <w:color w:val="2C384A" w:themeColor="accent1"/>
        </w:rPr>
        <w:continuationSeparator/>
      </w:r>
    </w:p>
    <w:p w14:paraId="7559D77B" w14:textId="77777777" w:rsidR="00282C5F" w:rsidRDefault="00282C5F"/>
  </w:footnote>
  <w:footnote w:type="continuationNotice" w:id="1">
    <w:p w14:paraId="7FD69F59" w14:textId="77777777" w:rsidR="00282C5F" w:rsidRDefault="00282C5F">
      <w:pPr>
        <w:spacing w:before="0" w:after="0"/>
      </w:pPr>
    </w:p>
    <w:p w14:paraId="67AC0A79" w14:textId="77777777" w:rsidR="00282C5F" w:rsidRDefault="00282C5F"/>
  </w:footnote>
  <w:footnote w:id="2">
    <w:p w14:paraId="0F8FDC33" w14:textId="16C89C14" w:rsidR="0044523F" w:rsidRDefault="00AD4DCC" w:rsidP="0044523F">
      <w:pPr>
        <w:pStyle w:val="FootnoteText"/>
      </w:pPr>
      <w:r w:rsidRPr="00AD4DCC">
        <w:rPr>
          <w:rStyle w:val="FootnoteReference"/>
        </w:rPr>
        <w:footnoteRef/>
      </w:r>
      <w:r w:rsidR="0044523F">
        <w:t xml:space="preserve"> The requirement to use robust evaluation to understand the long</w:t>
      </w:r>
      <w:r>
        <w:noBreakHyphen/>
      </w:r>
      <w:r w:rsidR="0044523F">
        <w:t xml:space="preserve">term impacts of what the APS does is enshrined in the APS Value of Stewardship – see </w:t>
      </w:r>
      <w:hyperlink r:id="rId1" w:history="1">
        <w:r w:rsidR="0044523F">
          <w:rPr>
            <w:rStyle w:val="Hyperlink"/>
          </w:rPr>
          <w:t>Stewardship guidance | Australian Public Service Commission</w:t>
        </w:r>
      </w:hyperlink>
      <w:r w:rsidR="0044523F">
        <w:t>, accessed 14 January 2025.</w:t>
      </w:r>
    </w:p>
  </w:footnote>
  <w:footnote w:id="3">
    <w:p w14:paraId="023FF5B8" w14:textId="010F015A" w:rsidR="0007140C" w:rsidRDefault="00AD4DCC">
      <w:pPr>
        <w:pStyle w:val="FootnoteText"/>
      </w:pPr>
      <w:r w:rsidRPr="00AD4DCC">
        <w:rPr>
          <w:rStyle w:val="FootnoteReference"/>
        </w:rPr>
        <w:footnoteRef/>
      </w:r>
      <w:r w:rsidR="00605562">
        <w:t xml:space="preserve"> Appendix 1 </w:t>
      </w:r>
      <w:r w:rsidR="00360963">
        <w:t>provides details of whole</w:t>
      </w:r>
      <w:r>
        <w:noBreakHyphen/>
      </w:r>
      <w:r w:rsidR="00360963">
        <w:t>of</w:t>
      </w:r>
      <w:r>
        <w:noBreakHyphen/>
      </w:r>
      <w:r w:rsidR="00360963">
        <w:t>government evaluation reforms implemented since 2019.</w:t>
      </w:r>
    </w:p>
  </w:footnote>
  <w:footnote w:id="4">
    <w:p w14:paraId="571AE413" w14:textId="4990314D" w:rsidR="0002542A" w:rsidRDefault="00AD4DCC" w:rsidP="0002542A">
      <w:pPr>
        <w:pStyle w:val="FootnoteText"/>
      </w:pPr>
      <w:r w:rsidRPr="00AD4DCC">
        <w:rPr>
          <w:rStyle w:val="FootnoteReference"/>
        </w:rPr>
        <w:footnoteRef/>
      </w:r>
      <w:r w:rsidR="0002542A">
        <w:t xml:space="preserve"> Estimated completion dates for some evaluations identified through the Stocktake were subject to human error. Bilateral engagement with entities will clarify any erroneous entries to ensure the validity of longitudinal reporting in future reports. </w:t>
      </w:r>
    </w:p>
  </w:footnote>
  <w:footnote w:id="5">
    <w:p w14:paraId="01878CA2" w14:textId="7F6F34D1" w:rsidR="002343DC" w:rsidRDefault="00AD4DCC">
      <w:pPr>
        <w:pStyle w:val="FootnoteText"/>
      </w:pPr>
      <w:r w:rsidRPr="00AD4DCC">
        <w:rPr>
          <w:rStyle w:val="FootnoteReference"/>
        </w:rPr>
        <w:footnoteRef/>
      </w:r>
      <w:r w:rsidR="002343DC">
        <w:t xml:space="preserve"> Stocktake input was analysed according to entity attributions about status and timeframes to establish consistent baseline information for evaluations completed in the 2023</w:t>
      </w:r>
      <w:r>
        <w:noBreakHyphen/>
      </w:r>
      <w:r w:rsidR="002343DC">
        <w:t>24 period.</w:t>
      </w:r>
    </w:p>
  </w:footnote>
  <w:footnote w:id="6">
    <w:p w14:paraId="3A7F1FD8" w14:textId="00DAAF73" w:rsidR="009F17C0" w:rsidRPr="009F17C0" w:rsidRDefault="00AD4DCC" w:rsidP="009F17C0">
      <w:pPr>
        <w:pStyle w:val="FootnoteText"/>
      </w:pPr>
      <w:r w:rsidRPr="00AD4DCC">
        <w:rPr>
          <w:rStyle w:val="FootnoteReference"/>
        </w:rPr>
        <w:footnoteRef/>
      </w:r>
      <w:r w:rsidR="00D70BEF">
        <w:t xml:space="preserve"> </w:t>
      </w:r>
      <w:r w:rsidR="00EF009C">
        <w:t xml:space="preserve">Data </w:t>
      </w:r>
      <w:r w:rsidR="009F17C0">
        <w:t xml:space="preserve">collection focussed on </w:t>
      </w:r>
      <w:r w:rsidR="00CA156B">
        <w:t>evaluation</w:t>
      </w:r>
      <w:r w:rsidR="00041C81">
        <w:t>s</w:t>
      </w:r>
      <w:r w:rsidR="00CA156B">
        <w:t xml:space="preserve"> in the 2023–24 </w:t>
      </w:r>
      <w:r w:rsidR="00D778DA">
        <w:t>period</w:t>
      </w:r>
      <w:r w:rsidR="009F17C0">
        <w:t>. It</w:t>
      </w:r>
      <w:r w:rsidR="00D778DA">
        <w:t xml:space="preserve"> </w:t>
      </w:r>
      <w:r w:rsidR="00F6358E">
        <w:t>involved entities self</w:t>
      </w:r>
      <w:r>
        <w:noBreakHyphen/>
      </w:r>
      <w:r w:rsidR="00F6358E">
        <w:t xml:space="preserve">reporting on </w:t>
      </w:r>
      <w:r w:rsidR="009F17C0">
        <w:t xml:space="preserve">the </w:t>
      </w:r>
      <w:r w:rsidR="00F6358E">
        <w:t xml:space="preserve">characteristics </w:t>
      </w:r>
      <w:r w:rsidR="009F17C0">
        <w:t xml:space="preserve">of each evaluation including </w:t>
      </w:r>
      <w:r w:rsidR="00F6358E">
        <w:t>status, delivery approach</w:t>
      </w:r>
      <w:r w:rsidR="009F17C0">
        <w:t xml:space="preserve"> and </w:t>
      </w:r>
      <w:r w:rsidR="00F6358E">
        <w:t>evaluation type</w:t>
      </w:r>
      <w:r w:rsidR="009F17C0">
        <w:t xml:space="preserve">. There was some variation in timeframes and status attributed to individual evaluations across entities. </w:t>
      </w:r>
      <w:r w:rsidR="006343CD">
        <w:t>D</w:t>
      </w:r>
      <w:r w:rsidR="009F17C0">
        <w:t>efinitional issues</w:t>
      </w:r>
      <w:r w:rsidR="006343CD">
        <w:t xml:space="preserve"> and</w:t>
      </w:r>
      <w:r w:rsidR="009F17C0">
        <w:t xml:space="preserve"> organisational norms influenc</w:t>
      </w:r>
      <w:r w:rsidR="00223531">
        <w:t xml:space="preserve">ed </w:t>
      </w:r>
      <w:r w:rsidR="009F17C0">
        <w:t>the status and characteristics attributed to evaluations</w:t>
      </w:r>
      <w:r w:rsidR="00223531">
        <w:t xml:space="preserve"> by entities</w:t>
      </w:r>
      <w:r w:rsidR="009F17C0">
        <w:t>.</w:t>
      </w:r>
      <w:r w:rsidR="00223531">
        <w:t xml:space="preserve"> </w:t>
      </w:r>
    </w:p>
  </w:footnote>
  <w:footnote w:id="7">
    <w:p w14:paraId="1CC35C10" w14:textId="28A022AF" w:rsidR="0080690D" w:rsidRPr="009F17C0" w:rsidRDefault="00AD4DCC" w:rsidP="0080690D">
      <w:pPr>
        <w:pStyle w:val="FootnoteText"/>
      </w:pPr>
      <w:r w:rsidRPr="00AD4DCC">
        <w:rPr>
          <w:rStyle w:val="FootnoteReference"/>
        </w:rPr>
        <w:footnoteRef/>
      </w:r>
      <w:r w:rsidR="0080690D">
        <w:t xml:space="preserve"> This figure excludes 212 evaluations with unspecified delivery approaches.</w:t>
      </w:r>
    </w:p>
  </w:footnote>
  <w:footnote w:id="8">
    <w:p w14:paraId="11A45792" w14:textId="23B02E99" w:rsidR="005A6736" w:rsidRDefault="00AD4DCC" w:rsidP="005A6736">
      <w:pPr>
        <w:pStyle w:val="FootnoteText"/>
      </w:pPr>
      <w:r w:rsidRPr="00AD4DCC">
        <w:rPr>
          <w:rStyle w:val="FootnoteReference"/>
        </w:rPr>
        <w:footnoteRef/>
      </w:r>
      <w:r w:rsidR="005A6736">
        <w:t xml:space="preserve"> These percentages represent total numbers for evaluation types specified in the Stocktake (n=</w:t>
      </w:r>
      <w:r w:rsidR="00D75F76" w:rsidRPr="006C4AC3">
        <w:t>650</w:t>
      </w:r>
      <w:r w:rsidR="005A673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9323" w14:textId="28671379" w:rsidR="0044523F" w:rsidRPr="00095D88" w:rsidRDefault="0044523F" w:rsidP="00095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2BB4" w14:textId="760B3E6F" w:rsidR="0044523F" w:rsidRPr="00095D88" w:rsidRDefault="0044523F"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30542" w14:textId="17997ADD" w:rsidR="0044523F" w:rsidRPr="00095D88" w:rsidRDefault="0044523F"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6B91" w14:textId="7A011BEE" w:rsidR="0044523F" w:rsidRDefault="004452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CF63" w14:textId="47649DA8" w:rsidR="0044523F" w:rsidRPr="00F60198" w:rsidRDefault="0044523F" w:rsidP="00A12F62">
    <w:pPr>
      <w:pStyle w:val="HeaderOdd"/>
    </w:pPr>
    <w:r w:rsidRPr="00F60198">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DFB7" w14:textId="27F6F012" w:rsidR="0044523F" w:rsidRDefault="004452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26538" w14:textId="43C2EC7A" w:rsidR="00672B5D" w:rsidRPr="00AC75E2" w:rsidRDefault="00AC75E2" w:rsidP="00AC75E2">
    <w:pPr>
      <w:pStyle w:val="HeaderEven"/>
    </w:pPr>
    <w:r>
      <w:rPr>
        <w:noProof/>
      </w:rPr>
      <w:drawing>
        <wp:anchor distT="0" distB="0" distL="114300" distR="114300" simplePos="0" relativeHeight="251658240" behindDoc="1" locked="1" layoutInCell="1" allowOverlap="1" wp14:anchorId="7D4F8131" wp14:editId="4A484ABE">
          <wp:simplePos x="0" y="0"/>
          <wp:positionH relativeFrom="page">
            <wp:posOffset>20955</wp:posOffset>
          </wp:positionH>
          <wp:positionV relativeFrom="page">
            <wp:posOffset>0</wp:posOffset>
          </wp:positionV>
          <wp:extent cx="7526020" cy="1043305"/>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6020" cy="1043305"/>
                  </a:xfrm>
                  <a:prstGeom prst="rect">
                    <a:avLst/>
                  </a:prstGeom>
                </pic:spPr>
              </pic:pic>
            </a:graphicData>
          </a:graphic>
          <wp14:sizeRelH relativeFrom="margin">
            <wp14:pctWidth>0</wp14:pctWidth>
          </wp14:sizeRelH>
          <wp14:sizeRelV relativeFrom="margin">
            <wp14:pctHeight>0</wp14:pctHeight>
          </wp14:sizeRelV>
        </wp:anchor>
      </w:drawing>
    </w:r>
    <w:r w:rsidR="008E24D2">
      <w:t xml:space="preserve"> </w:t>
    </w:r>
  </w:p>
  <w:p w14:paraId="14DB056B" w14:textId="77777777" w:rsidR="00773D71" w:rsidRDefault="00773D7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F82C" w14:textId="2B9D11DC" w:rsidR="00B0685D" w:rsidRDefault="00B0685D">
    <w:pPr>
      <w:pStyle w:val="Header"/>
    </w:pPr>
  </w:p>
  <w:p w14:paraId="144FE534" w14:textId="3D0E997F" w:rsidR="00773D71" w:rsidRDefault="00773D7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E0852" w14:textId="2AA8DFC3" w:rsidR="00095D88" w:rsidRPr="00095D88" w:rsidRDefault="00095D88" w:rsidP="0009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Logo&#10;&#10;Description automatically generated with medium confidence" style="width:105pt;height:16.5pt;visibility:visible;mso-wrap-style:squar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7E0F1E"/>
    <w:multiLevelType w:val="hybridMultilevel"/>
    <w:tmpl w:val="60D8C71C"/>
    <w:lvl w:ilvl="0" w:tplc="1C30C280">
      <w:start w:val="1"/>
      <w:numFmt w:val="bullet"/>
      <w:lvlText w:val="•"/>
      <w:lvlJc w:val="left"/>
      <w:pPr>
        <w:tabs>
          <w:tab w:val="num" w:pos="720"/>
        </w:tabs>
        <w:ind w:left="720" w:hanging="360"/>
      </w:pPr>
      <w:rPr>
        <w:rFonts w:ascii="Arial" w:hAnsi="Arial" w:hint="default"/>
      </w:rPr>
    </w:lvl>
    <w:lvl w:ilvl="1" w:tplc="419681A0">
      <w:start w:val="1"/>
      <w:numFmt w:val="bullet"/>
      <w:lvlText w:val="•"/>
      <w:lvlJc w:val="left"/>
      <w:pPr>
        <w:tabs>
          <w:tab w:val="num" w:pos="1440"/>
        </w:tabs>
        <w:ind w:left="1440" w:hanging="360"/>
      </w:pPr>
      <w:rPr>
        <w:rFonts w:ascii="Arial" w:hAnsi="Arial" w:hint="default"/>
      </w:rPr>
    </w:lvl>
    <w:lvl w:ilvl="2" w:tplc="569E6168" w:tentative="1">
      <w:start w:val="1"/>
      <w:numFmt w:val="bullet"/>
      <w:lvlText w:val="•"/>
      <w:lvlJc w:val="left"/>
      <w:pPr>
        <w:tabs>
          <w:tab w:val="num" w:pos="2160"/>
        </w:tabs>
        <w:ind w:left="2160" w:hanging="360"/>
      </w:pPr>
      <w:rPr>
        <w:rFonts w:ascii="Arial" w:hAnsi="Arial" w:hint="default"/>
      </w:rPr>
    </w:lvl>
    <w:lvl w:ilvl="3" w:tplc="46463BA0" w:tentative="1">
      <w:start w:val="1"/>
      <w:numFmt w:val="bullet"/>
      <w:lvlText w:val="•"/>
      <w:lvlJc w:val="left"/>
      <w:pPr>
        <w:tabs>
          <w:tab w:val="num" w:pos="2880"/>
        </w:tabs>
        <w:ind w:left="2880" w:hanging="360"/>
      </w:pPr>
      <w:rPr>
        <w:rFonts w:ascii="Arial" w:hAnsi="Arial" w:hint="default"/>
      </w:rPr>
    </w:lvl>
    <w:lvl w:ilvl="4" w:tplc="C7DA95BE" w:tentative="1">
      <w:start w:val="1"/>
      <w:numFmt w:val="bullet"/>
      <w:lvlText w:val="•"/>
      <w:lvlJc w:val="left"/>
      <w:pPr>
        <w:tabs>
          <w:tab w:val="num" w:pos="3600"/>
        </w:tabs>
        <w:ind w:left="3600" w:hanging="360"/>
      </w:pPr>
      <w:rPr>
        <w:rFonts w:ascii="Arial" w:hAnsi="Arial" w:hint="default"/>
      </w:rPr>
    </w:lvl>
    <w:lvl w:ilvl="5" w:tplc="2B6C54E8" w:tentative="1">
      <w:start w:val="1"/>
      <w:numFmt w:val="bullet"/>
      <w:lvlText w:val="•"/>
      <w:lvlJc w:val="left"/>
      <w:pPr>
        <w:tabs>
          <w:tab w:val="num" w:pos="4320"/>
        </w:tabs>
        <w:ind w:left="4320" w:hanging="360"/>
      </w:pPr>
      <w:rPr>
        <w:rFonts w:ascii="Arial" w:hAnsi="Arial" w:hint="default"/>
      </w:rPr>
    </w:lvl>
    <w:lvl w:ilvl="6" w:tplc="B3A0953A" w:tentative="1">
      <w:start w:val="1"/>
      <w:numFmt w:val="bullet"/>
      <w:lvlText w:val="•"/>
      <w:lvlJc w:val="left"/>
      <w:pPr>
        <w:tabs>
          <w:tab w:val="num" w:pos="5040"/>
        </w:tabs>
        <w:ind w:left="5040" w:hanging="360"/>
      </w:pPr>
      <w:rPr>
        <w:rFonts w:ascii="Arial" w:hAnsi="Arial" w:hint="default"/>
      </w:rPr>
    </w:lvl>
    <w:lvl w:ilvl="7" w:tplc="7892E1AC" w:tentative="1">
      <w:start w:val="1"/>
      <w:numFmt w:val="bullet"/>
      <w:lvlText w:val="•"/>
      <w:lvlJc w:val="left"/>
      <w:pPr>
        <w:tabs>
          <w:tab w:val="num" w:pos="5760"/>
        </w:tabs>
        <w:ind w:left="5760" w:hanging="360"/>
      </w:pPr>
      <w:rPr>
        <w:rFonts w:ascii="Arial" w:hAnsi="Arial" w:hint="default"/>
      </w:rPr>
    </w:lvl>
    <w:lvl w:ilvl="8" w:tplc="02F605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0C0FEA"/>
    <w:multiLevelType w:val="multilevel"/>
    <w:tmpl w:val="143A4AF6"/>
    <w:styleLink w:val="StyleBulletedSymbolsymbol11ptLeft4cmHanging05"/>
    <w:lvl w:ilvl="0">
      <w:start w:val="1"/>
      <w:numFmt w:val="bullet"/>
      <w:lvlText w:val=""/>
      <w:lvlJc w:val="left"/>
      <w:pPr>
        <w:tabs>
          <w:tab w:val="num" w:pos="340"/>
        </w:tabs>
        <w:ind w:left="340" w:hanging="340"/>
      </w:pPr>
      <w:rPr>
        <w:rFonts w:ascii="Calibri" w:hAnsi="Calibri"/>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ADD35AF"/>
    <w:multiLevelType w:val="hybridMultilevel"/>
    <w:tmpl w:val="DEF057C0"/>
    <w:lvl w:ilvl="0" w:tplc="23782A04">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207A5E"/>
    <w:multiLevelType w:val="hybridMultilevel"/>
    <w:tmpl w:val="654EE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1"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4"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0D1B8F"/>
    <w:multiLevelType w:val="hybridMultilevel"/>
    <w:tmpl w:val="C11268C8"/>
    <w:lvl w:ilvl="0" w:tplc="23782A04">
      <w:start w:val="1"/>
      <w:numFmt w:val="bullet"/>
      <w:lvlText w:val="•"/>
      <w:lvlJc w:val="left"/>
      <w:pPr>
        <w:tabs>
          <w:tab w:val="num" w:pos="720"/>
        </w:tabs>
        <w:ind w:left="720" w:hanging="360"/>
      </w:pPr>
      <w:rPr>
        <w:rFonts w:ascii="Arial" w:hAnsi="Arial" w:hint="default"/>
      </w:rPr>
    </w:lvl>
    <w:lvl w:ilvl="1" w:tplc="399EC1E8">
      <w:numFmt w:val="bullet"/>
      <w:lvlText w:val="–"/>
      <w:lvlJc w:val="left"/>
      <w:pPr>
        <w:tabs>
          <w:tab w:val="num" w:pos="1440"/>
        </w:tabs>
        <w:ind w:left="1440" w:hanging="360"/>
      </w:pPr>
      <w:rPr>
        <w:rFonts w:ascii="Calibri" w:hAnsi="Calibri" w:hint="default"/>
      </w:rPr>
    </w:lvl>
    <w:lvl w:ilvl="2" w:tplc="53044C90" w:tentative="1">
      <w:start w:val="1"/>
      <w:numFmt w:val="bullet"/>
      <w:lvlText w:val="•"/>
      <w:lvlJc w:val="left"/>
      <w:pPr>
        <w:tabs>
          <w:tab w:val="num" w:pos="2160"/>
        </w:tabs>
        <w:ind w:left="2160" w:hanging="360"/>
      </w:pPr>
      <w:rPr>
        <w:rFonts w:ascii="Arial" w:hAnsi="Arial" w:hint="default"/>
      </w:rPr>
    </w:lvl>
    <w:lvl w:ilvl="3" w:tplc="ABE614F2" w:tentative="1">
      <w:start w:val="1"/>
      <w:numFmt w:val="bullet"/>
      <w:lvlText w:val="•"/>
      <w:lvlJc w:val="left"/>
      <w:pPr>
        <w:tabs>
          <w:tab w:val="num" w:pos="2880"/>
        </w:tabs>
        <w:ind w:left="2880" w:hanging="360"/>
      </w:pPr>
      <w:rPr>
        <w:rFonts w:ascii="Arial" w:hAnsi="Arial" w:hint="default"/>
      </w:rPr>
    </w:lvl>
    <w:lvl w:ilvl="4" w:tplc="E32A5998" w:tentative="1">
      <w:start w:val="1"/>
      <w:numFmt w:val="bullet"/>
      <w:lvlText w:val="•"/>
      <w:lvlJc w:val="left"/>
      <w:pPr>
        <w:tabs>
          <w:tab w:val="num" w:pos="3600"/>
        </w:tabs>
        <w:ind w:left="3600" w:hanging="360"/>
      </w:pPr>
      <w:rPr>
        <w:rFonts w:ascii="Arial" w:hAnsi="Arial" w:hint="default"/>
      </w:rPr>
    </w:lvl>
    <w:lvl w:ilvl="5" w:tplc="7DE06B92" w:tentative="1">
      <w:start w:val="1"/>
      <w:numFmt w:val="bullet"/>
      <w:lvlText w:val="•"/>
      <w:lvlJc w:val="left"/>
      <w:pPr>
        <w:tabs>
          <w:tab w:val="num" w:pos="4320"/>
        </w:tabs>
        <w:ind w:left="4320" w:hanging="360"/>
      </w:pPr>
      <w:rPr>
        <w:rFonts w:ascii="Arial" w:hAnsi="Arial" w:hint="default"/>
      </w:rPr>
    </w:lvl>
    <w:lvl w:ilvl="6" w:tplc="3816F314" w:tentative="1">
      <w:start w:val="1"/>
      <w:numFmt w:val="bullet"/>
      <w:lvlText w:val="•"/>
      <w:lvlJc w:val="left"/>
      <w:pPr>
        <w:tabs>
          <w:tab w:val="num" w:pos="5040"/>
        </w:tabs>
        <w:ind w:left="5040" w:hanging="360"/>
      </w:pPr>
      <w:rPr>
        <w:rFonts w:ascii="Arial" w:hAnsi="Arial" w:hint="default"/>
      </w:rPr>
    </w:lvl>
    <w:lvl w:ilvl="7" w:tplc="FCCE09B2" w:tentative="1">
      <w:start w:val="1"/>
      <w:numFmt w:val="bullet"/>
      <w:lvlText w:val="•"/>
      <w:lvlJc w:val="left"/>
      <w:pPr>
        <w:tabs>
          <w:tab w:val="num" w:pos="5760"/>
        </w:tabs>
        <w:ind w:left="5760" w:hanging="360"/>
      </w:pPr>
      <w:rPr>
        <w:rFonts w:ascii="Arial" w:hAnsi="Arial" w:hint="default"/>
      </w:rPr>
    </w:lvl>
    <w:lvl w:ilvl="8" w:tplc="45F429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9" w15:restartNumberingAfterBreak="0">
    <w:nsid w:val="510D2021"/>
    <w:multiLevelType w:val="multilevel"/>
    <w:tmpl w:val="72F8140E"/>
    <w:numStyleLink w:val="OutlineList"/>
  </w:abstractNum>
  <w:abstractNum w:abstractNumId="20"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6BB7C74"/>
    <w:multiLevelType w:val="hybridMultilevel"/>
    <w:tmpl w:val="A84AA7FC"/>
    <w:lvl w:ilvl="0" w:tplc="381E2D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AF0AE5"/>
    <w:multiLevelType w:val="hybridMultilevel"/>
    <w:tmpl w:val="57A4ACD8"/>
    <w:lvl w:ilvl="0" w:tplc="381E2D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1F54BA"/>
    <w:multiLevelType w:val="hybridMultilevel"/>
    <w:tmpl w:val="C448A16A"/>
    <w:lvl w:ilvl="0" w:tplc="999C687C">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374622"/>
    <w:multiLevelType w:val="hybridMultilevel"/>
    <w:tmpl w:val="7A801EA8"/>
    <w:lvl w:ilvl="0" w:tplc="84B222D0">
      <w:start w:val="1"/>
      <w:numFmt w:val="bullet"/>
      <w:lvlText w:val="•"/>
      <w:lvlJc w:val="left"/>
      <w:pPr>
        <w:tabs>
          <w:tab w:val="num" w:pos="720"/>
        </w:tabs>
        <w:ind w:left="720" w:hanging="360"/>
      </w:pPr>
      <w:rPr>
        <w:rFonts w:ascii="Times New Roman" w:hAnsi="Times New Roman" w:hint="default"/>
      </w:rPr>
    </w:lvl>
    <w:lvl w:ilvl="1" w:tplc="F82C5280">
      <w:numFmt w:val="bullet"/>
      <w:lvlText w:val="–"/>
      <w:lvlJc w:val="left"/>
      <w:pPr>
        <w:tabs>
          <w:tab w:val="num" w:pos="1440"/>
        </w:tabs>
        <w:ind w:left="1440" w:hanging="360"/>
      </w:pPr>
      <w:rPr>
        <w:rFonts w:ascii="Calibri" w:hAnsi="Calibri" w:hint="default"/>
      </w:rPr>
    </w:lvl>
    <w:lvl w:ilvl="2" w:tplc="78A6FFC0" w:tentative="1">
      <w:start w:val="1"/>
      <w:numFmt w:val="bullet"/>
      <w:lvlText w:val="•"/>
      <w:lvlJc w:val="left"/>
      <w:pPr>
        <w:tabs>
          <w:tab w:val="num" w:pos="2160"/>
        </w:tabs>
        <w:ind w:left="2160" w:hanging="360"/>
      </w:pPr>
      <w:rPr>
        <w:rFonts w:ascii="Times New Roman" w:hAnsi="Times New Roman" w:hint="default"/>
      </w:rPr>
    </w:lvl>
    <w:lvl w:ilvl="3" w:tplc="EF58B4E0" w:tentative="1">
      <w:start w:val="1"/>
      <w:numFmt w:val="bullet"/>
      <w:lvlText w:val="•"/>
      <w:lvlJc w:val="left"/>
      <w:pPr>
        <w:tabs>
          <w:tab w:val="num" w:pos="2880"/>
        </w:tabs>
        <w:ind w:left="2880" w:hanging="360"/>
      </w:pPr>
      <w:rPr>
        <w:rFonts w:ascii="Times New Roman" w:hAnsi="Times New Roman" w:hint="default"/>
      </w:rPr>
    </w:lvl>
    <w:lvl w:ilvl="4" w:tplc="7064194A" w:tentative="1">
      <w:start w:val="1"/>
      <w:numFmt w:val="bullet"/>
      <w:lvlText w:val="•"/>
      <w:lvlJc w:val="left"/>
      <w:pPr>
        <w:tabs>
          <w:tab w:val="num" w:pos="3600"/>
        </w:tabs>
        <w:ind w:left="3600" w:hanging="360"/>
      </w:pPr>
      <w:rPr>
        <w:rFonts w:ascii="Times New Roman" w:hAnsi="Times New Roman" w:hint="default"/>
      </w:rPr>
    </w:lvl>
    <w:lvl w:ilvl="5" w:tplc="7EAE416C" w:tentative="1">
      <w:start w:val="1"/>
      <w:numFmt w:val="bullet"/>
      <w:lvlText w:val="•"/>
      <w:lvlJc w:val="left"/>
      <w:pPr>
        <w:tabs>
          <w:tab w:val="num" w:pos="4320"/>
        </w:tabs>
        <w:ind w:left="4320" w:hanging="360"/>
      </w:pPr>
      <w:rPr>
        <w:rFonts w:ascii="Times New Roman" w:hAnsi="Times New Roman" w:hint="default"/>
      </w:rPr>
    </w:lvl>
    <w:lvl w:ilvl="6" w:tplc="349213FC" w:tentative="1">
      <w:start w:val="1"/>
      <w:numFmt w:val="bullet"/>
      <w:lvlText w:val="•"/>
      <w:lvlJc w:val="left"/>
      <w:pPr>
        <w:tabs>
          <w:tab w:val="num" w:pos="5040"/>
        </w:tabs>
        <w:ind w:left="5040" w:hanging="360"/>
      </w:pPr>
      <w:rPr>
        <w:rFonts w:ascii="Times New Roman" w:hAnsi="Times New Roman" w:hint="default"/>
      </w:rPr>
    </w:lvl>
    <w:lvl w:ilvl="7" w:tplc="FFA4D632" w:tentative="1">
      <w:start w:val="1"/>
      <w:numFmt w:val="bullet"/>
      <w:lvlText w:val="•"/>
      <w:lvlJc w:val="left"/>
      <w:pPr>
        <w:tabs>
          <w:tab w:val="num" w:pos="5760"/>
        </w:tabs>
        <w:ind w:left="5760" w:hanging="360"/>
      </w:pPr>
      <w:rPr>
        <w:rFonts w:ascii="Times New Roman" w:hAnsi="Times New Roman" w:hint="default"/>
      </w:rPr>
    </w:lvl>
    <w:lvl w:ilvl="8" w:tplc="E2B4C94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7" w15:restartNumberingAfterBreak="0">
    <w:nsid w:val="77334467"/>
    <w:multiLevelType w:val="multilevel"/>
    <w:tmpl w:val="F37ECF38"/>
    <w:styleLink w:val="StyleBulletedSymbolsymbol11ptLeft4cmHanging051"/>
    <w:lvl w:ilvl="0">
      <w:start w:val="1"/>
      <w:numFmt w:val="bullet"/>
      <w:lvlText w:val=""/>
      <w:lvlJc w:val="left"/>
      <w:pPr>
        <w:tabs>
          <w:tab w:val="num" w:pos="340"/>
        </w:tabs>
        <w:ind w:left="340" w:hanging="34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1" w15:restartNumberingAfterBreak="0">
    <w:nsid w:val="7F2B5B31"/>
    <w:multiLevelType w:val="hybridMultilevel"/>
    <w:tmpl w:val="80687B64"/>
    <w:lvl w:ilvl="0" w:tplc="3E047284">
      <w:start w:val="1"/>
      <w:numFmt w:val="decimal"/>
      <w:lvlText w:val="%1."/>
      <w:lvlJc w:val="left"/>
      <w:pPr>
        <w:ind w:left="1020" w:hanging="360"/>
      </w:pPr>
    </w:lvl>
    <w:lvl w:ilvl="1" w:tplc="B03A2B88">
      <w:start w:val="1"/>
      <w:numFmt w:val="decimal"/>
      <w:lvlText w:val="%2."/>
      <w:lvlJc w:val="left"/>
      <w:pPr>
        <w:ind w:left="1020" w:hanging="360"/>
      </w:pPr>
    </w:lvl>
    <w:lvl w:ilvl="2" w:tplc="5A98DF8A">
      <w:start w:val="1"/>
      <w:numFmt w:val="decimal"/>
      <w:lvlText w:val="%3."/>
      <w:lvlJc w:val="left"/>
      <w:pPr>
        <w:ind w:left="1020" w:hanging="360"/>
      </w:pPr>
    </w:lvl>
    <w:lvl w:ilvl="3" w:tplc="53126D26">
      <w:start w:val="1"/>
      <w:numFmt w:val="decimal"/>
      <w:lvlText w:val="%4."/>
      <w:lvlJc w:val="left"/>
      <w:pPr>
        <w:ind w:left="1020" w:hanging="360"/>
      </w:pPr>
    </w:lvl>
    <w:lvl w:ilvl="4" w:tplc="AEA47DF4">
      <w:start w:val="1"/>
      <w:numFmt w:val="decimal"/>
      <w:lvlText w:val="%5."/>
      <w:lvlJc w:val="left"/>
      <w:pPr>
        <w:ind w:left="1020" w:hanging="360"/>
      </w:pPr>
    </w:lvl>
    <w:lvl w:ilvl="5" w:tplc="765E77DE">
      <w:start w:val="1"/>
      <w:numFmt w:val="decimal"/>
      <w:lvlText w:val="%6."/>
      <w:lvlJc w:val="left"/>
      <w:pPr>
        <w:ind w:left="1020" w:hanging="360"/>
      </w:pPr>
    </w:lvl>
    <w:lvl w:ilvl="6" w:tplc="EED4E932">
      <w:start w:val="1"/>
      <w:numFmt w:val="decimal"/>
      <w:lvlText w:val="%7."/>
      <w:lvlJc w:val="left"/>
      <w:pPr>
        <w:ind w:left="1020" w:hanging="360"/>
      </w:pPr>
    </w:lvl>
    <w:lvl w:ilvl="7" w:tplc="C5CCC296">
      <w:start w:val="1"/>
      <w:numFmt w:val="decimal"/>
      <w:lvlText w:val="%8."/>
      <w:lvlJc w:val="left"/>
      <w:pPr>
        <w:ind w:left="1020" w:hanging="360"/>
      </w:pPr>
    </w:lvl>
    <w:lvl w:ilvl="8" w:tplc="74AE9178">
      <w:start w:val="1"/>
      <w:numFmt w:val="decimal"/>
      <w:lvlText w:val="%9."/>
      <w:lvlJc w:val="left"/>
      <w:pPr>
        <w:ind w:left="1020" w:hanging="360"/>
      </w:pPr>
    </w:lvl>
  </w:abstractNum>
  <w:abstractNum w:abstractNumId="32"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3"/>
  </w:num>
  <w:num w:numId="2" w16cid:durableId="230386874">
    <w:abstractNumId w:val="0"/>
  </w:num>
  <w:num w:numId="3" w16cid:durableId="1716855291">
    <w:abstractNumId w:val="16"/>
  </w:num>
  <w:num w:numId="4" w16cid:durableId="797724066">
    <w:abstractNumId w:val="4"/>
  </w:num>
  <w:num w:numId="5" w16cid:durableId="306596971">
    <w:abstractNumId w:val="19"/>
  </w:num>
  <w:num w:numId="6" w16cid:durableId="1739129519">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043020558">
    <w:abstractNumId w:val="7"/>
  </w:num>
  <w:num w:numId="8" w16cid:durableId="832991063">
    <w:abstractNumId w:val="12"/>
  </w:num>
  <w:num w:numId="9" w16cid:durableId="143200778">
    <w:abstractNumId w:val="15"/>
  </w:num>
  <w:num w:numId="10" w16cid:durableId="1017973052">
    <w:abstractNumId w:val="5"/>
  </w:num>
  <w:num w:numId="11" w16cid:durableId="1534227257">
    <w:abstractNumId w:val="26"/>
  </w:num>
  <w:num w:numId="12" w16cid:durableId="2057466399">
    <w:abstractNumId w:val="22"/>
  </w:num>
  <w:num w:numId="13" w16cid:durableId="499664802">
    <w:abstractNumId w:val="21"/>
  </w:num>
  <w:num w:numId="14" w16cid:durableId="1564826536">
    <w:abstractNumId w:val="3"/>
  </w:num>
  <w:num w:numId="15" w16cid:durableId="205147155">
    <w:abstractNumId w:val="27"/>
  </w:num>
  <w:num w:numId="16" w16cid:durableId="1971085830">
    <w:abstractNumId w:val="24"/>
  </w:num>
  <w:num w:numId="17" w16cid:durableId="231426497">
    <w:abstractNumId w:val="1"/>
  </w:num>
  <w:num w:numId="18" w16cid:durableId="725103121">
    <w:abstractNumId w:val="31"/>
  </w:num>
  <w:num w:numId="19" w16cid:durableId="695547246">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5508863">
    <w:abstractNumId w:val="30"/>
  </w:num>
  <w:num w:numId="21" w16cid:durableId="1944146461">
    <w:abstractNumId w:val="17"/>
  </w:num>
  <w:num w:numId="22" w16cid:durableId="181747949">
    <w:abstractNumId w:val="25"/>
  </w:num>
  <w:num w:numId="23" w16cid:durableId="317655104">
    <w:abstractNumId w:val="9"/>
  </w:num>
  <w:num w:numId="24" w16cid:durableId="642807651">
    <w:abstractNumId w:val="8"/>
  </w:num>
  <w:num w:numId="25" w16cid:durableId="709110180">
    <w:abstractNumId w:val="6"/>
  </w:num>
  <w:num w:numId="26" w16cid:durableId="1591279926">
    <w:abstractNumId w:val="2"/>
  </w:num>
  <w:num w:numId="27" w16cid:durableId="1757362042">
    <w:abstractNumId w:val="32"/>
  </w:num>
  <w:num w:numId="28" w16cid:durableId="353965158">
    <w:abstractNumId w:val="18"/>
  </w:num>
  <w:num w:numId="29" w16cid:durableId="77220001">
    <w:abstractNumId w:val="11"/>
  </w:num>
  <w:num w:numId="30" w16cid:durableId="626086807">
    <w:abstractNumId w:val="23"/>
  </w:num>
  <w:num w:numId="31" w16cid:durableId="10540393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96955640">
    <w:abstractNumId w:val="14"/>
  </w:num>
  <w:num w:numId="33" w16cid:durableId="525217854">
    <w:abstractNumId w:val="20"/>
  </w:num>
  <w:num w:numId="34" w16cid:durableId="17107575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8618205">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attachedTemplate r:id="rId1"/>
  <w:linkStyle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44523F"/>
    <w:rsid w:val="000000A0"/>
    <w:rsid w:val="000005BC"/>
    <w:rsid w:val="000006C5"/>
    <w:rsid w:val="000007BA"/>
    <w:rsid w:val="000007D5"/>
    <w:rsid w:val="00000840"/>
    <w:rsid w:val="00000897"/>
    <w:rsid w:val="00000963"/>
    <w:rsid w:val="00000A50"/>
    <w:rsid w:val="00000BF5"/>
    <w:rsid w:val="00000CC5"/>
    <w:rsid w:val="00000FBE"/>
    <w:rsid w:val="00001023"/>
    <w:rsid w:val="0000182C"/>
    <w:rsid w:val="0000192E"/>
    <w:rsid w:val="000019B4"/>
    <w:rsid w:val="0000224F"/>
    <w:rsid w:val="00002296"/>
    <w:rsid w:val="00002341"/>
    <w:rsid w:val="00002452"/>
    <w:rsid w:val="0000254F"/>
    <w:rsid w:val="00002642"/>
    <w:rsid w:val="0000273C"/>
    <w:rsid w:val="000027EC"/>
    <w:rsid w:val="00002A29"/>
    <w:rsid w:val="00002AAF"/>
    <w:rsid w:val="00002B2F"/>
    <w:rsid w:val="00002C08"/>
    <w:rsid w:val="00002C4E"/>
    <w:rsid w:val="00002F55"/>
    <w:rsid w:val="0000305C"/>
    <w:rsid w:val="000032CE"/>
    <w:rsid w:val="000037AC"/>
    <w:rsid w:val="000037DC"/>
    <w:rsid w:val="00003B83"/>
    <w:rsid w:val="00003DDF"/>
    <w:rsid w:val="00004123"/>
    <w:rsid w:val="0000414F"/>
    <w:rsid w:val="000041B5"/>
    <w:rsid w:val="000042F2"/>
    <w:rsid w:val="0000459A"/>
    <w:rsid w:val="00004600"/>
    <w:rsid w:val="00004652"/>
    <w:rsid w:val="00004712"/>
    <w:rsid w:val="00004837"/>
    <w:rsid w:val="00004A2F"/>
    <w:rsid w:val="00004D76"/>
    <w:rsid w:val="00004DF5"/>
    <w:rsid w:val="00004E08"/>
    <w:rsid w:val="00004E6F"/>
    <w:rsid w:val="000050FA"/>
    <w:rsid w:val="0000519B"/>
    <w:rsid w:val="00005238"/>
    <w:rsid w:val="0000562C"/>
    <w:rsid w:val="0000575D"/>
    <w:rsid w:val="00005E12"/>
    <w:rsid w:val="00005FC3"/>
    <w:rsid w:val="00006373"/>
    <w:rsid w:val="000063FF"/>
    <w:rsid w:val="0000654F"/>
    <w:rsid w:val="000065A5"/>
    <w:rsid w:val="00006995"/>
    <w:rsid w:val="00006BCD"/>
    <w:rsid w:val="00006C1F"/>
    <w:rsid w:val="00006C27"/>
    <w:rsid w:val="00006C7E"/>
    <w:rsid w:val="00006FB3"/>
    <w:rsid w:val="00006FF2"/>
    <w:rsid w:val="0000749F"/>
    <w:rsid w:val="00007511"/>
    <w:rsid w:val="0000762F"/>
    <w:rsid w:val="000078D3"/>
    <w:rsid w:val="00007A08"/>
    <w:rsid w:val="00007B1A"/>
    <w:rsid w:val="00007C43"/>
    <w:rsid w:val="00007D46"/>
    <w:rsid w:val="00007D4E"/>
    <w:rsid w:val="00007F30"/>
    <w:rsid w:val="00007FAA"/>
    <w:rsid w:val="0001004F"/>
    <w:rsid w:val="00010088"/>
    <w:rsid w:val="000100ED"/>
    <w:rsid w:val="00010291"/>
    <w:rsid w:val="000105BB"/>
    <w:rsid w:val="000107F1"/>
    <w:rsid w:val="00010B01"/>
    <w:rsid w:val="00010DB1"/>
    <w:rsid w:val="00010FC1"/>
    <w:rsid w:val="00010FD9"/>
    <w:rsid w:val="0001102D"/>
    <w:rsid w:val="00011055"/>
    <w:rsid w:val="000111B5"/>
    <w:rsid w:val="0001152F"/>
    <w:rsid w:val="0001153A"/>
    <w:rsid w:val="00011619"/>
    <w:rsid w:val="00011725"/>
    <w:rsid w:val="000117CD"/>
    <w:rsid w:val="00011D47"/>
    <w:rsid w:val="00011E15"/>
    <w:rsid w:val="00011EA8"/>
    <w:rsid w:val="00011F0C"/>
    <w:rsid w:val="00011F74"/>
    <w:rsid w:val="00011F8D"/>
    <w:rsid w:val="00011FA1"/>
    <w:rsid w:val="00012099"/>
    <w:rsid w:val="000120E5"/>
    <w:rsid w:val="0001227A"/>
    <w:rsid w:val="0001233B"/>
    <w:rsid w:val="00012556"/>
    <w:rsid w:val="00012652"/>
    <w:rsid w:val="00012829"/>
    <w:rsid w:val="00012851"/>
    <w:rsid w:val="000129FD"/>
    <w:rsid w:val="00012A8A"/>
    <w:rsid w:val="00012B9D"/>
    <w:rsid w:val="00012C62"/>
    <w:rsid w:val="00013293"/>
    <w:rsid w:val="0001350A"/>
    <w:rsid w:val="0001358C"/>
    <w:rsid w:val="000135FE"/>
    <w:rsid w:val="0001379E"/>
    <w:rsid w:val="0001380A"/>
    <w:rsid w:val="0001382A"/>
    <w:rsid w:val="0001393C"/>
    <w:rsid w:val="0001396A"/>
    <w:rsid w:val="00013F70"/>
    <w:rsid w:val="0001421E"/>
    <w:rsid w:val="000145AA"/>
    <w:rsid w:val="0001463B"/>
    <w:rsid w:val="00014684"/>
    <w:rsid w:val="00014738"/>
    <w:rsid w:val="000147D0"/>
    <w:rsid w:val="00014A82"/>
    <w:rsid w:val="00014B2E"/>
    <w:rsid w:val="00014BEE"/>
    <w:rsid w:val="00014D12"/>
    <w:rsid w:val="00014FED"/>
    <w:rsid w:val="000151DE"/>
    <w:rsid w:val="00015244"/>
    <w:rsid w:val="00015414"/>
    <w:rsid w:val="00015518"/>
    <w:rsid w:val="000155A2"/>
    <w:rsid w:val="000158B8"/>
    <w:rsid w:val="000159AE"/>
    <w:rsid w:val="000159FF"/>
    <w:rsid w:val="00015A3C"/>
    <w:rsid w:val="00015C8E"/>
    <w:rsid w:val="00015CEC"/>
    <w:rsid w:val="00015F9C"/>
    <w:rsid w:val="00016327"/>
    <w:rsid w:val="000163F6"/>
    <w:rsid w:val="0001648C"/>
    <w:rsid w:val="000164B2"/>
    <w:rsid w:val="00016535"/>
    <w:rsid w:val="000166CC"/>
    <w:rsid w:val="00016864"/>
    <w:rsid w:val="0001693B"/>
    <w:rsid w:val="0001695B"/>
    <w:rsid w:val="00016B39"/>
    <w:rsid w:val="00016D3C"/>
    <w:rsid w:val="00016F41"/>
    <w:rsid w:val="00016F7F"/>
    <w:rsid w:val="000173BA"/>
    <w:rsid w:val="000173C4"/>
    <w:rsid w:val="000175BD"/>
    <w:rsid w:val="00017976"/>
    <w:rsid w:val="00017A2F"/>
    <w:rsid w:val="00017B78"/>
    <w:rsid w:val="00017D59"/>
    <w:rsid w:val="00017F46"/>
    <w:rsid w:val="000200CD"/>
    <w:rsid w:val="000201A8"/>
    <w:rsid w:val="0002021C"/>
    <w:rsid w:val="000202BE"/>
    <w:rsid w:val="00020360"/>
    <w:rsid w:val="0002053C"/>
    <w:rsid w:val="000206C0"/>
    <w:rsid w:val="0002093A"/>
    <w:rsid w:val="00020AE0"/>
    <w:rsid w:val="00020B3D"/>
    <w:rsid w:val="00020B4B"/>
    <w:rsid w:val="00020C2A"/>
    <w:rsid w:val="00020DC4"/>
    <w:rsid w:val="00020E3C"/>
    <w:rsid w:val="00021261"/>
    <w:rsid w:val="000213E0"/>
    <w:rsid w:val="0002169C"/>
    <w:rsid w:val="000216AF"/>
    <w:rsid w:val="000217BC"/>
    <w:rsid w:val="000217F6"/>
    <w:rsid w:val="00021925"/>
    <w:rsid w:val="00021935"/>
    <w:rsid w:val="000219FE"/>
    <w:rsid w:val="00021B25"/>
    <w:rsid w:val="00021E56"/>
    <w:rsid w:val="00021F0E"/>
    <w:rsid w:val="000224DD"/>
    <w:rsid w:val="000225F2"/>
    <w:rsid w:val="00022841"/>
    <w:rsid w:val="00022A29"/>
    <w:rsid w:val="00023018"/>
    <w:rsid w:val="00023060"/>
    <w:rsid w:val="0002330C"/>
    <w:rsid w:val="000234AC"/>
    <w:rsid w:val="000236E2"/>
    <w:rsid w:val="00023854"/>
    <w:rsid w:val="000238CA"/>
    <w:rsid w:val="00023922"/>
    <w:rsid w:val="00023B5B"/>
    <w:rsid w:val="00023CE2"/>
    <w:rsid w:val="00023D2D"/>
    <w:rsid w:val="00023D88"/>
    <w:rsid w:val="00024226"/>
    <w:rsid w:val="00024547"/>
    <w:rsid w:val="0002479E"/>
    <w:rsid w:val="0002480D"/>
    <w:rsid w:val="00024AF3"/>
    <w:rsid w:val="00024BC7"/>
    <w:rsid w:val="00024D43"/>
    <w:rsid w:val="00024E3C"/>
    <w:rsid w:val="00024E64"/>
    <w:rsid w:val="000250BB"/>
    <w:rsid w:val="00025179"/>
    <w:rsid w:val="00025261"/>
    <w:rsid w:val="00025362"/>
    <w:rsid w:val="00025374"/>
    <w:rsid w:val="0002542A"/>
    <w:rsid w:val="0002544D"/>
    <w:rsid w:val="0002590F"/>
    <w:rsid w:val="00025C05"/>
    <w:rsid w:val="00025F66"/>
    <w:rsid w:val="0002640C"/>
    <w:rsid w:val="000264D7"/>
    <w:rsid w:val="00026849"/>
    <w:rsid w:val="000268BA"/>
    <w:rsid w:val="00026EC2"/>
    <w:rsid w:val="00027070"/>
    <w:rsid w:val="000279BE"/>
    <w:rsid w:val="00027B33"/>
    <w:rsid w:val="00027B7A"/>
    <w:rsid w:val="00030029"/>
    <w:rsid w:val="0003004C"/>
    <w:rsid w:val="0003006C"/>
    <w:rsid w:val="00030232"/>
    <w:rsid w:val="0003024E"/>
    <w:rsid w:val="00030451"/>
    <w:rsid w:val="000304BE"/>
    <w:rsid w:val="0003057F"/>
    <w:rsid w:val="00030730"/>
    <w:rsid w:val="0003074F"/>
    <w:rsid w:val="00030C4D"/>
    <w:rsid w:val="00030F49"/>
    <w:rsid w:val="00030FE9"/>
    <w:rsid w:val="000311DA"/>
    <w:rsid w:val="000311F5"/>
    <w:rsid w:val="0003125C"/>
    <w:rsid w:val="00031589"/>
    <w:rsid w:val="000315F3"/>
    <w:rsid w:val="00031653"/>
    <w:rsid w:val="00031738"/>
    <w:rsid w:val="00031867"/>
    <w:rsid w:val="00031B2E"/>
    <w:rsid w:val="00031BCE"/>
    <w:rsid w:val="00031CCB"/>
    <w:rsid w:val="00031DDA"/>
    <w:rsid w:val="00031DF3"/>
    <w:rsid w:val="00031E4F"/>
    <w:rsid w:val="000320B1"/>
    <w:rsid w:val="00032413"/>
    <w:rsid w:val="0003281D"/>
    <w:rsid w:val="00032B1A"/>
    <w:rsid w:val="00032C74"/>
    <w:rsid w:val="00032CAE"/>
    <w:rsid w:val="00032E7B"/>
    <w:rsid w:val="00032FC9"/>
    <w:rsid w:val="000331F0"/>
    <w:rsid w:val="000332DE"/>
    <w:rsid w:val="00033607"/>
    <w:rsid w:val="00033824"/>
    <w:rsid w:val="00033A39"/>
    <w:rsid w:val="00033D22"/>
    <w:rsid w:val="00033D8F"/>
    <w:rsid w:val="00033DEB"/>
    <w:rsid w:val="00033E48"/>
    <w:rsid w:val="00033E9B"/>
    <w:rsid w:val="00034005"/>
    <w:rsid w:val="000340A5"/>
    <w:rsid w:val="00034165"/>
    <w:rsid w:val="0003416D"/>
    <w:rsid w:val="0003433C"/>
    <w:rsid w:val="000343AA"/>
    <w:rsid w:val="000344B7"/>
    <w:rsid w:val="00034A37"/>
    <w:rsid w:val="00034A72"/>
    <w:rsid w:val="00034FA6"/>
    <w:rsid w:val="000350BF"/>
    <w:rsid w:val="0003538B"/>
    <w:rsid w:val="00035444"/>
    <w:rsid w:val="000355A3"/>
    <w:rsid w:val="0003574E"/>
    <w:rsid w:val="000357D0"/>
    <w:rsid w:val="00035A13"/>
    <w:rsid w:val="00035DEA"/>
    <w:rsid w:val="00035FA2"/>
    <w:rsid w:val="0003621F"/>
    <w:rsid w:val="00036241"/>
    <w:rsid w:val="00036353"/>
    <w:rsid w:val="000363B1"/>
    <w:rsid w:val="0003657B"/>
    <w:rsid w:val="0003658A"/>
    <w:rsid w:val="0003669D"/>
    <w:rsid w:val="00036712"/>
    <w:rsid w:val="00036772"/>
    <w:rsid w:val="000367BC"/>
    <w:rsid w:val="000367F6"/>
    <w:rsid w:val="00036A5E"/>
    <w:rsid w:val="00036C2A"/>
    <w:rsid w:val="00036CC3"/>
    <w:rsid w:val="00036F6D"/>
    <w:rsid w:val="00037204"/>
    <w:rsid w:val="000372F3"/>
    <w:rsid w:val="00037306"/>
    <w:rsid w:val="000374F5"/>
    <w:rsid w:val="00037638"/>
    <w:rsid w:val="00037658"/>
    <w:rsid w:val="00037721"/>
    <w:rsid w:val="00037821"/>
    <w:rsid w:val="00037837"/>
    <w:rsid w:val="00037985"/>
    <w:rsid w:val="000379C8"/>
    <w:rsid w:val="00037A04"/>
    <w:rsid w:val="00037CE1"/>
    <w:rsid w:val="00040050"/>
    <w:rsid w:val="000400D6"/>
    <w:rsid w:val="00040129"/>
    <w:rsid w:val="000403D1"/>
    <w:rsid w:val="0004040C"/>
    <w:rsid w:val="00040433"/>
    <w:rsid w:val="0004049C"/>
    <w:rsid w:val="00040B7C"/>
    <w:rsid w:val="00040B93"/>
    <w:rsid w:val="00040C82"/>
    <w:rsid w:val="00040C8B"/>
    <w:rsid w:val="00040CB9"/>
    <w:rsid w:val="00040DD3"/>
    <w:rsid w:val="000410AA"/>
    <w:rsid w:val="0004115B"/>
    <w:rsid w:val="000411D4"/>
    <w:rsid w:val="0004141D"/>
    <w:rsid w:val="000415E3"/>
    <w:rsid w:val="00041658"/>
    <w:rsid w:val="00041757"/>
    <w:rsid w:val="00041769"/>
    <w:rsid w:val="000417A6"/>
    <w:rsid w:val="000418CB"/>
    <w:rsid w:val="00041C81"/>
    <w:rsid w:val="00041CB5"/>
    <w:rsid w:val="00041DBB"/>
    <w:rsid w:val="00041FD0"/>
    <w:rsid w:val="00042034"/>
    <w:rsid w:val="00042107"/>
    <w:rsid w:val="00042200"/>
    <w:rsid w:val="000423D5"/>
    <w:rsid w:val="0004274D"/>
    <w:rsid w:val="000427AD"/>
    <w:rsid w:val="0004289F"/>
    <w:rsid w:val="00042911"/>
    <w:rsid w:val="00042B32"/>
    <w:rsid w:val="00042CB5"/>
    <w:rsid w:val="00042F09"/>
    <w:rsid w:val="000431FC"/>
    <w:rsid w:val="00043210"/>
    <w:rsid w:val="00043348"/>
    <w:rsid w:val="00043503"/>
    <w:rsid w:val="00043527"/>
    <w:rsid w:val="0004356A"/>
    <w:rsid w:val="00043632"/>
    <w:rsid w:val="0004383E"/>
    <w:rsid w:val="00043BC5"/>
    <w:rsid w:val="00043E15"/>
    <w:rsid w:val="00043E9C"/>
    <w:rsid w:val="00044011"/>
    <w:rsid w:val="000444D0"/>
    <w:rsid w:val="00044648"/>
    <w:rsid w:val="000446C4"/>
    <w:rsid w:val="000446C9"/>
    <w:rsid w:val="0004483F"/>
    <w:rsid w:val="00044873"/>
    <w:rsid w:val="00044AAC"/>
    <w:rsid w:val="00044B03"/>
    <w:rsid w:val="00044B28"/>
    <w:rsid w:val="00045200"/>
    <w:rsid w:val="00045583"/>
    <w:rsid w:val="000455B8"/>
    <w:rsid w:val="000457A3"/>
    <w:rsid w:val="000457A8"/>
    <w:rsid w:val="00045A20"/>
    <w:rsid w:val="00045D2F"/>
    <w:rsid w:val="00045E65"/>
    <w:rsid w:val="00045ECB"/>
    <w:rsid w:val="00045EF8"/>
    <w:rsid w:val="00045F73"/>
    <w:rsid w:val="000462BD"/>
    <w:rsid w:val="00046510"/>
    <w:rsid w:val="0004655F"/>
    <w:rsid w:val="0004659A"/>
    <w:rsid w:val="0004660C"/>
    <w:rsid w:val="0004666F"/>
    <w:rsid w:val="00046840"/>
    <w:rsid w:val="00046CB4"/>
    <w:rsid w:val="00046FB5"/>
    <w:rsid w:val="00047019"/>
    <w:rsid w:val="0004705C"/>
    <w:rsid w:val="00047076"/>
    <w:rsid w:val="00047340"/>
    <w:rsid w:val="000474B2"/>
    <w:rsid w:val="00047537"/>
    <w:rsid w:val="000476F4"/>
    <w:rsid w:val="000478B8"/>
    <w:rsid w:val="00047900"/>
    <w:rsid w:val="00047905"/>
    <w:rsid w:val="0004795D"/>
    <w:rsid w:val="0004796D"/>
    <w:rsid w:val="00047B5E"/>
    <w:rsid w:val="00047C1D"/>
    <w:rsid w:val="00047C3B"/>
    <w:rsid w:val="00047DF1"/>
    <w:rsid w:val="00047F16"/>
    <w:rsid w:val="00047FAA"/>
    <w:rsid w:val="00050167"/>
    <w:rsid w:val="000503AE"/>
    <w:rsid w:val="00050433"/>
    <w:rsid w:val="00050563"/>
    <w:rsid w:val="000506FF"/>
    <w:rsid w:val="0005070A"/>
    <w:rsid w:val="000508C8"/>
    <w:rsid w:val="00050A34"/>
    <w:rsid w:val="00050BDD"/>
    <w:rsid w:val="00050F6B"/>
    <w:rsid w:val="00051061"/>
    <w:rsid w:val="00051088"/>
    <w:rsid w:val="0005110C"/>
    <w:rsid w:val="000512ED"/>
    <w:rsid w:val="0005138B"/>
    <w:rsid w:val="000513CC"/>
    <w:rsid w:val="000514A6"/>
    <w:rsid w:val="000515DD"/>
    <w:rsid w:val="0005160C"/>
    <w:rsid w:val="00051698"/>
    <w:rsid w:val="00051A59"/>
    <w:rsid w:val="00051DCB"/>
    <w:rsid w:val="00051DFC"/>
    <w:rsid w:val="0005216F"/>
    <w:rsid w:val="00052258"/>
    <w:rsid w:val="000522B7"/>
    <w:rsid w:val="000523CC"/>
    <w:rsid w:val="000524F9"/>
    <w:rsid w:val="0005265E"/>
    <w:rsid w:val="00052789"/>
    <w:rsid w:val="00052838"/>
    <w:rsid w:val="000529C9"/>
    <w:rsid w:val="00052B4B"/>
    <w:rsid w:val="00052F6A"/>
    <w:rsid w:val="00052F94"/>
    <w:rsid w:val="0005301A"/>
    <w:rsid w:val="00053022"/>
    <w:rsid w:val="0005306B"/>
    <w:rsid w:val="000531FD"/>
    <w:rsid w:val="00053284"/>
    <w:rsid w:val="000534A4"/>
    <w:rsid w:val="00053538"/>
    <w:rsid w:val="00053717"/>
    <w:rsid w:val="00053830"/>
    <w:rsid w:val="000538D0"/>
    <w:rsid w:val="000539A6"/>
    <w:rsid w:val="00053C43"/>
    <w:rsid w:val="00053CA4"/>
    <w:rsid w:val="00053E41"/>
    <w:rsid w:val="00053F49"/>
    <w:rsid w:val="0005401B"/>
    <w:rsid w:val="000542B2"/>
    <w:rsid w:val="00054320"/>
    <w:rsid w:val="00054527"/>
    <w:rsid w:val="000545B4"/>
    <w:rsid w:val="000545C3"/>
    <w:rsid w:val="00054621"/>
    <w:rsid w:val="00054670"/>
    <w:rsid w:val="00054680"/>
    <w:rsid w:val="00054709"/>
    <w:rsid w:val="00054A21"/>
    <w:rsid w:val="00054A3D"/>
    <w:rsid w:val="00054DEF"/>
    <w:rsid w:val="000551EB"/>
    <w:rsid w:val="0005531F"/>
    <w:rsid w:val="00055352"/>
    <w:rsid w:val="000554B9"/>
    <w:rsid w:val="000554BD"/>
    <w:rsid w:val="0005565B"/>
    <w:rsid w:val="0005568B"/>
    <w:rsid w:val="00055867"/>
    <w:rsid w:val="000558F1"/>
    <w:rsid w:val="00055940"/>
    <w:rsid w:val="00055E20"/>
    <w:rsid w:val="00055E37"/>
    <w:rsid w:val="00056010"/>
    <w:rsid w:val="00056015"/>
    <w:rsid w:val="00056089"/>
    <w:rsid w:val="000560A9"/>
    <w:rsid w:val="00056328"/>
    <w:rsid w:val="00056520"/>
    <w:rsid w:val="00056803"/>
    <w:rsid w:val="0005686C"/>
    <w:rsid w:val="00056880"/>
    <w:rsid w:val="00056898"/>
    <w:rsid w:val="000568F0"/>
    <w:rsid w:val="00056B04"/>
    <w:rsid w:val="00056D3D"/>
    <w:rsid w:val="00056ECF"/>
    <w:rsid w:val="00056F7E"/>
    <w:rsid w:val="00056F8D"/>
    <w:rsid w:val="00057016"/>
    <w:rsid w:val="000570B2"/>
    <w:rsid w:val="000570C7"/>
    <w:rsid w:val="00057131"/>
    <w:rsid w:val="00057354"/>
    <w:rsid w:val="0005749E"/>
    <w:rsid w:val="00057887"/>
    <w:rsid w:val="00057A9A"/>
    <w:rsid w:val="000600E5"/>
    <w:rsid w:val="00060146"/>
    <w:rsid w:val="000602E1"/>
    <w:rsid w:val="0006038C"/>
    <w:rsid w:val="0006057F"/>
    <w:rsid w:val="000605B5"/>
    <w:rsid w:val="000606B6"/>
    <w:rsid w:val="000607E3"/>
    <w:rsid w:val="000608DB"/>
    <w:rsid w:val="0006091E"/>
    <w:rsid w:val="00060B4B"/>
    <w:rsid w:val="00061003"/>
    <w:rsid w:val="0006106D"/>
    <w:rsid w:val="000610A2"/>
    <w:rsid w:val="000611BE"/>
    <w:rsid w:val="0006123D"/>
    <w:rsid w:val="00061306"/>
    <w:rsid w:val="00061383"/>
    <w:rsid w:val="0006138F"/>
    <w:rsid w:val="000613AA"/>
    <w:rsid w:val="000616F0"/>
    <w:rsid w:val="00061A56"/>
    <w:rsid w:val="00061A6F"/>
    <w:rsid w:val="00061C0D"/>
    <w:rsid w:val="000620F2"/>
    <w:rsid w:val="00062151"/>
    <w:rsid w:val="000621A3"/>
    <w:rsid w:val="000622A5"/>
    <w:rsid w:val="000623BF"/>
    <w:rsid w:val="00062446"/>
    <w:rsid w:val="000625B1"/>
    <w:rsid w:val="00062653"/>
    <w:rsid w:val="0006272B"/>
    <w:rsid w:val="00062818"/>
    <w:rsid w:val="0006284D"/>
    <w:rsid w:val="00062960"/>
    <w:rsid w:val="00062AA5"/>
    <w:rsid w:val="00062B7A"/>
    <w:rsid w:val="00062BF4"/>
    <w:rsid w:val="00063149"/>
    <w:rsid w:val="0006314C"/>
    <w:rsid w:val="0006343F"/>
    <w:rsid w:val="00063575"/>
    <w:rsid w:val="000635C0"/>
    <w:rsid w:val="000639F3"/>
    <w:rsid w:val="00063AC9"/>
    <w:rsid w:val="00063BF2"/>
    <w:rsid w:val="00063CC1"/>
    <w:rsid w:val="00063D28"/>
    <w:rsid w:val="00063DB6"/>
    <w:rsid w:val="00063F10"/>
    <w:rsid w:val="00063F51"/>
    <w:rsid w:val="00063FD0"/>
    <w:rsid w:val="0006401A"/>
    <w:rsid w:val="0006406B"/>
    <w:rsid w:val="000641D1"/>
    <w:rsid w:val="000641E4"/>
    <w:rsid w:val="000642AF"/>
    <w:rsid w:val="000643DC"/>
    <w:rsid w:val="0006444A"/>
    <w:rsid w:val="00064481"/>
    <w:rsid w:val="00064A00"/>
    <w:rsid w:val="00064B3E"/>
    <w:rsid w:val="00064B40"/>
    <w:rsid w:val="00064B94"/>
    <w:rsid w:val="00064D73"/>
    <w:rsid w:val="00064DC3"/>
    <w:rsid w:val="0006518B"/>
    <w:rsid w:val="00065578"/>
    <w:rsid w:val="000657AD"/>
    <w:rsid w:val="00065829"/>
    <w:rsid w:val="000659F5"/>
    <w:rsid w:val="00065B4C"/>
    <w:rsid w:val="00065C67"/>
    <w:rsid w:val="00065D0C"/>
    <w:rsid w:val="00065DE4"/>
    <w:rsid w:val="00065DFE"/>
    <w:rsid w:val="00066127"/>
    <w:rsid w:val="00066300"/>
    <w:rsid w:val="000665C3"/>
    <w:rsid w:val="00066687"/>
    <w:rsid w:val="00066766"/>
    <w:rsid w:val="000669A2"/>
    <w:rsid w:val="000669BE"/>
    <w:rsid w:val="00066CEA"/>
    <w:rsid w:val="00066D20"/>
    <w:rsid w:val="00066EFD"/>
    <w:rsid w:val="00067004"/>
    <w:rsid w:val="000671D7"/>
    <w:rsid w:val="000671FE"/>
    <w:rsid w:val="000675D1"/>
    <w:rsid w:val="00067745"/>
    <w:rsid w:val="000677EF"/>
    <w:rsid w:val="00067ACC"/>
    <w:rsid w:val="00067CDC"/>
    <w:rsid w:val="00067D4A"/>
    <w:rsid w:val="00067F56"/>
    <w:rsid w:val="000700B0"/>
    <w:rsid w:val="000700B3"/>
    <w:rsid w:val="00070170"/>
    <w:rsid w:val="00070352"/>
    <w:rsid w:val="0007053D"/>
    <w:rsid w:val="000706FC"/>
    <w:rsid w:val="00070766"/>
    <w:rsid w:val="000707E8"/>
    <w:rsid w:val="00070B2D"/>
    <w:rsid w:val="00070EA2"/>
    <w:rsid w:val="00070F47"/>
    <w:rsid w:val="00070FB3"/>
    <w:rsid w:val="000713AD"/>
    <w:rsid w:val="0007140C"/>
    <w:rsid w:val="00071427"/>
    <w:rsid w:val="000714B4"/>
    <w:rsid w:val="000714E7"/>
    <w:rsid w:val="000715EF"/>
    <w:rsid w:val="00071678"/>
    <w:rsid w:val="0007172A"/>
    <w:rsid w:val="00071A54"/>
    <w:rsid w:val="00071E1F"/>
    <w:rsid w:val="00072170"/>
    <w:rsid w:val="00072279"/>
    <w:rsid w:val="000724D7"/>
    <w:rsid w:val="00072720"/>
    <w:rsid w:val="000727C0"/>
    <w:rsid w:val="000729EF"/>
    <w:rsid w:val="00072E06"/>
    <w:rsid w:val="00073136"/>
    <w:rsid w:val="00073209"/>
    <w:rsid w:val="00073385"/>
    <w:rsid w:val="00073491"/>
    <w:rsid w:val="00073521"/>
    <w:rsid w:val="00073687"/>
    <w:rsid w:val="00073766"/>
    <w:rsid w:val="0007377F"/>
    <w:rsid w:val="000737C8"/>
    <w:rsid w:val="00073861"/>
    <w:rsid w:val="00073877"/>
    <w:rsid w:val="00073940"/>
    <w:rsid w:val="00073A13"/>
    <w:rsid w:val="00073DCB"/>
    <w:rsid w:val="00073FA6"/>
    <w:rsid w:val="00073FFA"/>
    <w:rsid w:val="00074053"/>
    <w:rsid w:val="000742C0"/>
    <w:rsid w:val="0007438A"/>
    <w:rsid w:val="000743D6"/>
    <w:rsid w:val="000745BF"/>
    <w:rsid w:val="00074759"/>
    <w:rsid w:val="0007494A"/>
    <w:rsid w:val="00074BF9"/>
    <w:rsid w:val="00074E2A"/>
    <w:rsid w:val="00074F33"/>
    <w:rsid w:val="00075388"/>
    <w:rsid w:val="000753F6"/>
    <w:rsid w:val="00075418"/>
    <w:rsid w:val="00075463"/>
    <w:rsid w:val="000755C0"/>
    <w:rsid w:val="00075660"/>
    <w:rsid w:val="00075713"/>
    <w:rsid w:val="00075744"/>
    <w:rsid w:val="00075A9A"/>
    <w:rsid w:val="00075B8A"/>
    <w:rsid w:val="00075CB0"/>
    <w:rsid w:val="00075FBC"/>
    <w:rsid w:val="000760AE"/>
    <w:rsid w:val="00076109"/>
    <w:rsid w:val="0007619C"/>
    <w:rsid w:val="000761A0"/>
    <w:rsid w:val="00076276"/>
    <w:rsid w:val="000762C7"/>
    <w:rsid w:val="0007640C"/>
    <w:rsid w:val="000764DC"/>
    <w:rsid w:val="00076505"/>
    <w:rsid w:val="000765EF"/>
    <w:rsid w:val="00076613"/>
    <w:rsid w:val="000766E6"/>
    <w:rsid w:val="0007677C"/>
    <w:rsid w:val="000769E6"/>
    <w:rsid w:val="00076A82"/>
    <w:rsid w:val="00076B0B"/>
    <w:rsid w:val="00076C22"/>
    <w:rsid w:val="00076CC5"/>
    <w:rsid w:val="00076DCA"/>
    <w:rsid w:val="00076ECB"/>
    <w:rsid w:val="00076ED7"/>
    <w:rsid w:val="00076FE6"/>
    <w:rsid w:val="00077223"/>
    <w:rsid w:val="00077251"/>
    <w:rsid w:val="00077490"/>
    <w:rsid w:val="000775DE"/>
    <w:rsid w:val="00077CAA"/>
    <w:rsid w:val="00077EA9"/>
    <w:rsid w:val="0008017F"/>
    <w:rsid w:val="00080347"/>
    <w:rsid w:val="0008066E"/>
    <w:rsid w:val="0008072E"/>
    <w:rsid w:val="000807DF"/>
    <w:rsid w:val="000809E2"/>
    <w:rsid w:val="00080C8A"/>
    <w:rsid w:val="00080F47"/>
    <w:rsid w:val="00080FA0"/>
    <w:rsid w:val="00080FD3"/>
    <w:rsid w:val="00081062"/>
    <w:rsid w:val="000812CE"/>
    <w:rsid w:val="000815B4"/>
    <w:rsid w:val="0008191A"/>
    <w:rsid w:val="00081A82"/>
    <w:rsid w:val="00081C76"/>
    <w:rsid w:val="00081D59"/>
    <w:rsid w:val="00081D6C"/>
    <w:rsid w:val="00081D84"/>
    <w:rsid w:val="00081FBF"/>
    <w:rsid w:val="0008231A"/>
    <w:rsid w:val="00082392"/>
    <w:rsid w:val="000823CD"/>
    <w:rsid w:val="00082523"/>
    <w:rsid w:val="0008261B"/>
    <w:rsid w:val="00082723"/>
    <w:rsid w:val="00082965"/>
    <w:rsid w:val="00082A70"/>
    <w:rsid w:val="00082C23"/>
    <w:rsid w:val="00082CCD"/>
    <w:rsid w:val="00083012"/>
    <w:rsid w:val="00083133"/>
    <w:rsid w:val="00083523"/>
    <w:rsid w:val="00083600"/>
    <w:rsid w:val="00083760"/>
    <w:rsid w:val="00083796"/>
    <w:rsid w:val="00083D6A"/>
    <w:rsid w:val="00083EC4"/>
    <w:rsid w:val="0008402E"/>
    <w:rsid w:val="000842C3"/>
    <w:rsid w:val="000844BC"/>
    <w:rsid w:val="000844E5"/>
    <w:rsid w:val="00084548"/>
    <w:rsid w:val="0008477D"/>
    <w:rsid w:val="000847D0"/>
    <w:rsid w:val="0008490B"/>
    <w:rsid w:val="00084976"/>
    <w:rsid w:val="00084B5B"/>
    <w:rsid w:val="00084BDF"/>
    <w:rsid w:val="00084D4D"/>
    <w:rsid w:val="00084D79"/>
    <w:rsid w:val="00084DF5"/>
    <w:rsid w:val="000850A4"/>
    <w:rsid w:val="00085330"/>
    <w:rsid w:val="000853C8"/>
    <w:rsid w:val="000853EA"/>
    <w:rsid w:val="000855A7"/>
    <w:rsid w:val="00085783"/>
    <w:rsid w:val="00085AA6"/>
    <w:rsid w:val="00085BE4"/>
    <w:rsid w:val="00085C08"/>
    <w:rsid w:val="0008600E"/>
    <w:rsid w:val="000860D3"/>
    <w:rsid w:val="000863BF"/>
    <w:rsid w:val="000863E3"/>
    <w:rsid w:val="000865E8"/>
    <w:rsid w:val="00086726"/>
    <w:rsid w:val="0008690D"/>
    <w:rsid w:val="00086A0A"/>
    <w:rsid w:val="00086B70"/>
    <w:rsid w:val="00086CDD"/>
    <w:rsid w:val="00086D1D"/>
    <w:rsid w:val="00086DC7"/>
    <w:rsid w:val="00086E84"/>
    <w:rsid w:val="00086F21"/>
    <w:rsid w:val="00087170"/>
    <w:rsid w:val="000872A3"/>
    <w:rsid w:val="0008744E"/>
    <w:rsid w:val="00087452"/>
    <w:rsid w:val="00087575"/>
    <w:rsid w:val="0008757F"/>
    <w:rsid w:val="000878E1"/>
    <w:rsid w:val="00087A44"/>
    <w:rsid w:val="00087B43"/>
    <w:rsid w:val="00087CBC"/>
    <w:rsid w:val="00087EE5"/>
    <w:rsid w:val="00087FAF"/>
    <w:rsid w:val="000900B6"/>
    <w:rsid w:val="0009033C"/>
    <w:rsid w:val="00090512"/>
    <w:rsid w:val="00090829"/>
    <w:rsid w:val="000909EC"/>
    <w:rsid w:val="00090AFA"/>
    <w:rsid w:val="00091077"/>
    <w:rsid w:val="0009122F"/>
    <w:rsid w:val="000913BB"/>
    <w:rsid w:val="000913CB"/>
    <w:rsid w:val="00091654"/>
    <w:rsid w:val="000917C1"/>
    <w:rsid w:val="00091811"/>
    <w:rsid w:val="000919F7"/>
    <w:rsid w:val="00091BA6"/>
    <w:rsid w:val="00091C3B"/>
    <w:rsid w:val="00091CA9"/>
    <w:rsid w:val="00091CF4"/>
    <w:rsid w:val="00091D4D"/>
    <w:rsid w:val="00091E1F"/>
    <w:rsid w:val="0009205A"/>
    <w:rsid w:val="0009205E"/>
    <w:rsid w:val="00092321"/>
    <w:rsid w:val="00092359"/>
    <w:rsid w:val="000925EF"/>
    <w:rsid w:val="00092638"/>
    <w:rsid w:val="00092661"/>
    <w:rsid w:val="0009280C"/>
    <w:rsid w:val="00092935"/>
    <w:rsid w:val="00092962"/>
    <w:rsid w:val="00092AB5"/>
    <w:rsid w:val="00092CA8"/>
    <w:rsid w:val="00092E8B"/>
    <w:rsid w:val="00092F1B"/>
    <w:rsid w:val="000932C8"/>
    <w:rsid w:val="0009340C"/>
    <w:rsid w:val="00093488"/>
    <w:rsid w:val="000935CF"/>
    <w:rsid w:val="00093686"/>
    <w:rsid w:val="00093788"/>
    <w:rsid w:val="000937C6"/>
    <w:rsid w:val="000939F1"/>
    <w:rsid w:val="00093B37"/>
    <w:rsid w:val="00093BAD"/>
    <w:rsid w:val="00093D76"/>
    <w:rsid w:val="000943D7"/>
    <w:rsid w:val="00094409"/>
    <w:rsid w:val="00094458"/>
    <w:rsid w:val="0009457C"/>
    <w:rsid w:val="000945B9"/>
    <w:rsid w:val="00094620"/>
    <w:rsid w:val="000946B4"/>
    <w:rsid w:val="00094A60"/>
    <w:rsid w:val="00094A99"/>
    <w:rsid w:val="00094C1A"/>
    <w:rsid w:val="00094EC8"/>
    <w:rsid w:val="00094F5B"/>
    <w:rsid w:val="00095256"/>
    <w:rsid w:val="00095264"/>
    <w:rsid w:val="0009541A"/>
    <w:rsid w:val="00095429"/>
    <w:rsid w:val="00095536"/>
    <w:rsid w:val="00095575"/>
    <w:rsid w:val="000957C9"/>
    <w:rsid w:val="00095D77"/>
    <w:rsid w:val="00095D88"/>
    <w:rsid w:val="00095E01"/>
    <w:rsid w:val="00095E53"/>
    <w:rsid w:val="00095EF6"/>
    <w:rsid w:val="00095F16"/>
    <w:rsid w:val="00095F96"/>
    <w:rsid w:val="00096055"/>
    <w:rsid w:val="000960A4"/>
    <w:rsid w:val="000960D4"/>
    <w:rsid w:val="0009624B"/>
    <w:rsid w:val="000963CF"/>
    <w:rsid w:val="0009641F"/>
    <w:rsid w:val="00096982"/>
    <w:rsid w:val="000969F9"/>
    <w:rsid w:val="00096A83"/>
    <w:rsid w:val="00096B80"/>
    <w:rsid w:val="00096E17"/>
    <w:rsid w:val="00096FAF"/>
    <w:rsid w:val="00097011"/>
    <w:rsid w:val="00097035"/>
    <w:rsid w:val="000970C0"/>
    <w:rsid w:val="000970D6"/>
    <w:rsid w:val="00097131"/>
    <w:rsid w:val="000971AC"/>
    <w:rsid w:val="0009725C"/>
    <w:rsid w:val="0009743C"/>
    <w:rsid w:val="00097498"/>
    <w:rsid w:val="0009757E"/>
    <w:rsid w:val="000975CC"/>
    <w:rsid w:val="000976FB"/>
    <w:rsid w:val="0009787C"/>
    <w:rsid w:val="0009795B"/>
    <w:rsid w:val="00097D50"/>
    <w:rsid w:val="00097EC1"/>
    <w:rsid w:val="00097F40"/>
    <w:rsid w:val="00097FA6"/>
    <w:rsid w:val="000A0052"/>
    <w:rsid w:val="000A0059"/>
    <w:rsid w:val="000A0249"/>
    <w:rsid w:val="000A02D6"/>
    <w:rsid w:val="000A0531"/>
    <w:rsid w:val="000A05CD"/>
    <w:rsid w:val="000A066E"/>
    <w:rsid w:val="000A0883"/>
    <w:rsid w:val="000A0918"/>
    <w:rsid w:val="000A0B67"/>
    <w:rsid w:val="000A0CB5"/>
    <w:rsid w:val="000A0D4C"/>
    <w:rsid w:val="000A0DCD"/>
    <w:rsid w:val="000A0DF2"/>
    <w:rsid w:val="000A0E28"/>
    <w:rsid w:val="000A0E56"/>
    <w:rsid w:val="000A118D"/>
    <w:rsid w:val="000A1229"/>
    <w:rsid w:val="000A1234"/>
    <w:rsid w:val="000A123A"/>
    <w:rsid w:val="000A126F"/>
    <w:rsid w:val="000A1524"/>
    <w:rsid w:val="000A1554"/>
    <w:rsid w:val="000A1568"/>
    <w:rsid w:val="000A165D"/>
    <w:rsid w:val="000A193C"/>
    <w:rsid w:val="000A1A25"/>
    <w:rsid w:val="000A1D5F"/>
    <w:rsid w:val="000A1DC9"/>
    <w:rsid w:val="000A2073"/>
    <w:rsid w:val="000A2111"/>
    <w:rsid w:val="000A21BD"/>
    <w:rsid w:val="000A24A7"/>
    <w:rsid w:val="000A2662"/>
    <w:rsid w:val="000A2712"/>
    <w:rsid w:val="000A2728"/>
    <w:rsid w:val="000A277E"/>
    <w:rsid w:val="000A28DC"/>
    <w:rsid w:val="000A2900"/>
    <w:rsid w:val="000A2F26"/>
    <w:rsid w:val="000A2F5E"/>
    <w:rsid w:val="000A304D"/>
    <w:rsid w:val="000A3500"/>
    <w:rsid w:val="000A388A"/>
    <w:rsid w:val="000A3A56"/>
    <w:rsid w:val="000A3B27"/>
    <w:rsid w:val="000A3EA4"/>
    <w:rsid w:val="000A44EA"/>
    <w:rsid w:val="000A46BE"/>
    <w:rsid w:val="000A47DF"/>
    <w:rsid w:val="000A4933"/>
    <w:rsid w:val="000A4A66"/>
    <w:rsid w:val="000A4C82"/>
    <w:rsid w:val="000A4CB7"/>
    <w:rsid w:val="000A4EE4"/>
    <w:rsid w:val="000A5029"/>
    <w:rsid w:val="000A50CF"/>
    <w:rsid w:val="000A518E"/>
    <w:rsid w:val="000A5253"/>
    <w:rsid w:val="000A53B1"/>
    <w:rsid w:val="000A54F2"/>
    <w:rsid w:val="000A5590"/>
    <w:rsid w:val="000A56DC"/>
    <w:rsid w:val="000A578E"/>
    <w:rsid w:val="000A5B94"/>
    <w:rsid w:val="000A5C29"/>
    <w:rsid w:val="000A5DDA"/>
    <w:rsid w:val="000A5FD1"/>
    <w:rsid w:val="000A61D4"/>
    <w:rsid w:val="000A6224"/>
    <w:rsid w:val="000A6270"/>
    <w:rsid w:val="000A62B3"/>
    <w:rsid w:val="000A62C5"/>
    <w:rsid w:val="000A6369"/>
    <w:rsid w:val="000A6506"/>
    <w:rsid w:val="000A6648"/>
    <w:rsid w:val="000A66A0"/>
    <w:rsid w:val="000A67D4"/>
    <w:rsid w:val="000A6877"/>
    <w:rsid w:val="000A6AA0"/>
    <w:rsid w:val="000A6AC1"/>
    <w:rsid w:val="000A6B01"/>
    <w:rsid w:val="000A7145"/>
    <w:rsid w:val="000A7158"/>
    <w:rsid w:val="000A7307"/>
    <w:rsid w:val="000A767A"/>
    <w:rsid w:val="000A7945"/>
    <w:rsid w:val="000A79B2"/>
    <w:rsid w:val="000A7BA4"/>
    <w:rsid w:val="000A7BD7"/>
    <w:rsid w:val="000A7BD9"/>
    <w:rsid w:val="000A7C19"/>
    <w:rsid w:val="000A7C73"/>
    <w:rsid w:val="000A7D2F"/>
    <w:rsid w:val="000A7F5A"/>
    <w:rsid w:val="000A7FEA"/>
    <w:rsid w:val="000A7FFB"/>
    <w:rsid w:val="000B0003"/>
    <w:rsid w:val="000B00C9"/>
    <w:rsid w:val="000B011F"/>
    <w:rsid w:val="000B0136"/>
    <w:rsid w:val="000B01B6"/>
    <w:rsid w:val="000B0206"/>
    <w:rsid w:val="000B033F"/>
    <w:rsid w:val="000B0505"/>
    <w:rsid w:val="000B054A"/>
    <w:rsid w:val="000B071F"/>
    <w:rsid w:val="000B07FF"/>
    <w:rsid w:val="000B0927"/>
    <w:rsid w:val="000B093F"/>
    <w:rsid w:val="000B0990"/>
    <w:rsid w:val="000B0E06"/>
    <w:rsid w:val="000B112F"/>
    <w:rsid w:val="000B1154"/>
    <w:rsid w:val="000B1397"/>
    <w:rsid w:val="000B153C"/>
    <w:rsid w:val="000B1728"/>
    <w:rsid w:val="000B189B"/>
    <w:rsid w:val="000B18C9"/>
    <w:rsid w:val="000B1D20"/>
    <w:rsid w:val="000B1EF0"/>
    <w:rsid w:val="000B206A"/>
    <w:rsid w:val="000B207F"/>
    <w:rsid w:val="000B20AD"/>
    <w:rsid w:val="000B220F"/>
    <w:rsid w:val="000B2273"/>
    <w:rsid w:val="000B24D9"/>
    <w:rsid w:val="000B264D"/>
    <w:rsid w:val="000B265F"/>
    <w:rsid w:val="000B275D"/>
    <w:rsid w:val="000B294C"/>
    <w:rsid w:val="000B2A53"/>
    <w:rsid w:val="000B2A78"/>
    <w:rsid w:val="000B2AF2"/>
    <w:rsid w:val="000B2B40"/>
    <w:rsid w:val="000B2D00"/>
    <w:rsid w:val="000B2E58"/>
    <w:rsid w:val="000B302A"/>
    <w:rsid w:val="000B31C8"/>
    <w:rsid w:val="000B31E4"/>
    <w:rsid w:val="000B36FD"/>
    <w:rsid w:val="000B3BCB"/>
    <w:rsid w:val="000B3C2A"/>
    <w:rsid w:val="000B3C4A"/>
    <w:rsid w:val="000B3EDD"/>
    <w:rsid w:val="000B4174"/>
    <w:rsid w:val="000B41A7"/>
    <w:rsid w:val="000B43A9"/>
    <w:rsid w:val="000B43C5"/>
    <w:rsid w:val="000B4629"/>
    <w:rsid w:val="000B4649"/>
    <w:rsid w:val="000B48B4"/>
    <w:rsid w:val="000B4CA6"/>
    <w:rsid w:val="000B4CD6"/>
    <w:rsid w:val="000B4D85"/>
    <w:rsid w:val="000B4FBC"/>
    <w:rsid w:val="000B502D"/>
    <w:rsid w:val="000B5084"/>
    <w:rsid w:val="000B529D"/>
    <w:rsid w:val="000B5467"/>
    <w:rsid w:val="000B5583"/>
    <w:rsid w:val="000B567F"/>
    <w:rsid w:val="000B56BA"/>
    <w:rsid w:val="000B56DD"/>
    <w:rsid w:val="000B5937"/>
    <w:rsid w:val="000B5A79"/>
    <w:rsid w:val="000B5C5F"/>
    <w:rsid w:val="000B5F3C"/>
    <w:rsid w:val="000B60B3"/>
    <w:rsid w:val="000B613C"/>
    <w:rsid w:val="000B6244"/>
    <w:rsid w:val="000B62F0"/>
    <w:rsid w:val="000B65FF"/>
    <w:rsid w:val="000B6A4A"/>
    <w:rsid w:val="000B6FA6"/>
    <w:rsid w:val="000B72F5"/>
    <w:rsid w:val="000B73EF"/>
    <w:rsid w:val="000B7419"/>
    <w:rsid w:val="000B7423"/>
    <w:rsid w:val="000B764B"/>
    <w:rsid w:val="000B766B"/>
    <w:rsid w:val="000B7740"/>
    <w:rsid w:val="000B7C43"/>
    <w:rsid w:val="000B7C48"/>
    <w:rsid w:val="000B7D83"/>
    <w:rsid w:val="000B7E30"/>
    <w:rsid w:val="000C0178"/>
    <w:rsid w:val="000C046A"/>
    <w:rsid w:val="000C046C"/>
    <w:rsid w:val="000C0531"/>
    <w:rsid w:val="000C06AC"/>
    <w:rsid w:val="000C06C7"/>
    <w:rsid w:val="000C0759"/>
    <w:rsid w:val="000C08E5"/>
    <w:rsid w:val="000C08EF"/>
    <w:rsid w:val="000C0D34"/>
    <w:rsid w:val="000C0F81"/>
    <w:rsid w:val="000C136B"/>
    <w:rsid w:val="000C1438"/>
    <w:rsid w:val="000C1456"/>
    <w:rsid w:val="000C1A69"/>
    <w:rsid w:val="000C1AC8"/>
    <w:rsid w:val="000C1B1B"/>
    <w:rsid w:val="000C1C77"/>
    <w:rsid w:val="000C1CE5"/>
    <w:rsid w:val="000C1D10"/>
    <w:rsid w:val="000C1D15"/>
    <w:rsid w:val="000C1EB1"/>
    <w:rsid w:val="000C2057"/>
    <w:rsid w:val="000C2195"/>
    <w:rsid w:val="000C2358"/>
    <w:rsid w:val="000C27B3"/>
    <w:rsid w:val="000C28A5"/>
    <w:rsid w:val="000C2965"/>
    <w:rsid w:val="000C29E0"/>
    <w:rsid w:val="000C2B80"/>
    <w:rsid w:val="000C2B85"/>
    <w:rsid w:val="000C2CFD"/>
    <w:rsid w:val="000C2E5A"/>
    <w:rsid w:val="000C2EF9"/>
    <w:rsid w:val="000C2F19"/>
    <w:rsid w:val="000C3325"/>
    <w:rsid w:val="000C3564"/>
    <w:rsid w:val="000C35B4"/>
    <w:rsid w:val="000C3603"/>
    <w:rsid w:val="000C364F"/>
    <w:rsid w:val="000C3A0B"/>
    <w:rsid w:val="000C3AEC"/>
    <w:rsid w:val="000C3B2A"/>
    <w:rsid w:val="000C3B57"/>
    <w:rsid w:val="000C3D92"/>
    <w:rsid w:val="000C3D9D"/>
    <w:rsid w:val="000C3DA6"/>
    <w:rsid w:val="000C3ECA"/>
    <w:rsid w:val="000C400B"/>
    <w:rsid w:val="000C409A"/>
    <w:rsid w:val="000C4145"/>
    <w:rsid w:val="000C414A"/>
    <w:rsid w:val="000C4159"/>
    <w:rsid w:val="000C4265"/>
    <w:rsid w:val="000C428F"/>
    <w:rsid w:val="000C4532"/>
    <w:rsid w:val="000C4552"/>
    <w:rsid w:val="000C45F4"/>
    <w:rsid w:val="000C471A"/>
    <w:rsid w:val="000C473B"/>
    <w:rsid w:val="000C47E4"/>
    <w:rsid w:val="000C499F"/>
    <w:rsid w:val="000C4A00"/>
    <w:rsid w:val="000C4AF8"/>
    <w:rsid w:val="000C4BFC"/>
    <w:rsid w:val="000C4D6F"/>
    <w:rsid w:val="000C4E26"/>
    <w:rsid w:val="000C4E5E"/>
    <w:rsid w:val="000C4E74"/>
    <w:rsid w:val="000C4EEF"/>
    <w:rsid w:val="000C4EF1"/>
    <w:rsid w:val="000C4F84"/>
    <w:rsid w:val="000C531A"/>
    <w:rsid w:val="000C5372"/>
    <w:rsid w:val="000C545C"/>
    <w:rsid w:val="000C5665"/>
    <w:rsid w:val="000C56F5"/>
    <w:rsid w:val="000C571D"/>
    <w:rsid w:val="000C5869"/>
    <w:rsid w:val="000C59B4"/>
    <w:rsid w:val="000C5A7E"/>
    <w:rsid w:val="000C5DC9"/>
    <w:rsid w:val="000C5F40"/>
    <w:rsid w:val="000C603D"/>
    <w:rsid w:val="000C61A9"/>
    <w:rsid w:val="000C66BE"/>
    <w:rsid w:val="000C675A"/>
    <w:rsid w:val="000C6820"/>
    <w:rsid w:val="000C6990"/>
    <w:rsid w:val="000C6A4D"/>
    <w:rsid w:val="000C6D8C"/>
    <w:rsid w:val="000C6E2F"/>
    <w:rsid w:val="000C6F0F"/>
    <w:rsid w:val="000C6F35"/>
    <w:rsid w:val="000C6FE3"/>
    <w:rsid w:val="000C71A6"/>
    <w:rsid w:val="000C757F"/>
    <w:rsid w:val="000C762D"/>
    <w:rsid w:val="000C76F2"/>
    <w:rsid w:val="000C77B4"/>
    <w:rsid w:val="000C7A41"/>
    <w:rsid w:val="000C7C79"/>
    <w:rsid w:val="000C7C91"/>
    <w:rsid w:val="000C7D66"/>
    <w:rsid w:val="000C7DF5"/>
    <w:rsid w:val="000D0296"/>
    <w:rsid w:val="000D035F"/>
    <w:rsid w:val="000D03A4"/>
    <w:rsid w:val="000D0422"/>
    <w:rsid w:val="000D0536"/>
    <w:rsid w:val="000D088A"/>
    <w:rsid w:val="000D08B2"/>
    <w:rsid w:val="000D08FE"/>
    <w:rsid w:val="000D096B"/>
    <w:rsid w:val="000D0B3B"/>
    <w:rsid w:val="000D0D5C"/>
    <w:rsid w:val="000D0E64"/>
    <w:rsid w:val="000D10A4"/>
    <w:rsid w:val="000D1360"/>
    <w:rsid w:val="000D1579"/>
    <w:rsid w:val="000D16ED"/>
    <w:rsid w:val="000D1BC4"/>
    <w:rsid w:val="000D1D0F"/>
    <w:rsid w:val="000D1E52"/>
    <w:rsid w:val="000D1FD2"/>
    <w:rsid w:val="000D2015"/>
    <w:rsid w:val="000D2381"/>
    <w:rsid w:val="000D24BD"/>
    <w:rsid w:val="000D24DA"/>
    <w:rsid w:val="000D25DC"/>
    <w:rsid w:val="000D285A"/>
    <w:rsid w:val="000D2990"/>
    <w:rsid w:val="000D2A3F"/>
    <w:rsid w:val="000D2BF1"/>
    <w:rsid w:val="000D2C53"/>
    <w:rsid w:val="000D2D57"/>
    <w:rsid w:val="000D2EB8"/>
    <w:rsid w:val="000D2F34"/>
    <w:rsid w:val="000D30B0"/>
    <w:rsid w:val="000D3174"/>
    <w:rsid w:val="000D3229"/>
    <w:rsid w:val="000D32C5"/>
    <w:rsid w:val="000D338A"/>
    <w:rsid w:val="000D354B"/>
    <w:rsid w:val="000D3687"/>
    <w:rsid w:val="000D3725"/>
    <w:rsid w:val="000D3809"/>
    <w:rsid w:val="000D3847"/>
    <w:rsid w:val="000D3A26"/>
    <w:rsid w:val="000D3CC3"/>
    <w:rsid w:val="000D3CDE"/>
    <w:rsid w:val="000D3CF7"/>
    <w:rsid w:val="000D3DDD"/>
    <w:rsid w:val="000D40E7"/>
    <w:rsid w:val="000D4732"/>
    <w:rsid w:val="000D4922"/>
    <w:rsid w:val="000D4B2E"/>
    <w:rsid w:val="000D4BB4"/>
    <w:rsid w:val="000D4CE7"/>
    <w:rsid w:val="000D4DF6"/>
    <w:rsid w:val="000D4E21"/>
    <w:rsid w:val="000D4E8F"/>
    <w:rsid w:val="000D4ED3"/>
    <w:rsid w:val="000D4F2E"/>
    <w:rsid w:val="000D5108"/>
    <w:rsid w:val="000D5212"/>
    <w:rsid w:val="000D53C6"/>
    <w:rsid w:val="000D5574"/>
    <w:rsid w:val="000D5675"/>
    <w:rsid w:val="000D5B06"/>
    <w:rsid w:val="000D5C8B"/>
    <w:rsid w:val="000D5D11"/>
    <w:rsid w:val="000D5DB0"/>
    <w:rsid w:val="000D5FC3"/>
    <w:rsid w:val="000D6016"/>
    <w:rsid w:val="000D60E6"/>
    <w:rsid w:val="000D6321"/>
    <w:rsid w:val="000D64B7"/>
    <w:rsid w:val="000D6684"/>
    <w:rsid w:val="000D67FD"/>
    <w:rsid w:val="000D6816"/>
    <w:rsid w:val="000D6AA2"/>
    <w:rsid w:val="000D6B5C"/>
    <w:rsid w:val="000D6BDB"/>
    <w:rsid w:val="000D6C90"/>
    <w:rsid w:val="000D7098"/>
    <w:rsid w:val="000D711F"/>
    <w:rsid w:val="000D71EF"/>
    <w:rsid w:val="000D72E7"/>
    <w:rsid w:val="000D74D5"/>
    <w:rsid w:val="000D7511"/>
    <w:rsid w:val="000D760A"/>
    <w:rsid w:val="000D781B"/>
    <w:rsid w:val="000D795F"/>
    <w:rsid w:val="000D7973"/>
    <w:rsid w:val="000D7B93"/>
    <w:rsid w:val="000E003B"/>
    <w:rsid w:val="000E0179"/>
    <w:rsid w:val="000E0269"/>
    <w:rsid w:val="000E03CE"/>
    <w:rsid w:val="000E041A"/>
    <w:rsid w:val="000E078E"/>
    <w:rsid w:val="000E0802"/>
    <w:rsid w:val="000E08AD"/>
    <w:rsid w:val="000E0B74"/>
    <w:rsid w:val="000E0B8A"/>
    <w:rsid w:val="000E0D00"/>
    <w:rsid w:val="000E0D2B"/>
    <w:rsid w:val="000E0DB8"/>
    <w:rsid w:val="000E0F61"/>
    <w:rsid w:val="000E1071"/>
    <w:rsid w:val="000E1165"/>
    <w:rsid w:val="000E1267"/>
    <w:rsid w:val="000E1458"/>
    <w:rsid w:val="000E1461"/>
    <w:rsid w:val="000E1489"/>
    <w:rsid w:val="000E151F"/>
    <w:rsid w:val="000E15C5"/>
    <w:rsid w:val="000E1641"/>
    <w:rsid w:val="000E164A"/>
    <w:rsid w:val="000E17B7"/>
    <w:rsid w:val="000E1A15"/>
    <w:rsid w:val="000E1CAD"/>
    <w:rsid w:val="000E1D8A"/>
    <w:rsid w:val="000E1DEC"/>
    <w:rsid w:val="000E1FB7"/>
    <w:rsid w:val="000E2049"/>
    <w:rsid w:val="000E2099"/>
    <w:rsid w:val="000E225D"/>
    <w:rsid w:val="000E22F5"/>
    <w:rsid w:val="000E232D"/>
    <w:rsid w:val="000E2551"/>
    <w:rsid w:val="000E2721"/>
    <w:rsid w:val="000E27B4"/>
    <w:rsid w:val="000E2CD0"/>
    <w:rsid w:val="000E2DAA"/>
    <w:rsid w:val="000E2EBA"/>
    <w:rsid w:val="000E304C"/>
    <w:rsid w:val="000E317D"/>
    <w:rsid w:val="000E33DF"/>
    <w:rsid w:val="000E3492"/>
    <w:rsid w:val="000E34B4"/>
    <w:rsid w:val="000E358E"/>
    <w:rsid w:val="000E3A0C"/>
    <w:rsid w:val="000E3CAE"/>
    <w:rsid w:val="000E3CD0"/>
    <w:rsid w:val="000E4167"/>
    <w:rsid w:val="000E417B"/>
    <w:rsid w:val="000E44E0"/>
    <w:rsid w:val="000E4A91"/>
    <w:rsid w:val="000E4BC7"/>
    <w:rsid w:val="000E4ED4"/>
    <w:rsid w:val="000E4F6B"/>
    <w:rsid w:val="000E51A6"/>
    <w:rsid w:val="000E51C6"/>
    <w:rsid w:val="000E5334"/>
    <w:rsid w:val="000E5391"/>
    <w:rsid w:val="000E5680"/>
    <w:rsid w:val="000E5B5C"/>
    <w:rsid w:val="000E5C41"/>
    <w:rsid w:val="000E5D86"/>
    <w:rsid w:val="000E5E2A"/>
    <w:rsid w:val="000E5EA3"/>
    <w:rsid w:val="000E5EB2"/>
    <w:rsid w:val="000E5EB4"/>
    <w:rsid w:val="000E5F43"/>
    <w:rsid w:val="000E5F95"/>
    <w:rsid w:val="000E6108"/>
    <w:rsid w:val="000E636B"/>
    <w:rsid w:val="000E656D"/>
    <w:rsid w:val="000E6588"/>
    <w:rsid w:val="000E667A"/>
    <w:rsid w:val="000E6886"/>
    <w:rsid w:val="000E68F8"/>
    <w:rsid w:val="000E6A60"/>
    <w:rsid w:val="000E6B02"/>
    <w:rsid w:val="000E6B6E"/>
    <w:rsid w:val="000E6C32"/>
    <w:rsid w:val="000E6ED1"/>
    <w:rsid w:val="000E6FBD"/>
    <w:rsid w:val="000E7286"/>
    <w:rsid w:val="000E7539"/>
    <w:rsid w:val="000E76C0"/>
    <w:rsid w:val="000E7775"/>
    <w:rsid w:val="000E7901"/>
    <w:rsid w:val="000E7919"/>
    <w:rsid w:val="000E7A6C"/>
    <w:rsid w:val="000E7B51"/>
    <w:rsid w:val="000E7CDE"/>
    <w:rsid w:val="000E7D36"/>
    <w:rsid w:val="000E7E49"/>
    <w:rsid w:val="000E7EA3"/>
    <w:rsid w:val="000E7F29"/>
    <w:rsid w:val="000F01B8"/>
    <w:rsid w:val="000F0254"/>
    <w:rsid w:val="000F02A9"/>
    <w:rsid w:val="000F0446"/>
    <w:rsid w:val="000F04B0"/>
    <w:rsid w:val="000F0506"/>
    <w:rsid w:val="000F0641"/>
    <w:rsid w:val="000F07C4"/>
    <w:rsid w:val="000F0831"/>
    <w:rsid w:val="000F08CF"/>
    <w:rsid w:val="000F08FA"/>
    <w:rsid w:val="000F091A"/>
    <w:rsid w:val="000F095F"/>
    <w:rsid w:val="000F0AC5"/>
    <w:rsid w:val="000F0CCC"/>
    <w:rsid w:val="000F0D29"/>
    <w:rsid w:val="000F0D94"/>
    <w:rsid w:val="000F0DCD"/>
    <w:rsid w:val="000F0DCF"/>
    <w:rsid w:val="000F0F2C"/>
    <w:rsid w:val="000F12B4"/>
    <w:rsid w:val="000F1370"/>
    <w:rsid w:val="000F13C1"/>
    <w:rsid w:val="000F1674"/>
    <w:rsid w:val="000F1DA9"/>
    <w:rsid w:val="000F1DDF"/>
    <w:rsid w:val="000F1E2E"/>
    <w:rsid w:val="000F1E99"/>
    <w:rsid w:val="000F20CB"/>
    <w:rsid w:val="000F2130"/>
    <w:rsid w:val="000F22D0"/>
    <w:rsid w:val="000F25BD"/>
    <w:rsid w:val="000F276F"/>
    <w:rsid w:val="000F2850"/>
    <w:rsid w:val="000F28EF"/>
    <w:rsid w:val="000F2982"/>
    <w:rsid w:val="000F2B3E"/>
    <w:rsid w:val="000F2BE5"/>
    <w:rsid w:val="000F2CDB"/>
    <w:rsid w:val="000F2EB1"/>
    <w:rsid w:val="000F2EE9"/>
    <w:rsid w:val="000F2FA5"/>
    <w:rsid w:val="000F3047"/>
    <w:rsid w:val="000F30B3"/>
    <w:rsid w:val="000F3118"/>
    <w:rsid w:val="000F31B3"/>
    <w:rsid w:val="000F34BD"/>
    <w:rsid w:val="000F36BD"/>
    <w:rsid w:val="000F3984"/>
    <w:rsid w:val="000F3B3C"/>
    <w:rsid w:val="000F421F"/>
    <w:rsid w:val="000F430D"/>
    <w:rsid w:val="000F455E"/>
    <w:rsid w:val="000F4582"/>
    <w:rsid w:val="000F45B9"/>
    <w:rsid w:val="000F46DD"/>
    <w:rsid w:val="000F47AA"/>
    <w:rsid w:val="000F47E0"/>
    <w:rsid w:val="000F48D2"/>
    <w:rsid w:val="000F48F5"/>
    <w:rsid w:val="000F4973"/>
    <w:rsid w:val="000F49A2"/>
    <w:rsid w:val="000F4CF3"/>
    <w:rsid w:val="000F4FD4"/>
    <w:rsid w:val="000F50E0"/>
    <w:rsid w:val="000F5131"/>
    <w:rsid w:val="000F516D"/>
    <w:rsid w:val="000F5170"/>
    <w:rsid w:val="000F5378"/>
    <w:rsid w:val="000F5379"/>
    <w:rsid w:val="000F55B6"/>
    <w:rsid w:val="000F56AE"/>
    <w:rsid w:val="000F57CC"/>
    <w:rsid w:val="000F594C"/>
    <w:rsid w:val="000F596D"/>
    <w:rsid w:val="000F59DC"/>
    <w:rsid w:val="000F5A25"/>
    <w:rsid w:val="000F5BD3"/>
    <w:rsid w:val="000F5CFC"/>
    <w:rsid w:val="000F5EA2"/>
    <w:rsid w:val="000F5EA6"/>
    <w:rsid w:val="000F5F14"/>
    <w:rsid w:val="000F5FED"/>
    <w:rsid w:val="000F6047"/>
    <w:rsid w:val="000F6229"/>
    <w:rsid w:val="000F6233"/>
    <w:rsid w:val="000F651F"/>
    <w:rsid w:val="000F67F7"/>
    <w:rsid w:val="000F6975"/>
    <w:rsid w:val="000F69D3"/>
    <w:rsid w:val="000F6E29"/>
    <w:rsid w:val="000F6EF7"/>
    <w:rsid w:val="000F7144"/>
    <w:rsid w:val="000F72CD"/>
    <w:rsid w:val="000F73D2"/>
    <w:rsid w:val="000F7723"/>
    <w:rsid w:val="000F7788"/>
    <w:rsid w:val="000F7BB2"/>
    <w:rsid w:val="000F7C37"/>
    <w:rsid w:val="000F7FA5"/>
    <w:rsid w:val="001000AD"/>
    <w:rsid w:val="001000DD"/>
    <w:rsid w:val="0010065A"/>
    <w:rsid w:val="001006B5"/>
    <w:rsid w:val="00100736"/>
    <w:rsid w:val="001008A0"/>
    <w:rsid w:val="001008E9"/>
    <w:rsid w:val="00100990"/>
    <w:rsid w:val="001009ED"/>
    <w:rsid w:val="00100A25"/>
    <w:rsid w:val="00100A77"/>
    <w:rsid w:val="00100E19"/>
    <w:rsid w:val="00100E55"/>
    <w:rsid w:val="00101028"/>
    <w:rsid w:val="0010103A"/>
    <w:rsid w:val="001012AE"/>
    <w:rsid w:val="00101391"/>
    <w:rsid w:val="001014E4"/>
    <w:rsid w:val="0010158E"/>
    <w:rsid w:val="00101617"/>
    <w:rsid w:val="00101664"/>
    <w:rsid w:val="0010167A"/>
    <w:rsid w:val="001017D1"/>
    <w:rsid w:val="00101B88"/>
    <w:rsid w:val="00101D8D"/>
    <w:rsid w:val="00101F4B"/>
    <w:rsid w:val="00101F92"/>
    <w:rsid w:val="00102095"/>
    <w:rsid w:val="0010216F"/>
    <w:rsid w:val="001022AA"/>
    <w:rsid w:val="0010256C"/>
    <w:rsid w:val="001027CD"/>
    <w:rsid w:val="0010296D"/>
    <w:rsid w:val="00102CC4"/>
    <w:rsid w:val="00103067"/>
    <w:rsid w:val="00103088"/>
    <w:rsid w:val="0010350A"/>
    <w:rsid w:val="001037E0"/>
    <w:rsid w:val="0010380A"/>
    <w:rsid w:val="00103860"/>
    <w:rsid w:val="00103947"/>
    <w:rsid w:val="00103B55"/>
    <w:rsid w:val="00103EDE"/>
    <w:rsid w:val="00103F24"/>
    <w:rsid w:val="00103F3C"/>
    <w:rsid w:val="00104143"/>
    <w:rsid w:val="001041E2"/>
    <w:rsid w:val="0010430C"/>
    <w:rsid w:val="00104482"/>
    <w:rsid w:val="00104563"/>
    <w:rsid w:val="001045A0"/>
    <w:rsid w:val="001047BB"/>
    <w:rsid w:val="00104B20"/>
    <w:rsid w:val="00104DD9"/>
    <w:rsid w:val="0010503B"/>
    <w:rsid w:val="0010508A"/>
    <w:rsid w:val="00105241"/>
    <w:rsid w:val="00105365"/>
    <w:rsid w:val="001053B2"/>
    <w:rsid w:val="001053F8"/>
    <w:rsid w:val="001053FD"/>
    <w:rsid w:val="001056ED"/>
    <w:rsid w:val="0010571A"/>
    <w:rsid w:val="001058F9"/>
    <w:rsid w:val="00105907"/>
    <w:rsid w:val="0010595B"/>
    <w:rsid w:val="001059D3"/>
    <w:rsid w:val="00105B6A"/>
    <w:rsid w:val="00105FAC"/>
    <w:rsid w:val="0010628A"/>
    <w:rsid w:val="001062D1"/>
    <w:rsid w:val="0010630D"/>
    <w:rsid w:val="001063D2"/>
    <w:rsid w:val="001063D9"/>
    <w:rsid w:val="00106693"/>
    <w:rsid w:val="001066E3"/>
    <w:rsid w:val="00106948"/>
    <w:rsid w:val="0010698E"/>
    <w:rsid w:val="00106C93"/>
    <w:rsid w:val="00106CD0"/>
    <w:rsid w:val="00106DF2"/>
    <w:rsid w:val="00106ED3"/>
    <w:rsid w:val="00106FA5"/>
    <w:rsid w:val="0010702A"/>
    <w:rsid w:val="0010703E"/>
    <w:rsid w:val="001071BE"/>
    <w:rsid w:val="00107336"/>
    <w:rsid w:val="00107389"/>
    <w:rsid w:val="001073AD"/>
    <w:rsid w:val="001073EC"/>
    <w:rsid w:val="0010767A"/>
    <w:rsid w:val="00107963"/>
    <w:rsid w:val="00107AE6"/>
    <w:rsid w:val="00107C13"/>
    <w:rsid w:val="00107D2F"/>
    <w:rsid w:val="00107D3D"/>
    <w:rsid w:val="00107D41"/>
    <w:rsid w:val="00107D54"/>
    <w:rsid w:val="00107D6C"/>
    <w:rsid w:val="00107FE5"/>
    <w:rsid w:val="0011029B"/>
    <w:rsid w:val="001105AE"/>
    <w:rsid w:val="001106BC"/>
    <w:rsid w:val="0011087C"/>
    <w:rsid w:val="00110A23"/>
    <w:rsid w:val="00110AA5"/>
    <w:rsid w:val="00110B0D"/>
    <w:rsid w:val="00110F10"/>
    <w:rsid w:val="00110F73"/>
    <w:rsid w:val="0011103B"/>
    <w:rsid w:val="0011105C"/>
    <w:rsid w:val="001110E9"/>
    <w:rsid w:val="001111BE"/>
    <w:rsid w:val="001113E0"/>
    <w:rsid w:val="0011155D"/>
    <w:rsid w:val="0011162B"/>
    <w:rsid w:val="0011164E"/>
    <w:rsid w:val="001116F4"/>
    <w:rsid w:val="0011181D"/>
    <w:rsid w:val="00111844"/>
    <w:rsid w:val="001118B4"/>
    <w:rsid w:val="001118CB"/>
    <w:rsid w:val="00111AB4"/>
    <w:rsid w:val="00111CFB"/>
    <w:rsid w:val="00111D1E"/>
    <w:rsid w:val="00111E23"/>
    <w:rsid w:val="00111E6F"/>
    <w:rsid w:val="00111FE3"/>
    <w:rsid w:val="001120C9"/>
    <w:rsid w:val="00112179"/>
    <w:rsid w:val="001122C9"/>
    <w:rsid w:val="001125AF"/>
    <w:rsid w:val="00112892"/>
    <w:rsid w:val="00112938"/>
    <w:rsid w:val="00112984"/>
    <w:rsid w:val="00112A54"/>
    <w:rsid w:val="00112A55"/>
    <w:rsid w:val="00112A5C"/>
    <w:rsid w:val="00112ADD"/>
    <w:rsid w:val="00112D84"/>
    <w:rsid w:val="00112FF2"/>
    <w:rsid w:val="0011307B"/>
    <w:rsid w:val="0011312C"/>
    <w:rsid w:val="00113170"/>
    <w:rsid w:val="00113301"/>
    <w:rsid w:val="001134BD"/>
    <w:rsid w:val="00113978"/>
    <w:rsid w:val="00113AD8"/>
    <w:rsid w:val="00113C91"/>
    <w:rsid w:val="00113D86"/>
    <w:rsid w:val="00113EFF"/>
    <w:rsid w:val="00113FFB"/>
    <w:rsid w:val="00113FFD"/>
    <w:rsid w:val="0011427F"/>
    <w:rsid w:val="001144A0"/>
    <w:rsid w:val="0011451E"/>
    <w:rsid w:val="001146CE"/>
    <w:rsid w:val="00114864"/>
    <w:rsid w:val="00114A77"/>
    <w:rsid w:val="00114B82"/>
    <w:rsid w:val="00114BA2"/>
    <w:rsid w:val="00114D34"/>
    <w:rsid w:val="00114E60"/>
    <w:rsid w:val="00114EF9"/>
    <w:rsid w:val="00114FF6"/>
    <w:rsid w:val="00115112"/>
    <w:rsid w:val="0011511F"/>
    <w:rsid w:val="00115229"/>
    <w:rsid w:val="00115347"/>
    <w:rsid w:val="00115677"/>
    <w:rsid w:val="0011576D"/>
    <w:rsid w:val="0011587E"/>
    <w:rsid w:val="001159AC"/>
    <w:rsid w:val="001159BC"/>
    <w:rsid w:val="00115A8D"/>
    <w:rsid w:val="00115BE5"/>
    <w:rsid w:val="00115CAD"/>
    <w:rsid w:val="00115CBA"/>
    <w:rsid w:val="00115DF8"/>
    <w:rsid w:val="00115EC7"/>
    <w:rsid w:val="00116072"/>
    <w:rsid w:val="001163AB"/>
    <w:rsid w:val="001165EA"/>
    <w:rsid w:val="001169A3"/>
    <w:rsid w:val="001169E5"/>
    <w:rsid w:val="00116AE1"/>
    <w:rsid w:val="00116B43"/>
    <w:rsid w:val="00116BDD"/>
    <w:rsid w:val="00116CFC"/>
    <w:rsid w:val="00116D65"/>
    <w:rsid w:val="00116E0F"/>
    <w:rsid w:val="001172CE"/>
    <w:rsid w:val="0011745A"/>
    <w:rsid w:val="00117492"/>
    <w:rsid w:val="0011775D"/>
    <w:rsid w:val="001179C0"/>
    <w:rsid w:val="00117B1E"/>
    <w:rsid w:val="00117D86"/>
    <w:rsid w:val="00117EAC"/>
    <w:rsid w:val="00117F00"/>
    <w:rsid w:val="00117F0C"/>
    <w:rsid w:val="00120002"/>
    <w:rsid w:val="0012003D"/>
    <w:rsid w:val="00120045"/>
    <w:rsid w:val="001200AB"/>
    <w:rsid w:val="001200D4"/>
    <w:rsid w:val="00120280"/>
    <w:rsid w:val="001206BC"/>
    <w:rsid w:val="00120766"/>
    <w:rsid w:val="00120797"/>
    <w:rsid w:val="00120C07"/>
    <w:rsid w:val="00120D47"/>
    <w:rsid w:val="00120D90"/>
    <w:rsid w:val="00120DFD"/>
    <w:rsid w:val="00120E14"/>
    <w:rsid w:val="00120F5A"/>
    <w:rsid w:val="001210E9"/>
    <w:rsid w:val="001218E1"/>
    <w:rsid w:val="00121903"/>
    <w:rsid w:val="001219CA"/>
    <w:rsid w:val="00121D3B"/>
    <w:rsid w:val="00121DBD"/>
    <w:rsid w:val="00121E53"/>
    <w:rsid w:val="00121E73"/>
    <w:rsid w:val="0012215C"/>
    <w:rsid w:val="0012229F"/>
    <w:rsid w:val="001222FD"/>
    <w:rsid w:val="00122435"/>
    <w:rsid w:val="001225C8"/>
    <w:rsid w:val="001226F7"/>
    <w:rsid w:val="001227BD"/>
    <w:rsid w:val="00122A82"/>
    <w:rsid w:val="00122DCE"/>
    <w:rsid w:val="00122EC1"/>
    <w:rsid w:val="00122EF5"/>
    <w:rsid w:val="00122F2B"/>
    <w:rsid w:val="001231D6"/>
    <w:rsid w:val="00123688"/>
    <w:rsid w:val="001236FD"/>
    <w:rsid w:val="0012396D"/>
    <w:rsid w:val="00123A2A"/>
    <w:rsid w:val="00123AA3"/>
    <w:rsid w:val="00123BAD"/>
    <w:rsid w:val="001240EE"/>
    <w:rsid w:val="00124333"/>
    <w:rsid w:val="00124376"/>
    <w:rsid w:val="00124402"/>
    <w:rsid w:val="0012450F"/>
    <w:rsid w:val="00124811"/>
    <w:rsid w:val="00124B3C"/>
    <w:rsid w:val="00124B47"/>
    <w:rsid w:val="00124E83"/>
    <w:rsid w:val="00124F41"/>
    <w:rsid w:val="0012503D"/>
    <w:rsid w:val="001253C4"/>
    <w:rsid w:val="001253F5"/>
    <w:rsid w:val="001255FE"/>
    <w:rsid w:val="00125813"/>
    <w:rsid w:val="00125938"/>
    <w:rsid w:val="00125BDB"/>
    <w:rsid w:val="00125D24"/>
    <w:rsid w:val="00125ECC"/>
    <w:rsid w:val="001262A9"/>
    <w:rsid w:val="00126401"/>
    <w:rsid w:val="0012657C"/>
    <w:rsid w:val="001265E6"/>
    <w:rsid w:val="00126906"/>
    <w:rsid w:val="00126AAC"/>
    <w:rsid w:val="00126DEE"/>
    <w:rsid w:val="00126E2D"/>
    <w:rsid w:val="00126E30"/>
    <w:rsid w:val="00126EB5"/>
    <w:rsid w:val="00126F15"/>
    <w:rsid w:val="0012711D"/>
    <w:rsid w:val="00127386"/>
    <w:rsid w:val="0012738D"/>
    <w:rsid w:val="00127457"/>
    <w:rsid w:val="001277C8"/>
    <w:rsid w:val="001278A4"/>
    <w:rsid w:val="00127C15"/>
    <w:rsid w:val="00127CA1"/>
    <w:rsid w:val="00127F6D"/>
    <w:rsid w:val="00127FD1"/>
    <w:rsid w:val="00127FE2"/>
    <w:rsid w:val="001302F5"/>
    <w:rsid w:val="00130387"/>
    <w:rsid w:val="001303C4"/>
    <w:rsid w:val="00130551"/>
    <w:rsid w:val="0013067D"/>
    <w:rsid w:val="001306EB"/>
    <w:rsid w:val="00130D4E"/>
    <w:rsid w:val="00130E4E"/>
    <w:rsid w:val="00130F4E"/>
    <w:rsid w:val="00131351"/>
    <w:rsid w:val="00131390"/>
    <w:rsid w:val="001319B0"/>
    <w:rsid w:val="00131B7A"/>
    <w:rsid w:val="00131DC3"/>
    <w:rsid w:val="00131E02"/>
    <w:rsid w:val="00131E0A"/>
    <w:rsid w:val="00131E23"/>
    <w:rsid w:val="00131E27"/>
    <w:rsid w:val="00131F20"/>
    <w:rsid w:val="00132180"/>
    <w:rsid w:val="001321C9"/>
    <w:rsid w:val="00132299"/>
    <w:rsid w:val="00132327"/>
    <w:rsid w:val="00132535"/>
    <w:rsid w:val="00132907"/>
    <w:rsid w:val="00132947"/>
    <w:rsid w:val="001329D9"/>
    <w:rsid w:val="00132B3C"/>
    <w:rsid w:val="00132B5A"/>
    <w:rsid w:val="00132BEA"/>
    <w:rsid w:val="00132CDA"/>
    <w:rsid w:val="001330D9"/>
    <w:rsid w:val="001337FB"/>
    <w:rsid w:val="0013399B"/>
    <w:rsid w:val="00133B00"/>
    <w:rsid w:val="00133B71"/>
    <w:rsid w:val="00133BAD"/>
    <w:rsid w:val="00133C0C"/>
    <w:rsid w:val="00133C65"/>
    <w:rsid w:val="00133EB8"/>
    <w:rsid w:val="00133EDC"/>
    <w:rsid w:val="00134202"/>
    <w:rsid w:val="0013434F"/>
    <w:rsid w:val="00134635"/>
    <w:rsid w:val="0013485E"/>
    <w:rsid w:val="00134B4F"/>
    <w:rsid w:val="00134B9D"/>
    <w:rsid w:val="00134BF8"/>
    <w:rsid w:val="00134FE8"/>
    <w:rsid w:val="00135405"/>
    <w:rsid w:val="00135528"/>
    <w:rsid w:val="001355C4"/>
    <w:rsid w:val="001356D0"/>
    <w:rsid w:val="00135A0D"/>
    <w:rsid w:val="00135C0A"/>
    <w:rsid w:val="00135E4C"/>
    <w:rsid w:val="00136007"/>
    <w:rsid w:val="001360AF"/>
    <w:rsid w:val="001361E2"/>
    <w:rsid w:val="0013622D"/>
    <w:rsid w:val="001363FE"/>
    <w:rsid w:val="00136478"/>
    <w:rsid w:val="00136640"/>
    <w:rsid w:val="00136942"/>
    <w:rsid w:val="001369F2"/>
    <w:rsid w:val="00136C53"/>
    <w:rsid w:val="00136C72"/>
    <w:rsid w:val="00136F43"/>
    <w:rsid w:val="001373F5"/>
    <w:rsid w:val="00137527"/>
    <w:rsid w:val="00137726"/>
    <w:rsid w:val="001377C8"/>
    <w:rsid w:val="00137842"/>
    <w:rsid w:val="001378EC"/>
    <w:rsid w:val="00137936"/>
    <w:rsid w:val="00137B4B"/>
    <w:rsid w:val="00137B5D"/>
    <w:rsid w:val="00137BAC"/>
    <w:rsid w:val="00137C29"/>
    <w:rsid w:val="00137D8F"/>
    <w:rsid w:val="00137F14"/>
    <w:rsid w:val="00137F70"/>
    <w:rsid w:val="00140039"/>
    <w:rsid w:val="00140208"/>
    <w:rsid w:val="0014030D"/>
    <w:rsid w:val="001403DE"/>
    <w:rsid w:val="00140533"/>
    <w:rsid w:val="00140644"/>
    <w:rsid w:val="001406DE"/>
    <w:rsid w:val="001406F3"/>
    <w:rsid w:val="00140748"/>
    <w:rsid w:val="001407D1"/>
    <w:rsid w:val="00140951"/>
    <w:rsid w:val="00140AA8"/>
    <w:rsid w:val="00140B5C"/>
    <w:rsid w:val="00140BAA"/>
    <w:rsid w:val="00140C26"/>
    <w:rsid w:val="0014107D"/>
    <w:rsid w:val="001411C9"/>
    <w:rsid w:val="001413C2"/>
    <w:rsid w:val="001414CE"/>
    <w:rsid w:val="0014163C"/>
    <w:rsid w:val="00141895"/>
    <w:rsid w:val="001418DE"/>
    <w:rsid w:val="00141943"/>
    <w:rsid w:val="00141A63"/>
    <w:rsid w:val="00141AC8"/>
    <w:rsid w:val="00141D78"/>
    <w:rsid w:val="00141E3A"/>
    <w:rsid w:val="00142112"/>
    <w:rsid w:val="0014219D"/>
    <w:rsid w:val="00142230"/>
    <w:rsid w:val="00142256"/>
    <w:rsid w:val="001423E7"/>
    <w:rsid w:val="00142898"/>
    <w:rsid w:val="001429E8"/>
    <w:rsid w:val="001430B5"/>
    <w:rsid w:val="001430C9"/>
    <w:rsid w:val="0014318E"/>
    <w:rsid w:val="001431DC"/>
    <w:rsid w:val="001433CF"/>
    <w:rsid w:val="001437A9"/>
    <w:rsid w:val="00143998"/>
    <w:rsid w:val="001439EF"/>
    <w:rsid w:val="00143A2A"/>
    <w:rsid w:val="00143AC8"/>
    <w:rsid w:val="00143B3A"/>
    <w:rsid w:val="00143C13"/>
    <w:rsid w:val="00143C41"/>
    <w:rsid w:val="00143C66"/>
    <w:rsid w:val="00143E5C"/>
    <w:rsid w:val="00143F11"/>
    <w:rsid w:val="001440D9"/>
    <w:rsid w:val="0014423F"/>
    <w:rsid w:val="00144473"/>
    <w:rsid w:val="0014454C"/>
    <w:rsid w:val="00144708"/>
    <w:rsid w:val="001447A8"/>
    <w:rsid w:val="001447B0"/>
    <w:rsid w:val="0014486E"/>
    <w:rsid w:val="00144E88"/>
    <w:rsid w:val="00144F68"/>
    <w:rsid w:val="00144F6B"/>
    <w:rsid w:val="0014540C"/>
    <w:rsid w:val="0014542C"/>
    <w:rsid w:val="00145554"/>
    <w:rsid w:val="00145819"/>
    <w:rsid w:val="0014581B"/>
    <w:rsid w:val="00145826"/>
    <w:rsid w:val="001459FD"/>
    <w:rsid w:val="00145A57"/>
    <w:rsid w:val="00145BA4"/>
    <w:rsid w:val="00145C21"/>
    <w:rsid w:val="00145D2E"/>
    <w:rsid w:val="00145EC1"/>
    <w:rsid w:val="00145F2A"/>
    <w:rsid w:val="00145F74"/>
    <w:rsid w:val="00145FF3"/>
    <w:rsid w:val="001461B6"/>
    <w:rsid w:val="00146434"/>
    <w:rsid w:val="0014663A"/>
    <w:rsid w:val="001466DD"/>
    <w:rsid w:val="001469C1"/>
    <w:rsid w:val="00146B54"/>
    <w:rsid w:val="00146DC0"/>
    <w:rsid w:val="00146F39"/>
    <w:rsid w:val="00146F6C"/>
    <w:rsid w:val="001470F7"/>
    <w:rsid w:val="0014715D"/>
    <w:rsid w:val="00147169"/>
    <w:rsid w:val="001471B1"/>
    <w:rsid w:val="00147224"/>
    <w:rsid w:val="00147374"/>
    <w:rsid w:val="001475A3"/>
    <w:rsid w:val="00147601"/>
    <w:rsid w:val="0014765A"/>
    <w:rsid w:val="001476B1"/>
    <w:rsid w:val="001476D3"/>
    <w:rsid w:val="0014775F"/>
    <w:rsid w:val="00147847"/>
    <w:rsid w:val="00147B7A"/>
    <w:rsid w:val="00147D22"/>
    <w:rsid w:val="00147D36"/>
    <w:rsid w:val="00147DA6"/>
    <w:rsid w:val="00147E76"/>
    <w:rsid w:val="00147E81"/>
    <w:rsid w:val="00147E86"/>
    <w:rsid w:val="001500CF"/>
    <w:rsid w:val="001501CA"/>
    <w:rsid w:val="00150286"/>
    <w:rsid w:val="001503E8"/>
    <w:rsid w:val="001508B1"/>
    <w:rsid w:val="001508BC"/>
    <w:rsid w:val="001509A5"/>
    <w:rsid w:val="00150A08"/>
    <w:rsid w:val="00150A51"/>
    <w:rsid w:val="00150C48"/>
    <w:rsid w:val="00150E4A"/>
    <w:rsid w:val="00150F07"/>
    <w:rsid w:val="00150FA7"/>
    <w:rsid w:val="0015122F"/>
    <w:rsid w:val="00151588"/>
    <w:rsid w:val="001515F2"/>
    <w:rsid w:val="00151789"/>
    <w:rsid w:val="001518EF"/>
    <w:rsid w:val="00151A43"/>
    <w:rsid w:val="00151D72"/>
    <w:rsid w:val="00151EFF"/>
    <w:rsid w:val="00151F3F"/>
    <w:rsid w:val="00151F99"/>
    <w:rsid w:val="00152039"/>
    <w:rsid w:val="001520A1"/>
    <w:rsid w:val="001524ED"/>
    <w:rsid w:val="00152782"/>
    <w:rsid w:val="0015285E"/>
    <w:rsid w:val="00152A28"/>
    <w:rsid w:val="00152CDA"/>
    <w:rsid w:val="00152D69"/>
    <w:rsid w:val="00152E8B"/>
    <w:rsid w:val="00152F6F"/>
    <w:rsid w:val="00152F84"/>
    <w:rsid w:val="001530EC"/>
    <w:rsid w:val="00153101"/>
    <w:rsid w:val="001534E7"/>
    <w:rsid w:val="00153529"/>
    <w:rsid w:val="00153532"/>
    <w:rsid w:val="0015355B"/>
    <w:rsid w:val="001537A6"/>
    <w:rsid w:val="001539E4"/>
    <w:rsid w:val="00153E54"/>
    <w:rsid w:val="001542B8"/>
    <w:rsid w:val="001543C4"/>
    <w:rsid w:val="00154466"/>
    <w:rsid w:val="00154527"/>
    <w:rsid w:val="0015461B"/>
    <w:rsid w:val="00154639"/>
    <w:rsid w:val="001548AA"/>
    <w:rsid w:val="00154926"/>
    <w:rsid w:val="00154B45"/>
    <w:rsid w:val="001550E7"/>
    <w:rsid w:val="00155254"/>
    <w:rsid w:val="0015537B"/>
    <w:rsid w:val="001553C2"/>
    <w:rsid w:val="0015551F"/>
    <w:rsid w:val="001555BB"/>
    <w:rsid w:val="001556A4"/>
    <w:rsid w:val="00155786"/>
    <w:rsid w:val="00155A43"/>
    <w:rsid w:val="00155A88"/>
    <w:rsid w:val="00155B7A"/>
    <w:rsid w:val="00156747"/>
    <w:rsid w:val="001568D0"/>
    <w:rsid w:val="001569DB"/>
    <w:rsid w:val="00156D03"/>
    <w:rsid w:val="00156F06"/>
    <w:rsid w:val="00156F3F"/>
    <w:rsid w:val="001570FD"/>
    <w:rsid w:val="00157163"/>
    <w:rsid w:val="00157197"/>
    <w:rsid w:val="00157353"/>
    <w:rsid w:val="00157465"/>
    <w:rsid w:val="001574C0"/>
    <w:rsid w:val="00157567"/>
    <w:rsid w:val="00157577"/>
    <w:rsid w:val="00157645"/>
    <w:rsid w:val="0015796D"/>
    <w:rsid w:val="00157A5B"/>
    <w:rsid w:val="00157AC8"/>
    <w:rsid w:val="00157BFF"/>
    <w:rsid w:val="00157CD5"/>
    <w:rsid w:val="00157E30"/>
    <w:rsid w:val="0016003B"/>
    <w:rsid w:val="001600D1"/>
    <w:rsid w:val="001600D9"/>
    <w:rsid w:val="00160401"/>
    <w:rsid w:val="00160417"/>
    <w:rsid w:val="00160495"/>
    <w:rsid w:val="0016051E"/>
    <w:rsid w:val="001606CF"/>
    <w:rsid w:val="00160768"/>
    <w:rsid w:val="001607B6"/>
    <w:rsid w:val="00160830"/>
    <w:rsid w:val="001609FB"/>
    <w:rsid w:val="00160A62"/>
    <w:rsid w:val="00160BF1"/>
    <w:rsid w:val="00160E2D"/>
    <w:rsid w:val="00160E65"/>
    <w:rsid w:val="00160EC6"/>
    <w:rsid w:val="00160F55"/>
    <w:rsid w:val="00161170"/>
    <w:rsid w:val="001611FD"/>
    <w:rsid w:val="0016128D"/>
    <w:rsid w:val="00161299"/>
    <w:rsid w:val="0016129B"/>
    <w:rsid w:val="0016177B"/>
    <w:rsid w:val="0016182D"/>
    <w:rsid w:val="001618B2"/>
    <w:rsid w:val="001618C7"/>
    <w:rsid w:val="0016190C"/>
    <w:rsid w:val="00161924"/>
    <w:rsid w:val="00161943"/>
    <w:rsid w:val="001619B2"/>
    <w:rsid w:val="00161CDE"/>
    <w:rsid w:val="00161F67"/>
    <w:rsid w:val="001621CB"/>
    <w:rsid w:val="0016220C"/>
    <w:rsid w:val="00162345"/>
    <w:rsid w:val="0016236C"/>
    <w:rsid w:val="0016243F"/>
    <w:rsid w:val="00162570"/>
    <w:rsid w:val="00162CF9"/>
    <w:rsid w:val="00162D02"/>
    <w:rsid w:val="00162D1F"/>
    <w:rsid w:val="00162E5A"/>
    <w:rsid w:val="00162E86"/>
    <w:rsid w:val="00162F25"/>
    <w:rsid w:val="00162FDE"/>
    <w:rsid w:val="00162FF9"/>
    <w:rsid w:val="0016301E"/>
    <w:rsid w:val="00163096"/>
    <w:rsid w:val="00163275"/>
    <w:rsid w:val="00163279"/>
    <w:rsid w:val="001633BE"/>
    <w:rsid w:val="001637B8"/>
    <w:rsid w:val="001637DE"/>
    <w:rsid w:val="00163A71"/>
    <w:rsid w:val="00163B38"/>
    <w:rsid w:val="00163B9F"/>
    <w:rsid w:val="00163D66"/>
    <w:rsid w:val="00163E92"/>
    <w:rsid w:val="0016426C"/>
    <w:rsid w:val="0016429F"/>
    <w:rsid w:val="001643C1"/>
    <w:rsid w:val="001643D3"/>
    <w:rsid w:val="00164458"/>
    <w:rsid w:val="00164599"/>
    <w:rsid w:val="001645E6"/>
    <w:rsid w:val="0016485E"/>
    <w:rsid w:val="00164A33"/>
    <w:rsid w:val="00164BB6"/>
    <w:rsid w:val="00164E5A"/>
    <w:rsid w:val="00164EEB"/>
    <w:rsid w:val="00164F57"/>
    <w:rsid w:val="0016516E"/>
    <w:rsid w:val="00165223"/>
    <w:rsid w:val="00165587"/>
    <w:rsid w:val="001658AC"/>
    <w:rsid w:val="00165A62"/>
    <w:rsid w:val="00165B9F"/>
    <w:rsid w:val="00165EC4"/>
    <w:rsid w:val="00165EDF"/>
    <w:rsid w:val="00165EFE"/>
    <w:rsid w:val="00165F71"/>
    <w:rsid w:val="001660C4"/>
    <w:rsid w:val="001668B5"/>
    <w:rsid w:val="001669E4"/>
    <w:rsid w:val="00166AD5"/>
    <w:rsid w:val="00166BB9"/>
    <w:rsid w:val="00166BBA"/>
    <w:rsid w:val="001670A2"/>
    <w:rsid w:val="001673C1"/>
    <w:rsid w:val="00167555"/>
    <w:rsid w:val="00167722"/>
    <w:rsid w:val="0016779A"/>
    <w:rsid w:val="001677E7"/>
    <w:rsid w:val="00167B26"/>
    <w:rsid w:val="00167BE5"/>
    <w:rsid w:val="00167C6A"/>
    <w:rsid w:val="00167CE4"/>
    <w:rsid w:val="00167D24"/>
    <w:rsid w:val="00167DC4"/>
    <w:rsid w:val="00170029"/>
    <w:rsid w:val="0017004A"/>
    <w:rsid w:val="00170226"/>
    <w:rsid w:val="0017022B"/>
    <w:rsid w:val="001702AB"/>
    <w:rsid w:val="00170428"/>
    <w:rsid w:val="00170435"/>
    <w:rsid w:val="0017059B"/>
    <w:rsid w:val="00170700"/>
    <w:rsid w:val="001707DE"/>
    <w:rsid w:val="0017089D"/>
    <w:rsid w:val="0017098B"/>
    <w:rsid w:val="00170A03"/>
    <w:rsid w:val="00170A9C"/>
    <w:rsid w:val="00170DCE"/>
    <w:rsid w:val="00170E09"/>
    <w:rsid w:val="001711CA"/>
    <w:rsid w:val="001711FB"/>
    <w:rsid w:val="00171237"/>
    <w:rsid w:val="001712DE"/>
    <w:rsid w:val="00171319"/>
    <w:rsid w:val="001714E3"/>
    <w:rsid w:val="00171545"/>
    <w:rsid w:val="00171598"/>
    <w:rsid w:val="001715BC"/>
    <w:rsid w:val="00171C26"/>
    <w:rsid w:val="00171C99"/>
    <w:rsid w:val="00171D6B"/>
    <w:rsid w:val="00171D81"/>
    <w:rsid w:val="00171E12"/>
    <w:rsid w:val="0017202A"/>
    <w:rsid w:val="001720D0"/>
    <w:rsid w:val="00172169"/>
    <w:rsid w:val="00172345"/>
    <w:rsid w:val="0017235B"/>
    <w:rsid w:val="001724D6"/>
    <w:rsid w:val="0017260D"/>
    <w:rsid w:val="0017273F"/>
    <w:rsid w:val="0017282B"/>
    <w:rsid w:val="001729CD"/>
    <w:rsid w:val="00172C5F"/>
    <w:rsid w:val="00172FC8"/>
    <w:rsid w:val="0017318C"/>
    <w:rsid w:val="00173282"/>
    <w:rsid w:val="001732B4"/>
    <w:rsid w:val="00173524"/>
    <w:rsid w:val="00173662"/>
    <w:rsid w:val="0017366B"/>
    <w:rsid w:val="00173751"/>
    <w:rsid w:val="001737B0"/>
    <w:rsid w:val="0017382C"/>
    <w:rsid w:val="00173CD5"/>
    <w:rsid w:val="00173D51"/>
    <w:rsid w:val="00173DAD"/>
    <w:rsid w:val="00173DE7"/>
    <w:rsid w:val="00174058"/>
    <w:rsid w:val="0017407A"/>
    <w:rsid w:val="0017439A"/>
    <w:rsid w:val="001743DF"/>
    <w:rsid w:val="0017456D"/>
    <w:rsid w:val="001749D0"/>
    <w:rsid w:val="00175000"/>
    <w:rsid w:val="0017503E"/>
    <w:rsid w:val="001750D9"/>
    <w:rsid w:val="00175145"/>
    <w:rsid w:val="00175313"/>
    <w:rsid w:val="00175506"/>
    <w:rsid w:val="0017561C"/>
    <w:rsid w:val="0017570A"/>
    <w:rsid w:val="00175818"/>
    <w:rsid w:val="001759D3"/>
    <w:rsid w:val="00175A36"/>
    <w:rsid w:val="00175AF7"/>
    <w:rsid w:val="00175C97"/>
    <w:rsid w:val="00175E1C"/>
    <w:rsid w:val="00175E3D"/>
    <w:rsid w:val="00176065"/>
    <w:rsid w:val="001761DD"/>
    <w:rsid w:val="0017623C"/>
    <w:rsid w:val="0017631B"/>
    <w:rsid w:val="00176527"/>
    <w:rsid w:val="00176559"/>
    <w:rsid w:val="00176817"/>
    <w:rsid w:val="00176875"/>
    <w:rsid w:val="0017698F"/>
    <w:rsid w:val="001769B3"/>
    <w:rsid w:val="00176B8E"/>
    <w:rsid w:val="00176C11"/>
    <w:rsid w:val="0017700E"/>
    <w:rsid w:val="0017714A"/>
    <w:rsid w:val="0017715B"/>
    <w:rsid w:val="00177343"/>
    <w:rsid w:val="00177543"/>
    <w:rsid w:val="001775FB"/>
    <w:rsid w:val="00177613"/>
    <w:rsid w:val="001777FF"/>
    <w:rsid w:val="0017784D"/>
    <w:rsid w:val="001778EE"/>
    <w:rsid w:val="00177988"/>
    <w:rsid w:val="00177A5E"/>
    <w:rsid w:val="00177B64"/>
    <w:rsid w:val="00177B88"/>
    <w:rsid w:val="00177C9E"/>
    <w:rsid w:val="001801F4"/>
    <w:rsid w:val="00180215"/>
    <w:rsid w:val="00180352"/>
    <w:rsid w:val="00180548"/>
    <w:rsid w:val="001805A8"/>
    <w:rsid w:val="00180698"/>
    <w:rsid w:val="001806B2"/>
    <w:rsid w:val="00180705"/>
    <w:rsid w:val="00180808"/>
    <w:rsid w:val="001808F6"/>
    <w:rsid w:val="0018098E"/>
    <w:rsid w:val="00180A1D"/>
    <w:rsid w:val="00180A62"/>
    <w:rsid w:val="00180A99"/>
    <w:rsid w:val="00180D25"/>
    <w:rsid w:val="00180FAA"/>
    <w:rsid w:val="001810BC"/>
    <w:rsid w:val="001813C2"/>
    <w:rsid w:val="001813DE"/>
    <w:rsid w:val="001815CA"/>
    <w:rsid w:val="00181663"/>
    <w:rsid w:val="0018167D"/>
    <w:rsid w:val="0018172E"/>
    <w:rsid w:val="00181742"/>
    <w:rsid w:val="00181B13"/>
    <w:rsid w:val="00181B15"/>
    <w:rsid w:val="00181BE3"/>
    <w:rsid w:val="00181D3D"/>
    <w:rsid w:val="00181E6C"/>
    <w:rsid w:val="00181E93"/>
    <w:rsid w:val="00181F5B"/>
    <w:rsid w:val="00181F64"/>
    <w:rsid w:val="0018214C"/>
    <w:rsid w:val="001821D0"/>
    <w:rsid w:val="00182211"/>
    <w:rsid w:val="001822A4"/>
    <w:rsid w:val="001822D3"/>
    <w:rsid w:val="00182417"/>
    <w:rsid w:val="00182461"/>
    <w:rsid w:val="0018260C"/>
    <w:rsid w:val="00182964"/>
    <w:rsid w:val="00182A2B"/>
    <w:rsid w:val="00182A32"/>
    <w:rsid w:val="00182AB0"/>
    <w:rsid w:val="00182B03"/>
    <w:rsid w:val="00182B1C"/>
    <w:rsid w:val="00182C32"/>
    <w:rsid w:val="00182EB1"/>
    <w:rsid w:val="00182F47"/>
    <w:rsid w:val="00182F9C"/>
    <w:rsid w:val="00183276"/>
    <w:rsid w:val="00183353"/>
    <w:rsid w:val="0018344C"/>
    <w:rsid w:val="001835B5"/>
    <w:rsid w:val="001837A8"/>
    <w:rsid w:val="00183829"/>
    <w:rsid w:val="0018391E"/>
    <w:rsid w:val="00183931"/>
    <w:rsid w:val="001839DC"/>
    <w:rsid w:val="00183AB1"/>
    <w:rsid w:val="00183B2B"/>
    <w:rsid w:val="00183DF9"/>
    <w:rsid w:val="00183F1A"/>
    <w:rsid w:val="00183F55"/>
    <w:rsid w:val="001841C4"/>
    <w:rsid w:val="001845BA"/>
    <w:rsid w:val="001847EC"/>
    <w:rsid w:val="00184A07"/>
    <w:rsid w:val="00184A2F"/>
    <w:rsid w:val="00184C6D"/>
    <w:rsid w:val="00184C7B"/>
    <w:rsid w:val="00184CCF"/>
    <w:rsid w:val="00184CF0"/>
    <w:rsid w:val="00184EFE"/>
    <w:rsid w:val="00184F46"/>
    <w:rsid w:val="0018517B"/>
    <w:rsid w:val="001853E7"/>
    <w:rsid w:val="00185404"/>
    <w:rsid w:val="0018556C"/>
    <w:rsid w:val="00185640"/>
    <w:rsid w:val="001857E3"/>
    <w:rsid w:val="0018582B"/>
    <w:rsid w:val="00185AB1"/>
    <w:rsid w:val="00185D29"/>
    <w:rsid w:val="00186212"/>
    <w:rsid w:val="0018638C"/>
    <w:rsid w:val="00186726"/>
    <w:rsid w:val="00186780"/>
    <w:rsid w:val="00186A20"/>
    <w:rsid w:val="00186B02"/>
    <w:rsid w:val="00186BAB"/>
    <w:rsid w:val="00186C54"/>
    <w:rsid w:val="0018711B"/>
    <w:rsid w:val="0018713D"/>
    <w:rsid w:val="001871FD"/>
    <w:rsid w:val="0018724E"/>
    <w:rsid w:val="001872A8"/>
    <w:rsid w:val="001872ED"/>
    <w:rsid w:val="001872F9"/>
    <w:rsid w:val="001874A6"/>
    <w:rsid w:val="001874D1"/>
    <w:rsid w:val="00187664"/>
    <w:rsid w:val="0018769F"/>
    <w:rsid w:val="00187717"/>
    <w:rsid w:val="0018785C"/>
    <w:rsid w:val="001878CA"/>
    <w:rsid w:val="0018790F"/>
    <w:rsid w:val="001879BB"/>
    <w:rsid w:val="00187B3C"/>
    <w:rsid w:val="00187BD7"/>
    <w:rsid w:val="00187C53"/>
    <w:rsid w:val="00187D6B"/>
    <w:rsid w:val="00190018"/>
    <w:rsid w:val="001900FA"/>
    <w:rsid w:val="001901D4"/>
    <w:rsid w:val="00190417"/>
    <w:rsid w:val="00190512"/>
    <w:rsid w:val="00190563"/>
    <w:rsid w:val="0019074E"/>
    <w:rsid w:val="00190817"/>
    <w:rsid w:val="0019087E"/>
    <w:rsid w:val="00190C0E"/>
    <w:rsid w:val="00190D62"/>
    <w:rsid w:val="00190E18"/>
    <w:rsid w:val="00190ECA"/>
    <w:rsid w:val="00190F20"/>
    <w:rsid w:val="00190F6C"/>
    <w:rsid w:val="0019101A"/>
    <w:rsid w:val="00191317"/>
    <w:rsid w:val="00191328"/>
    <w:rsid w:val="0019133F"/>
    <w:rsid w:val="001913D4"/>
    <w:rsid w:val="00191544"/>
    <w:rsid w:val="001915B0"/>
    <w:rsid w:val="00191650"/>
    <w:rsid w:val="001919E5"/>
    <w:rsid w:val="00191A44"/>
    <w:rsid w:val="00191A7B"/>
    <w:rsid w:val="00191BCF"/>
    <w:rsid w:val="00191D44"/>
    <w:rsid w:val="00191D75"/>
    <w:rsid w:val="00191E27"/>
    <w:rsid w:val="00191EA3"/>
    <w:rsid w:val="0019215B"/>
    <w:rsid w:val="00192323"/>
    <w:rsid w:val="001923F8"/>
    <w:rsid w:val="00192561"/>
    <w:rsid w:val="0019271E"/>
    <w:rsid w:val="00192865"/>
    <w:rsid w:val="00192A34"/>
    <w:rsid w:val="00192E22"/>
    <w:rsid w:val="00192FC8"/>
    <w:rsid w:val="00192FEA"/>
    <w:rsid w:val="0019302D"/>
    <w:rsid w:val="0019309D"/>
    <w:rsid w:val="001930C7"/>
    <w:rsid w:val="001935EE"/>
    <w:rsid w:val="00193B88"/>
    <w:rsid w:val="001940A8"/>
    <w:rsid w:val="00194489"/>
    <w:rsid w:val="00194583"/>
    <w:rsid w:val="001945E6"/>
    <w:rsid w:val="001946A3"/>
    <w:rsid w:val="001949A0"/>
    <w:rsid w:val="00194BDD"/>
    <w:rsid w:val="00194BEA"/>
    <w:rsid w:val="00194F5C"/>
    <w:rsid w:val="00194FD0"/>
    <w:rsid w:val="00195005"/>
    <w:rsid w:val="00195579"/>
    <w:rsid w:val="00195650"/>
    <w:rsid w:val="001957B2"/>
    <w:rsid w:val="0019585F"/>
    <w:rsid w:val="0019587A"/>
    <w:rsid w:val="001958B6"/>
    <w:rsid w:val="001958E7"/>
    <w:rsid w:val="00195AB6"/>
    <w:rsid w:val="00195C8E"/>
    <w:rsid w:val="00195CD5"/>
    <w:rsid w:val="00195CFD"/>
    <w:rsid w:val="00195DB8"/>
    <w:rsid w:val="00195FF1"/>
    <w:rsid w:val="001961BE"/>
    <w:rsid w:val="001962CE"/>
    <w:rsid w:val="001966C4"/>
    <w:rsid w:val="001968FA"/>
    <w:rsid w:val="00196903"/>
    <w:rsid w:val="00196BCE"/>
    <w:rsid w:val="00196CC2"/>
    <w:rsid w:val="00196E5C"/>
    <w:rsid w:val="00196F6B"/>
    <w:rsid w:val="00196F82"/>
    <w:rsid w:val="0019709B"/>
    <w:rsid w:val="00197102"/>
    <w:rsid w:val="001971FC"/>
    <w:rsid w:val="001972CA"/>
    <w:rsid w:val="001972D2"/>
    <w:rsid w:val="001973C2"/>
    <w:rsid w:val="001975E1"/>
    <w:rsid w:val="00197684"/>
    <w:rsid w:val="001977E0"/>
    <w:rsid w:val="00197B46"/>
    <w:rsid w:val="00197CFE"/>
    <w:rsid w:val="00197D0B"/>
    <w:rsid w:val="00197D24"/>
    <w:rsid w:val="00197E97"/>
    <w:rsid w:val="001A001C"/>
    <w:rsid w:val="001A0020"/>
    <w:rsid w:val="001A02CA"/>
    <w:rsid w:val="001A048B"/>
    <w:rsid w:val="001A053B"/>
    <w:rsid w:val="001A0622"/>
    <w:rsid w:val="001A094B"/>
    <w:rsid w:val="001A0980"/>
    <w:rsid w:val="001A0B16"/>
    <w:rsid w:val="001A0BAB"/>
    <w:rsid w:val="001A0D7A"/>
    <w:rsid w:val="001A10CD"/>
    <w:rsid w:val="001A11A8"/>
    <w:rsid w:val="001A12CA"/>
    <w:rsid w:val="001A14F8"/>
    <w:rsid w:val="001A189B"/>
    <w:rsid w:val="001A1931"/>
    <w:rsid w:val="001A1A3F"/>
    <w:rsid w:val="001A1BA8"/>
    <w:rsid w:val="001A1BFF"/>
    <w:rsid w:val="001A1F58"/>
    <w:rsid w:val="001A2085"/>
    <w:rsid w:val="001A22A8"/>
    <w:rsid w:val="001A22FB"/>
    <w:rsid w:val="001A2644"/>
    <w:rsid w:val="001A29DF"/>
    <w:rsid w:val="001A2CC0"/>
    <w:rsid w:val="001A2CFF"/>
    <w:rsid w:val="001A2E7B"/>
    <w:rsid w:val="001A2F73"/>
    <w:rsid w:val="001A31D4"/>
    <w:rsid w:val="001A3204"/>
    <w:rsid w:val="001A3377"/>
    <w:rsid w:val="001A33A4"/>
    <w:rsid w:val="001A3484"/>
    <w:rsid w:val="001A373D"/>
    <w:rsid w:val="001A37F5"/>
    <w:rsid w:val="001A3939"/>
    <w:rsid w:val="001A3B8F"/>
    <w:rsid w:val="001A3C77"/>
    <w:rsid w:val="001A3DBA"/>
    <w:rsid w:val="001A3E30"/>
    <w:rsid w:val="001A4098"/>
    <w:rsid w:val="001A4658"/>
    <w:rsid w:val="001A46A1"/>
    <w:rsid w:val="001A4779"/>
    <w:rsid w:val="001A47C2"/>
    <w:rsid w:val="001A4841"/>
    <w:rsid w:val="001A4898"/>
    <w:rsid w:val="001A4BB2"/>
    <w:rsid w:val="001A4BC3"/>
    <w:rsid w:val="001A4C9D"/>
    <w:rsid w:val="001A4CF7"/>
    <w:rsid w:val="001A4E10"/>
    <w:rsid w:val="001A4E35"/>
    <w:rsid w:val="001A4E8E"/>
    <w:rsid w:val="001A4F14"/>
    <w:rsid w:val="001A4F3A"/>
    <w:rsid w:val="001A508E"/>
    <w:rsid w:val="001A5299"/>
    <w:rsid w:val="001A536A"/>
    <w:rsid w:val="001A5670"/>
    <w:rsid w:val="001A5865"/>
    <w:rsid w:val="001A5879"/>
    <w:rsid w:val="001A5910"/>
    <w:rsid w:val="001A5DD8"/>
    <w:rsid w:val="001A5F15"/>
    <w:rsid w:val="001A6083"/>
    <w:rsid w:val="001A691B"/>
    <w:rsid w:val="001A69B3"/>
    <w:rsid w:val="001A6A7E"/>
    <w:rsid w:val="001A6BA5"/>
    <w:rsid w:val="001A6BEE"/>
    <w:rsid w:val="001A6DA3"/>
    <w:rsid w:val="001A6DBA"/>
    <w:rsid w:val="001A6E61"/>
    <w:rsid w:val="001A6F04"/>
    <w:rsid w:val="001A70FC"/>
    <w:rsid w:val="001A722E"/>
    <w:rsid w:val="001A72DF"/>
    <w:rsid w:val="001A735F"/>
    <w:rsid w:val="001A7476"/>
    <w:rsid w:val="001A75A6"/>
    <w:rsid w:val="001A7826"/>
    <w:rsid w:val="001A7A9D"/>
    <w:rsid w:val="001A7C43"/>
    <w:rsid w:val="001A7C6C"/>
    <w:rsid w:val="001A7CB0"/>
    <w:rsid w:val="001A7DD1"/>
    <w:rsid w:val="001A7F27"/>
    <w:rsid w:val="001A7FE9"/>
    <w:rsid w:val="001B05BB"/>
    <w:rsid w:val="001B0737"/>
    <w:rsid w:val="001B08B0"/>
    <w:rsid w:val="001B09B0"/>
    <w:rsid w:val="001B09F5"/>
    <w:rsid w:val="001B0A32"/>
    <w:rsid w:val="001B0B8A"/>
    <w:rsid w:val="001B0D6A"/>
    <w:rsid w:val="001B12DF"/>
    <w:rsid w:val="001B1693"/>
    <w:rsid w:val="001B169B"/>
    <w:rsid w:val="001B177B"/>
    <w:rsid w:val="001B17CE"/>
    <w:rsid w:val="001B196B"/>
    <w:rsid w:val="001B1996"/>
    <w:rsid w:val="001B1C02"/>
    <w:rsid w:val="001B1C10"/>
    <w:rsid w:val="001B1D67"/>
    <w:rsid w:val="001B1F38"/>
    <w:rsid w:val="001B1F5D"/>
    <w:rsid w:val="001B1F81"/>
    <w:rsid w:val="001B24F5"/>
    <w:rsid w:val="001B2781"/>
    <w:rsid w:val="001B2A39"/>
    <w:rsid w:val="001B2D56"/>
    <w:rsid w:val="001B2E70"/>
    <w:rsid w:val="001B305C"/>
    <w:rsid w:val="001B31D1"/>
    <w:rsid w:val="001B3214"/>
    <w:rsid w:val="001B33C5"/>
    <w:rsid w:val="001B341B"/>
    <w:rsid w:val="001B34D2"/>
    <w:rsid w:val="001B3605"/>
    <w:rsid w:val="001B38CC"/>
    <w:rsid w:val="001B3C84"/>
    <w:rsid w:val="001B3D9E"/>
    <w:rsid w:val="001B3DEC"/>
    <w:rsid w:val="001B3E3D"/>
    <w:rsid w:val="001B3FFF"/>
    <w:rsid w:val="001B409C"/>
    <w:rsid w:val="001B40AE"/>
    <w:rsid w:val="001B41A3"/>
    <w:rsid w:val="001B41C3"/>
    <w:rsid w:val="001B427A"/>
    <w:rsid w:val="001B4392"/>
    <w:rsid w:val="001B44FB"/>
    <w:rsid w:val="001B451F"/>
    <w:rsid w:val="001B4652"/>
    <w:rsid w:val="001B48AA"/>
    <w:rsid w:val="001B48E0"/>
    <w:rsid w:val="001B4ADE"/>
    <w:rsid w:val="001B4B4B"/>
    <w:rsid w:val="001B4C79"/>
    <w:rsid w:val="001B4D32"/>
    <w:rsid w:val="001B4F3F"/>
    <w:rsid w:val="001B5141"/>
    <w:rsid w:val="001B522C"/>
    <w:rsid w:val="001B5343"/>
    <w:rsid w:val="001B5509"/>
    <w:rsid w:val="001B5593"/>
    <w:rsid w:val="001B5698"/>
    <w:rsid w:val="001B5791"/>
    <w:rsid w:val="001B583F"/>
    <w:rsid w:val="001B58AF"/>
    <w:rsid w:val="001B5938"/>
    <w:rsid w:val="001B59BC"/>
    <w:rsid w:val="001B5A71"/>
    <w:rsid w:val="001B5C12"/>
    <w:rsid w:val="001B5C97"/>
    <w:rsid w:val="001B5E12"/>
    <w:rsid w:val="001B5EE5"/>
    <w:rsid w:val="001B5F2D"/>
    <w:rsid w:val="001B6022"/>
    <w:rsid w:val="001B6265"/>
    <w:rsid w:val="001B652C"/>
    <w:rsid w:val="001B6587"/>
    <w:rsid w:val="001B65A9"/>
    <w:rsid w:val="001B6D55"/>
    <w:rsid w:val="001B6DFF"/>
    <w:rsid w:val="001B6E2F"/>
    <w:rsid w:val="001B6F5A"/>
    <w:rsid w:val="001B735B"/>
    <w:rsid w:val="001B7430"/>
    <w:rsid w:val="001B74E2"/>
    <w:rsid w:val="001B766D"/>
    <w:rsid w:val="001B7743"/>
    <w:rsid w:val="001B77BC"/>
    <w:rsid w:val="001B77BE"/>
    <w:rsid w:val="001B7810"/>
    <w:rsid w:val="001B798D"/>
    <w:rsid w:val="001B7B21"/>
    <w:rsid w:val="001B7D4D"/>
    <w:rsid w:val="001B7EB5"/>
    <w:rsid w:val="001B7FCB"/>
    <w:rsid w:val="001C0017"/>
    <w:rsid w:val="001C00A4"/>
    <w:rsid w:val="001C016D"/>
    <w:rsid w:val="001C01EE"/>
    <w:rsid w:val="001C03E6"/>
    <w:rsid w:val="001C0ABC"/>
    <w:rsid w:val="001C0C76"/>
    <w:rsid w:val="001C0E9A"/>
    <w:rsid w:val="001C1040"/>
    <w:rsid w:val="001C1352"/>
    <w:rsid w:val="001C1528"/>
    <w:rsid w:val="001C15A4"/>
    <w:rsid w:val="001C164D"/>
    <w:rsid w:val="001C18E1"/>
    <w:rsid w:val="001C1985"/>
    <w:rsid w:val="001C1BBF"/>
    <w:rsid w:val="001C1BEE"/>
    <w:rsid w:val="001C1D40"/>
    <w:rsid w:val="001C1DBE"/>
    <w:rsid w:val="001C21E9"/>
    <w:rsid w:val="001C22FE"/>
    <w:rsid w:val="001C230F"/>
    <w:rsid w:val="001C2386"/>
    <w:rsid w:val="001C23CC"/>
    <w:rsid w:val="001C247A"/>
    <w:rsid w:val="001C24EF"/>
    <w:rsid w:val="001C2663"/>
    <w:rsid w:val="001C26CE"/>
    <w:rsid w:val="001C273C"/>
    <w:rsid w:val="001C28D0"/>
    <w:rsid w:val="001C29D5"/>
    <w:rsid w:val="001C2B23"/>
    <w:rsid w:val="001C2DF7"/>
    <w:rsid w:val="001C2E45"/>
    <w:rsid w:val="001C301D"/>
    <w:rsid w:val="001C3072"/>
    <w:rsid w:val="001C31BE"/>
    <w:rsid w:val="001C32A3"/>
    <w:rsid w:val="001C358D"/>
    <w:rsid w:val="001C3601"/>
    <w:rsid w:val="001C3604"/>
    <w:rsid w:val="001C3681"/>
    <w:rsid w:val="001C37AB"/>
    <w:rsid w:val="001C3861"/>
    <w:rsid w:val="001C386A"/>
    <w:rsid w:val="001C3BB6"/>
    <w:rsid w:val="001C3C87"/>
    <w:rsid w:val="001C3D70"/>
    <w:rsid w:val="001C3ED8"/>
    <w:rsid w:val="001C4007"/>
    <w:rsid w:val="001C40A0"/>
    <w:rsid w:val="001C44AA"/>
    <w:rsid w:val="001C45CE"/>
    <w:rsid w:val="001C4C86"/>
    <w:rsid w:val="001C4CBB"/>
    <w:rsid w:val="001C4D9B"/>
    <w:rsid w:val="001C4DEB"/>
    <w:rsid w:val="001C4E3A"/>
    <w:rsid w:val="001C4E4C"/>
    <w:rsid w:val="001C503E"/>
    <w:rsid w:val="001C51D9"/>
    <w:rsid w:val="001C553A"/>
    <w:rsid w:val="001C55C5"/>
    <w:rsid w:val="001C57DD"/>
    <w:rsid w:val="001C5A51"/>
    <w:rsid w:val="001C5A7D"/>
    <w:rsid w:val="001C5BD4"/>
    <w:rsid w:val="001C5CFB"/>
    <w:rsid w:val="001C5D4A"/>
    <w:rsid w:val="001C5DE3"/>
    <w:rsid w:val="001C608D"/>
    <w:rsid w:val="001C61D1"/>
    <w:rsid w:val="001C6215"/>
    <w:rsid w:val="001C640D"/>
    <w:rsid w:val="001C65E1"/>
    <w:rsid w:val="001C666F"/>
    <w:rsid w:val="001C66CA"/>
    <w:rsid w:val="001C671F"/>
    <w:rsid w:val="001C6845"/>
    <w:rsid w:val="001C6878"/>
    <w:rsid w:val="001C6AAF"/>
    <w:rsid w:val="001C6B26"/>
    <w:rsid w:val="001C6CE7"/>
    <w:rsid w:val="001C6D19"/>
    <w:rsid w:val="001C6E88"/>
    <w:rsid w:val="001C6F70"/>
    <w:rsid w:val="001C710E"/>
    <w:rsid w:val="001C73FB"/>
    <w:rsid w:val="001C751F"/>
    <w:rsid w:val="001C755F"/>
    <w:rsid w:val="001C75C3"/>
    <w:rsid w:val="001C75CF"/>
    <w:rsid w:val="001C76E9"/>
    <w:rsid w:val="001C782F"/>
    <w:rsid w:val="001C7888"/>
    <w:rsid w:val="001C7899"/>
    <w:rsid w:val="001C78DE"/>
    <w:rsid w:val="001C7A1E"/>
    <w:rsid w:val="001C7D1F"/>
    <w:rsid w:val="001C7E34"/>
    <w:rsid w:val="001C7EDB"/>
    <w:rsid w:val="001C7F50"/>
    <w:rsid w:val="001C7FCC"/>
    <w:rsid w:val="001D0003"/>
    <w:rsid w:val="001D0163"/>
    <w:rsid w:val="001D02B6"/>
    <w:rsid w:val="001D0390"/>
    <w:rsid w:val="001D06C9"/>
    <w:rsid w:val="001D072D"/>
    <w:rsid w:val="001D074A"/>
    <w:rsid w:val="001D0780"/>
    <w:rsid w:val="001D0A48"/>
    <w:rsid w:val="001D0AE8"/>
    <w:rsid w:val="001D0B18"/>
    <w:rsid w:val="001D0D8A"/>
    <w:rsid w:val="001D0FCF"/>
    <w:rsid w:val="001D1486"/>
    <w:rsid w:val="001D1785"/>
    <w:rsid w:val="001D1886"/>
    <w:rsid w:val="001D1B07"/>
    <w:rsid w:val="001D1CEA"/>
    <w:rsid w:val="001D1EA8"/>
    <w:rsid w:val="001D2060"/>
    <w:rsid w:val="001D2082"/>
    <w:rsid w:val="001D2244"/>
    <w:rsid w:val="001D23D4"/>
    <w:rsid w:val="001D244F"/>
    <w:rsid w:val="001D246A"/>
    <w:rsid w:val="001D2489"/>
    <w:rsid w:val="001D24A1"/>
    <w:rsid w:val="001D24A7"/>
    <w:rsid w:val="001D25BD"/>
    <w:rsid w:val="001D276F"/>
    <w:rsid w:val="001D27B6"/>
    <w:rsid w:val="001D28B7"/>
    <w:rsid w:val="001D2CF9"/>
    <w:rsid w:val="001D2E74"/>
    <w:rsid w:val="001D2F8C"/>
    <w:rsid w:val="001D30A8"/>
    <w:rsid w:val="001D35A6"/>
    <w:rsid w:val="001D36DA"/>
    <w:rsid w:val="001D36E9"/>
    <w:rsid w:val="001D37FC"/>
    <w:rsid w:val="001D3803"/>
    <w:rsid w:val="001D386D"/>
    <w:rsid w:val="001D3876"/>
    <w:rsid w:val="001D3A24"/>
    <w:rsid w:val="001D3B6A"/>
    <w:rsid w:val="001D3BEB"/>
    <w:rsid w:val="001D3D48"/>
    <w:rsid w:val="001D41EF"/>
    <w:rsid w:val="001D46F9"/>
    <w:rsid w:val="001D488F"/>
    <w:rsid w:val="001D4A4E"/>
    <w:rsid w:val="001D4E4D"/>
    <w:rsid w:val="001D4E50"/>
    <w:rsid w:val="001D4F0F"/>
    <w:rsid w:val="001D4FB7"/>
    <w:rsid w:val="001D4FBB"/>
    <w:rsid w:val="001D506B"/>
    <w:rsid w:val="001D511B"/>
    <w:rsid w:val="001D5134"/>
    <w:rsid w:val="001D5424"/>
    <w:rsid w:val="001D5443"/>
    <w:rsid w:val="001D5460"/>
    <w:rsid w:val="001D55D2"/>
    <w:rsid w:val="001D55D9"/>
    <w:rsid w:val="001D57C5"/>
    <w:rsid w:val="001D5AB9"/>
    <w:rsid w:val="001D5CB5"/>
    <w:rsid w:val="001D5D65"/>
    <w:rsid w:val="001D5DF9"/>
    <w:rsid w:val="001D61D2"/>
    <w:rsid w:val="001D65D6"/>
    <w:rsid w:val="001D66CB"/>
    <w:rsid w:val="001D690B"/>
    <w:rsid w:val="001D6BF9"/>
    <w:rsid w:val="001D6DF8"/>
    <w:rsid w:val="001D6E0E"/>
    <w:rsid w:val="001D6E22"/>
    <w:rsid w:val="001D6E5F"/>
    <w:rsid w:val="001D7075"/>
    <w:rsid w:val="001D73DC"/>
    <w:rsid w:val="001D74D8"/>
    <w:rsid w:val="001D771B"/>
    <w:rsid w:val="001D7803"/>
    <w:rsid w:val="001D78EF"/>
    <w:rsid w:val="001D7B90"/>
    <w:rsid w:val="001D7CBE"/>
    <w:rsid w:val="001D7CD2"/>
    <w:rsid w:val="001D7CDD"/>
    <w:rsid w:val="001D7EAF"/>
    <w:rsid w:val="001D7FC1"/>
    <w:rsid w:val="001E06A3"/>
    <w:rsid w:val="001E0755"/>
    <w:rsid w:val="001E094A"/>
    <w:rsid w:val="001E0A1F"/>
    <w:rsid w:val="001E0A97"/>
    <w:rsid w:val="001E0B8C"/>
    <w:rsid w:val="001E0D44"/>
    <w:rsid w:val="001E10FB"/>
    <w:rsid w:val="001E12F1"/>
    <w:rsid w:val="001E13C6"/>
    <w:rsid w:val="001E1495"/>
    <w:rsid w:val="001E17D6"/>
    <w:rsid w:val="001E1A31"/>
    <w:rsid w:val="001E1B1F"/>
    <w:rsid w:val="001E1D5F"/>
    <w:rsid w:val="001E1DA0"/>
    <w:rsid w:val="001E1F20"/>
    <w:rsid w:val="001E1FD8"/>
    <w:rsid w:val="001E22B6"/>
    <w:rsid w:val="001E2A35"/>
    <w:rsid w:val="001E2BE7"/>
    <w:rsid w:val="001E2CF4"/>
    <w:rsid w:val="001E2F71"/>
    <w:rsid w:val="001E2FBC"/>
    <w:rsid w:val="001E3055"/>
    <w:rsid w:val="001E30F9"/>
    <w:rsid w:val="001E3147"/>
    <w:rsid w:val="001E31F9"/>
    <w:rsid w:val="001E330C"/>
    <w:rsid w:val="001E3351"/>
    <w:rsid w:val="001E338C"/>
    <w:rsid w:val="001E353E"/>
    <w:rsid w:val="001E38CD"/>
    <w:rsid w:val="001E38FF"/>
    <w:rsid w:val="001E397D"/>
    <w:rsid w:val="001E3C58"/>
    <w:rsid w:val="001E3DF3"/>
    <w:rsid w:val="001E438D"/>
    <w:rsid w:val="001E43BE"/>
    <w:rsid w:val="001E450B"/>
    <w:rsid w:val="001E452D"/>
    <w:rsid w:val="001E45BE"/>
    <w:rsid w:val="001E46C7"/>
    <w:rsid w:val="001E47AF"/>
    <w:rsid w:val="001E484B"/>
    <w:rsid w:val="001E4861"/>
    <w:rsid w:val="001E4878"/>
    <w:rsid w:val="001E4886"/>
    <w:rsid w:val="001E48B8"/>
    <w:rsid w:val="001E48ED"/>
    <w:rsid w:val="001E48EF"/>
    <w:rsid w:val="001E48F9"/>
    <w:rsid w:val="001E4A60"/>
    <w:rsid w:val="001E4ACB"/>
    <w:rsid w:val="001E4D23"/>
    <w:rsid w:val="001E4F7D"/>
    <w:rsid w:val="001E51B7"/>
    <w:rsid w:val="001E521E"/>
    <w:rsid w:val="001E5307"/>
    <w:rsid w:val="001E530E"/>
    <w:rsid w:val="001E5528"/>
    <w:rsid w:val="001E568A"/>
    <w:rsid w:val="001E574C"/>
    <w:rsid w:val="001E5B56"/>
    <w:rsid w:val="001E5FAA"/>
    <w:rsid w:val="001E627B"/>
    <w:rsid w:val="001E648A"/>
    <w:rsid w:val="001E6530"/>
    <w:rsid w:val="001E6685"/>
    <w:rsid w:val="001E67D6"/>
    <w:rsid w:val="001E6907"/>
    <w:rsid w:val="001E69C3"/>
    <w:rsid w:val="001E6AA5"/>
    <w:rsid w:val="001E6D0E"/>
    <w:rsid w:val="001E71BD"/>
    <w:rsid w:val="001E76E9"/>
    <w:rsid w:val="001E778A"/>
    <w:rsid w:val="001E79FD"/>
    <w:rsid w:val="001E7A1A"/>
    <w:rsid w:val="001E7D19"/>
    <w:rsid w:val="001E7D6F"/>
    <w:rsid w:val="001E7FAE"/>
    <w:rsid w:val="001F04C7"/>
    <w:rsid w:val="001F054C"/>
    <w:rsid w:val="001F05C1"/>
    <w:rsid w:val="001F06A0"/>
    <w:rsid w:val="001F0866"/>
    <w:rsid w:val="001F08EC"/>
    <w:rsid w:val="001F093A"/>
    <w:rsid w:val="001F09AB"/>
    <w:rsid w:val="001F09F5"/>
    <w:rsid w:val="001F09FF"/>
    <w:rsid w:val="001F10E2"/>
    <w:rsid w:val="001F1440"/>
    <w:rsid w:val="001F1485"/>
    <w:rsid w:val="001F174F"/>
    <w:rsid w:val="001F1770"/>
    <w:rsid w:val="001F180A"/>
    <w:rsid w:val="001F19F9"/>
    <w:rsid w:val="001F1A32"/>
    <w:rsid w:val="001F1B27"/>
    <w:rsid w:val="001F1EA1"/>
    <w:rsid w:val="001F1EB1"/>
    <w:rsid w:val="001F218D"/>
    <w:rsid w:val="001F222B"/>
    <w:rsid w:val="001F225A"/>
    <w:rsid w:val="001F22F2"/>
    <w:rsid w:val="001F24D1"/>
    <w:rsid w:val="001F24ED"/>
    <w:rsid w:val="001F2586"/>
    <w:rsid w:val="001F27B5"/>
    <w:rsid w:val="001F2A4C"/>
    <w:rsid w:val="001F2A6D"/>
    <w:rsid w:val="001F2B15"/>
    <w:rsid w:val="001F2B91"/>
    <w:rsid w:val="001F2BAC"/>
    <w:rsid w:val="001F2BD0"/>
    <w:rsid w:val="001F2E3B"/>
    <w:rsid w:val="001F30DE"/>
    <w:rsid w:val="001F30E1"/>
    <w:rsid w:val="001F32D3"/>
    <w:rsid w:val="001F341C"/>
    <w:rsid w:val="001F3497"/>
    <w:rsid w:val="001F349F"/>
    <w:rsid w:val="001F3509"/>
    <w:rsid w:val="001F3610"/>
    <w:rsid w:val="001F3710"/>
    <w:rsid w:val="001F389C"/>
    <w:rsid w:val="001F397E"/>
    <w:rsid w:val="001F3AE4"/>
    <w:rsid w:val="001F3F37"/>
    <w:rsid w:val="001F3FB2"/>
    <w:rsid w:val="001F40E8"/>
    <w:rsid w:val="001F410D"/>
    <w:rsid w:val="001F4412"/>
    <w:rsid w:val="001F446C"/>
    <w:rsid w:val="001F44C7"/>
    <w:rsid w:val="001F470D"/>
    <w:rsid w:val="001F4712"/>
    <w:rsid w:val="001F4A0A"/>
    <w:rsid w:val="001F4A85"/>
    <w:rsid w:val="001F4C68"/>
    <w:rsid w:val="001F4DA3"/>
    <w:rsid w:val="001F501E"/>
    <w:rsid w:val="001F5062"/>
    <w:rsid w:val="001F50B3"/>
    <w:rsid w:val="001F512C"/>
    <w:rsid w:val="001F51AE"/>
    <w:rsid w:val="001F51F7"/>
    <w:rsid w:val="001F51FF"/>
    <w:rsid w:val="001F5273"/>
    <w:rsid w:val="001F52F4"/>
    <w:rsid w:val="001F5413"/>
    <w:rsid w:val="001F54AD"/>
    <w:rsid w:val="001F55E2"/>
    <w:rsid w:val="001F5744"/>
    <w:rsid w:val="001F575A"/>
    <w:rsid w:val="001F57F5"/>
    <w:rsid w:val="001F5953"/>
    <w:rsid w:val="001F5A77"/>
    <w:rsid w:val="001F5B3C"/>
    <w:rsid w:val="001F5B5E"/>
    <w:rsid w:val="001F5D3A"/>
    <w:rsid w:val="001F5D72"/>
    <w:rsid w:val="001F5F26"/>
    <w:rsid w:val="001F60D3"/>
    <w:rsid w:val="001F60DC"/>
    <w:rsid w:val="001F6212"/>
    <w:rsid w:val="001F66A8"/>
    <w:rsid w:val="001F67B6"/>
    <w:rsid w:val="001F68FD"/>
    <w:rsid w:val="001F6C0F"/>
    <w:rsid w:val="001F6CD5"/>
    <w:rsid w:val="001F6F6E"/>
    <w:rsid w:val="001F6FB0"/>
    <w:rsid w:val="001F7061"/>
    <w:rsid w:val="001F7387"/>
    <w:rsid w:val="001F7388"/>
    <w:rsid w:val="001F7574"/>
    <w:rsid w:val="001F7825"/>
    <w:rsid w:val="001F782E"/>
    <w:rsid w:val="001F7AA1"/>
    <w:rsid w:val="001F7AF2"/>
    <w:rsid w:val="001F7BB9"/>
    <w:rsid w:val="001F7ED7"/>
    <w:rsid w:val="001F7F55"/>
    <w:rsid w:val="001F7FAE"/>
    <w:rsid w:val="00200261"/>
    <w:rsid w:val="002003AC"/>
    <w:rsid w:val="00200801"/>
    <w:rsid w:val="00200836"/>
    <w:rsid w:val="0020087C"/>
    <w:rsid w:val="002008C4"/>
    <w:rsid w:val="002008E7"/>
    <w:rsid w:val="0020092D"/>
    <w:rsid w:val="00200A29"/>
    <w:rsid w:val="00200B33"/>
    <w:rsid w:val="002010FE"/>
    <w:rsid w:val="00201160"/>
    <w:rsid w:val="002011CB"/>
    <w:rsid w:val="00201271"/>
    <w:rsid w:val="002012EC"/>
    <w:rsid w:val="00201A5F"/>
    <w:rsid w:val="00201AAA"/>
    <w:rsid w:val="00201BBB"/>
    <w:rsid w:val="00201FFF"/>
    <w:rsid w:val="0020206F"/>
    <w:rsid w:val="0020219A"/>
    <w:rsid w:val="002024B5"/>
    <w:rsid w:val="0020254F"/>
    <w:rsid w:val="0020262A"/>
    <w:rsid w:val="00202677"/>
    <w:rsid w:val="002026E6"/>
    <w:rsid w:val="002026F2"/>
    <w:rsid w:val="002028F9"/>
    <w:rsid w:val="0020293D"/>
    <w:rsid w:val="00202C7F"/>
    <w:rsid w:val="00202D68"/>
    <w:rsid w:val="00202FF1"/>
    <w:rsid w:val="0020318B"/>
    <w:rsid w:val="00203396"/>
    <w:rsid w:val="00203415"/>
    <w:rsid w:val="00203481"/>
    <w:rsid w:val="0020381D"/>
    <w:rsid w:val="00203A11"/>
    <w:rsid w:val="00203C24"/>
    <w:rsid w:val="00203CC0"/>
    <w:rsid w:val="00203D26"/>
    <w:rsid w:val="00203D8E"/>
    <w:rsid w:val="00203EFC"/>
    <w:rsid w:val="002040CB"/>
    <w:rsid w:val="00204290"/>
    <w:rsid w:val="00204327"/>
    <w:rsid w:val="0020438A"/>
    <w:rsid w:val="0020448F"/>
    <w:rsid w:val="00204662"/>
    <w:rsid w:val="00204696"/>
    <w:rsid w:val="002046B8"/>
    <w:rsid w:val="00204712"/>
    <w:rsid w:val="0020489A"/>
    <w:rsid w:val="00204942"/>
    <w:rsid w:val="00204F21"/>
    <w:rsid w:val="00204F87"/>
    <w:rsid w:val="0020501F"/>
    <w:rsid w:val="00205090"/>
    <w:rsid w:val="00205217"/>
    <w:rsid w:val="00205271"/>
    <w:rsid w:val="00205291"/>
    <w:rsid w:val="002052D3"/>
    <w:rsid w:val="002052D7"/>
    <w:rsid w:val="00205379"/>
    <w:rsid w:val="0020538D"/>
    <w:rsid w:val="002056FF"/>
    <w:rsid w:val="00205795"/>
    <w:rsid w:val="00205D4B"/>
    <w:rsid w:val="00205D86"/>
    <w:rsid w:val="00205E33"/>
    <w:rsid w:val="00205E47"/>
    <w:rsid w:val="00205F49"/>
    <w:rsid w:val="00205F68"/>
    <w:rsid w:val="0020606E"/>
    <w:rsid w:val="002061A9"/>
    <w:rsid w:val="00206235"/>
    <w:rsid w:val="00206244"/>
    <w:rsid w:val="002063BC"/>
    <w:rsid w:val="002064F7"/>
    <w:rsid w:val="00206745"/>
    <w:rsid w:val="00206900"/>
    <w:rsid w:val="00206987"/>
    <w:rsid w:val="00206994"/>
    <w:rsid w:val="002069CB"/>
    <w:rsid w:val="00206A5A"/>
    <w:rsid w:val="00206AA6"/>
    <w:rsid w:val="00206AF4"/>
    <w:rsid w:val="00206C2A"/>
    <w:rsid w:val="00206CE7"/>
    <w:rsid w:val="00206DE2"/>
    <w:rsid w:val="00206ECF"/>
    <w:rsid w:val="00207070"/>
    <w:rsid w:val="0020715B"/>
    <w:rsid w:val="00207257"/>
    <w:rsid w:val="002074C9"/>
    <w:rsid w:val="00207670"/>
    <w:rsid w:val="002077DB"/>
    <w:rsid w:val="00207829"/>
    <w:rsid w:val="00207A20"/>
    <w:rsid w:val="00207A77"/>
    <w:rsid w:val="00207C84"/>
    <w:rsid w:val="00207EF3"/>
    <w:rsid w:val="00207FB6"/>
    <w:rsid w:val="002104A3"/>
    <w:rsid w:val="00210747"/>
    <w:rsid w:val="0021085C"/>
    <w:rsid w:val="002108E7"/>
    <w:rsid w:val="00210966"/>
    <w:rsid w:val="00210A0B"/>
    <w:rsid w:val="00210B1D"/>
    <w:rsid w:val="00210C3A"/>
    <w:rsid w:val="00210E94"/>
    <w:rsid w:val="00211110"/>
    <w:rsid w:val="00211111"/>
    <w:rsid w:val="00211272"/>
    <w:rsid w:val="002112DA"/>
    <w:rsid w:val="002113B1"/>
    <w:rsid w:val="00211715"/>
    <w:rsid w:val="0021181F"/>
    <w:rsid w:val="00211B99"/>
    <w:rsid w:val="00211C6B"/>
    <w:rsid w:val="00211C75"/>
    <w:rsid w:val="00211CAF"/>
    <w:rsid w:val="00211D22"/>
    <w:rsid w:val="00211D2E"/>
    <w:rsid w:val="00211ED4"/>
    <w:rsid w:val="00211FD4"/>
    <w:rsid w:val="0021208C"/>
    <w:rsid w:val="00212189"/>
    <w:rsid w:val="00212768"/>
    <w:rsid w:val="00212904"/>
    <w:rsid w:val="00212940"/>
    <w:rsid w:val="00212BE7"/>
    <w:rsid w:val="00212CC7"/>
    <w:rsid w:val="00212D69"/>
    <w:rsid w:val="00212F93"/>
    <w:rsid w:val="00213052"/>
    <w:rsid w:val="0021350B"/>
    <w:rsid w:val="00213520"/>
    <w:rsid w:val="0021359C"/>
    <w:rsid w:val="002137F8"/>
    <w:rsid w:val="00213ADD"/>
    <w:rsid w:val="00213C14"/>
    <w:rsid w:val="00213D5F"/>
    <w:rsid w:val="00213DBC"/>
    <w:rsid w:val="00213E4F"/>
    <w:rsid w:val="002145CC"/>
    <w:rsid w:val="002145DF"/>
    <w:rsid w:val="002146C9"/>
    <w:rsid w:val="002147D6"/>
    <w:rsid w:val="0021480F"/>
    <w:rsid w:val="0021490D"/>
    <w:rsid w:val="002149AB"/>
    <w:rsid w:val="00214A26"/>
    <w:rsid w:val="00214ADC"/>
    <w:rsid w:val="00214B84"/>
    <w:rsid w:val="00214C5E"/>
    <w:rsid w:val="00214D1F"/>
    <w:rsid w:val="00214EA9"/>
    <w:rsid w:val="00214FBF"/>
    <w:rsid w:val="00214FCE"/>
    <w:rsid w:val="0021536D"/>
    <w:rsid w:val="00215797"/>
    <w:rsid w:val="00215A2B"/>
    <w:rsid w:val="00215E18"/>
    <w:rsid w:val="0021614A"/>
    <w:rsid w:val="002161DA"/>
    <w:rsid w:val="0021631A"/>
    <w:rsid w:val="002166F7"/>
    <w:rsid w:val="002167B4"/>
    <w:rsid w:val="00216A2C"/>
    <w:rsid w:val="00216AD3"/>
    <w:rsid w:val="00216BA3"/>
    <w:rsid w:val="00216BDF"/>
    <w:rsid w:val="00216C85"/>
    <w:rsid w:val="00216E03"/>
    <w:rsid w:val="00216E50"/>
    <w:rsid w:val="00217035"/>
    <w:rsid w:val="00217062"/>
    <w:rsid w:val="002171A6"/>
    <w:rsid w:val="00217217"/>
    <w:rsid w:val="00217468"/>
    <w:rsid w:val="00217665"/>
    <w:rsid w:val="002177D0"/>
    <w:rsid w:val="00217AC6"/>
    <w:rsid w:val="00217CEE"/>
    <w:rsid w:val="00220089"/>
    <w:rsid w:val="00220120"/>
    <w:rsid w:val="00220245"/>
    <w:rsid w:val="00220382"/>
    <w:rsid w:val="00220543"/>
    <w:rsid w:val="0022073F"/>
    <w:rsid w:val="00220B1B"/>
    <w:rsid w:val="00220B32"/>
    <w:rsid w:val="00220C4C"/>
    <w:rsid w:val="00220F69"/>
    <w:rsid w:val="0022148F"/>
    <w:rsid w:val="0022149E"/>
    <w:rsid w:val="00221813"/>
    <w:rsid w:val="00221A60"/>
    <w:rsid w:val="00221DBC"/>
    <w:rsid w:val="00221EC0"/>
    <w:rsid w:val="00221F94"/>
    <w:rsid w:val="00222044"/>
    <w:rsid w:val="00222241"/>
    <w:rsid w:val="00222245"/>
    <w:rsid w:val="002223D6"/>
    <w:rsid w:val="002224C5"/>
    <w:rsid w:val="002224E6"/>
    <w:rsid w:val="00222544"/>
    <w:rsid w:val="00222594"/>
    <w:rsid w:val="0022263B"/>
    <w:rsid w:val="00222665"/>
    <w:rsid w:val="0022275F"/>
    <w:rsid w:val="00222AF7"/>
    <w:rsid w:val="00222E91"/>
    <w:rsid w:val="00223096"/>
    <w:rsid w:val="00223131"/>
    <w:rsid w:val="00223331"/>
    <w:rsid w:val="002233A0"/>
    <w:rsid w:val="00223531"/>
    <w:rsid w:val="002235F4"/>
    <w:rsid w:val="0022364C"/>
    <w:rsid w:val="00223714"/>
    <w:rsid w:val="00223C21"/>
    <w:rsid w:val="00223C84"/>
    <w:rsid w:val="00223F83"/>
    <w:rsid w:val="0022401F"/>
    <w:rsid w:val="00224048"/>
    <w:rsid w:val="0022411B"/>
    <w:rsid w:val="0022424D"/>
    <w:rsid w:val="002242CB"/>
    <w:rsid w:val="00224454"/>
    <w:rsid w:val="002245DE"/>
    <w:rsid w:val="0022473E"/>
    <w:rsid w:val="00224AD3"/>
    <w:rsid w:val="00224B6F"/>
    <w:rsid w:val="0022502E"/>
    <w:rsid w:val="00225080"/>
    <w:rsid w:val="00225309"/>
    <w:rsid w:val="00225421"/>
    <w:rsid w:val="00225637"/>
    <w:rsid w:val="00225C88"/>
    <w:rsid w:val="00225D11"/>
    <w:rsid w:val="00225DD6"/>
    <w:rsid w:val="00225DF5"/>
    <w:rsid w:val="00225E20"/>
    <w:rsid w:val="00225E2B"/>
    <w:rsid w:val="002260D3"/>
    <w:rsid w:val="00226325"/>
    <w:rsid w:val="00226329"/>
    <w:rsid w:val="0022636E"/>
    <w:rsid w:val="00226440"/>
    <w:rsid w:val="00226495"/>
    <w:rsid w:val="002264D6"/>
    <w:rsid w:val="002265FB"/>
    <w:rsid w:val="0022683B"/>
    <w:rsid w:val="00226850"/>
    <w:rsid w:val="0022687E"/>
    <w:rsid w:val="00226A5D"/>
    <w:rsid w:val="00226BB5"/>
    <w:rsid w:val="00226C97"/>
    <w:rsid w:val="00226D01"/>
    <w:rsid w:val="00226ECB"/>
    <w:rsid w:val="00226FBE"/>
    <w:rsid w:val="0022723C"/>
    <w:rsid w:val="002273E9"/>
    <w:rsid w:val="00227AB1"/>
    <w:rsid w:val="00227D1C"/>
    <w:rsid w:val="002300FB"/>
    <w:rsid w:val="00230180"/>
    <w:rsid w:val="00230374"/>
    <w:rsid w:val="00230420"/>
    <w:rsid w:val="00230480"/>
    <w:rsid w:val="0023051F"/>
    <w:rsid w:val="00230567"/>
    <w:rsid w:val="002308EC"/>
    <w:rsid w:val="00230A68"/>
    <w:rsid w:val="00230BD3"/>
    <w:rsid w:val="00230CDA"/>
    <w:rsid w:val="00231049"/>
    <w:rsid w:val="00231133"/>
    <w:rsid w:val="00231275"/>
    <w:rsid w:val="00231349"/>
    <w:rsid w:val="002313E7"/>
    <w:rsid w:val="002313F6"/>
    <w:rsid w:val="002313FB"/>
    <w:rsid w:val="002314D2"/>
    <w:rsid w:val="00231816"/>
    <w:rsid w:val="00231906"/>
    <w:rsid w:val="00231946"/>
    <w:rsid w:val="00231A87"/>
    <w:rsid w:val="00231CA5"/>
    <w:rsid w:val="00231D76"/>
    <w:rsid w:val="00231E19"/>
    <w:rsid w:val="00231E45"/>
    <w:rsid w:val="00231FF7"/>
    <w:rsid w:val="00232090"/>
    <w:rsid w:val="002320FB"/>
    <w:rsid w:val="0023254F"/>
    <w:rsid w:val="002326A6"/>
    <w:rsid w:val="002326D4"/>
    <w:rsid w:val="0023275D"/>
    <w:rsid w:val="002327E7"/>
    <w:rsid w:val="00232885"/>
    <w:rsid w:val="002328E4"/>
    <w:rsid w:val="00232904"/>
    <w:rsid w:val="00232A53"/>
    <w:rsid w:val="00232D59"/>
    <w:rsid w:val="00232DA6"/>
    <w:rsid w:val="00232DB9"/>
    <w:rsid w:val="00232EBC"/>
    <w:rsid w:val="00233057"/>
    <w:rsid w:val="0023305C"/>
    <w:rsid w:val="00233094"/>
    <w:rsid w:val="0023313C"/>
    <w:rsid w:val="0023334D"/>
    <w:rsid w:val="002333E0"/>
    <w:rsid w:val="00233446"/>
    <w:rsid w:val="00233475"/>
    <w:rsid w:val="00233595"/>
    <w:rsid w:val="002335F6"/>
    <w:rsid w:val="00233698"/>
    <w:rsid w:val="002336E9"/>
    <w:rsid w:val="00233C75"/>
    <w:rsid w:val="00233C9C"/>
    <w:rsid w:val="00233D23"/>
    <w:rsid w:val="00233D5C"/>
    <w:rsid w:val="00233D7E"/>
    <w:rsid w:val="00233DA5"/>
    <w:rsid w:val="00234213"/>
    <w:rsid w:val="002343DC"/>
    <w:rsid w:val="00234509"/>
    <w:rsid w:val="00234611"/>
    <w:rsid w:val="00234683"/>
    <w:rsid w:val="00234E8C"/>
    <w:rsid w:val="00235421"/>
    <w:rsid w:val="0023545A"/>
    <w:rsid w:val="002355C0"/>
    <w:rsid w:val="0023566C"/>
    <w:rsid w:val="002356BE"/>
    <w:rsid w:val="0023583E"/>
    <w:rsid w:val="002358C8"/>
    <w:rsid w:val="00235AF3"/>
    <w:rsid w:val="00235C8C"/>
    <w:rsid w:val="00235DC3"/>
    <w:rsid w:val="00235F50"/>
    <w:rsid w:val="002361D4"/>
    <w:rsid w:val="002362B5"/>
    <w:rsid w:val="002362DC"/>
    <w:rsid w:val="002362E7"/>
    <w:rsid w:val="00236335"/>
    <w:rsid w:val="002364DC"/>
    <w:rsid w:val="002366AB"/>
    <w:rsid w:val="002367C4"/>
    <w:rsid w:val="00236802"/>
    <w:rsid w:val="00236A6A"/>
    <w:rsid w:val="00236B7A"/>
    <w:rsid w:val="00236B98"/>
    <w:rsid w:val="00236F10"/>
    <w:rsid w:val="00236FF8"/>
    <w:rsid w:val="002370CD"/>
    <w:rsid w:val="0023714F"/>
    <w:rsid w:val="002372E8"/>
    <w:rsid w:val="0023737E"/>
    <w:rsid w:val="002375C6"/>
    <w:rsid w:val="002375DC"/>
    <w:rsid w:val="002379FC"/>
    <w:rsid w:val="00237A98"/>
    <w:rsid w:val="00237F13"/>
    <w:rsid w:val="002402BA"/>
    <w:rsid w:val="00240875"/>
    <w:rsid w:val="00240979"/>
    <w:rsid w:val="00240984"/>
    <w:rsid w:val="00240A75"/>
    <w:rsid w:val="00240A80"/>
    <w:rsid w:val="00240AE6"/>
    <w:rsid w:val="00240CED"/>
    <w:rsid w:val="00240D46"/>
    <w:rsid w:val="00240E02"/>
    <w:rsid w:val="00240F0B"/>
    <w:rsid w:val="00241046"/>
    <w:rsid w:val="00241537"/>
    <w:rsid w:val="0024162B"/>
    <w:rsid w:val="0024176B"/>
    <w:rsid w:val="00241789"/>
    <w:rsid w:val="002417C0"/>
    <w:rsid w:val="0024185C"/>
    <w:rsid w:val="00241881"/>
    <w:rsid w:val="00241A78"/>
    <w:rsid w:val="00241B7C"/>
    <w:rsid w:val="00241E99"/>
    <w:rsid w:val="00242031"/>
    <w:rsid w:val="00242122"/>
    <w:rsid w:val="002423DC"/>
    <w:rsid w:val="002426F3"/>
    <w:rsid w:val="0024273F"/>
    <w:rsid w:val="00242862"/>
    <w:rsid w:val="0024294C"/>
    <w:rsid w:val="00242A0A"/>
    <w:rsid w:val="00242A92"/>
    <w:rsid w:val="00242BD5"/>
    <w:rsid w:val="0024302F"/>
    <w:rsid w:val="002430F4"/>
    <w:rsid w:val="00243379"/>
    <w:rsid w:val="00243755"/>
    <w:rsid w:val="00243C4A"/>
    <w:rsid w:val="00243D7A"/>
    <w:rsid w:val="00243F16"/>
    <w:rsid w:val="00243F45"/>
    <w:rsid w:val="00244021"/>
    <w:rsid w:val="00244070"/>
    <w:rsid w:val="0024408C"/>
    <w:rsid w:val="00244112"/>
    <w:rsid w:val="0024440C"/>
    <w:rsid w:val="00244A11"/>
    <w:rsid w:val="00244A91"/>
    <w:rsid w:val="00244C40"/>
    <w:rsid w:val="00244C90"/>
    <w:rsid w:val="00244D3C"/>
    <w:rsid w:val="00244E67"/>
    <w:rsid w:val="00244F46"/>
    <w:rsid w:val="002453F9"/>
    <w:rsid w:val="00245885"/>
    <w:rsid w:val="00245890"/>
    <w:rsid w:val="00245B00"/>
    <w:rsid w:val="00245C75"/>
    <w:rsid w:val="00245ED2"/>
    <w:rsid w:val="00245F80"/>
    <w:rsid w:val="0024604A"/>
    <w:rsid w:val="0024612D"/>
    <w:rsid w:val="002461BA"/>
    <w:rsid w:val="00246AA9"/>
    <w:rsid w:val="00246B26"/>
    <w:rsid w:val="00246F13"/>
    <w:rsid w:val="00247090"/>
    <w:rsid w:val="002472D9"/>
    <w:rsid w:val="00247367"/>
    <w:rsid w:val="0024751D"/>
    <w:rsid w:val="0024771E"/>
    <w:rsid w:val="00247875"/>
    <w:rsid w:val="002479A5"/>
    <w:rsid w:val="00247A19"/>
    <w:rsid w:val="00247BB9"/>
    <w:rsid w:val="00247CD2"/>
    <w:rsid w:val="00247D81"/>
    <w:rsid w:val="00250080"/>
    <w:rsid w:val="0025029D"/>
    <w:rsid w:val="002502EE"/>
    <w:rsid w:val="00250342"/>
    <w:rsid w:val="00250476"/>
    <w:rsid w:val="00250490"/>
    <w:rsid w:val="00250969"/>
    <w:rsid w:val="00250A64"/>
    <w:rsid w:val="00250DF7"/>
    <w:rsid w:val="00250EE3"/>
    <w:rsid w:val="00250F88"/>
    <w:rsid w:val="00250FC2"/>
    <w:rsid w:val="0025113F"/>
    <w:rsid w:val="002511E1"/>
    <w:rsid w:val="00251206"/>
    <w:rsid w:val="002513F3"/>
    <w:rsid w:val="0025140F"/>
    <w:rsid w:val="0025155F"/>
    <w:rsid w:val="0025156A"/>
    <w:rsid w:val="002517EA"/>
    <w:rsid w:val="00251851"/>
    <w:rsid w:val="00251AF2"/>
    <w:rsid w:val="00251B07"/>
    <w:rsid w:val="00251C1C"/>
    <w:rsid w:val="00251C8F"/>
    <w:rsid w:val="00251CA6"/>
    <w:rsid w:val="00251CF0"/>
    <w:rsid w:val="00251D8C"/>
    <w:rsid w:val="00251E2F"/>
    <w:rsid w:val="00252034"/>
    <w:rsid w:val="002520E5"/>
    <w:rsid w:val="00252105"/>
    <w:rsid w:val="00252122"/>
    <w:rsid w:val="00252517"/>
    <w:rsid w:val="002525A4"/>
    <w:rsid w:val="0025267B"/>
    <w:rsid w:val="0025274F"/>
    <w:rsid w:val="002528B6"/>
    <w:rsid w:val="00252946"/>
    <w:rsid w:val="00252975"/>
    <w:rsid w:val="00253227"/>
    <w:rsid w:val="002533C8"/>
    <w:rsid w:val="0025344D"/>
    <w:rsid w:val="0025367D"/>
    <w:rsid w:val="002536A2"/>
    <w:rsid w:val="002537F7"/>
    <w:rsid w:val="00253C43"/>
    <w:rsid w:val="00253C55"/>
    <w:rsid w:val="002540A9"/>
    <w:rsid w:val="002543D5"/>
    <w:rsid w:val="002543D8"/>
    <w:rsid w:val="0025461E"/>
    <w:rsid w:val="00254896"/>
    <w:rsid w:val="002548C8"/>
    <w:rsid w:val="00254943"/>
    <w:rsid w:val="00254CCA"/>
    <w:rsid w:val="00254D23"/>
    <w:rsid w:val="00254E00"/>
    <w:rsid w:val="00254EC6"/>
    <w:rsid w:val="00255024"/>
    <w:rsid w:val="00255026"/>
    <w:rsid w:val="00255071"/>
    <w:rsid w:val="002551C8"/>
    <w:rsid w:val="0025522C"/>
    <w:rsid w:val="00255339"/>
    <w:rsid w:val="0025546A"/>
    <w:rsid w:val="002557B3"/>
    <w:rsid w:val="002557DD"/>
    <w:rsid w:val="002559BF"/>
    <w:rsid w:val="00255AFE"/>
    <w:rsid w:val="00256098"/>
    <w:rsid w:val="002561CB"/>
    <w:rsid w:val="002562B0"/>
    <w:rsid w:val="002564F6"/>
    <w:rsid w:val="0025652F"/>
    <w:rsid w:val="002566DD"/>
    <w:rsid w:val="0025690E"/>
    <w:rsid w:val="0025694A"/>
    <w:rsid w:val="00256A23"/>
    <w:rsid w:val="00256DFC"/>
    <w:rsid w:val="0025723F"/>
    <w:rsid w:val="00257396"/>
    <w:rsid w:val="002574AB"/>
    <w:rsid w:val="0025787C"/>
    <w:rsid w:val="00257991"/>
    <w:rsid w:val="00257A3C"/>
    <w:rsid w:val="00257AD5"/>
    <w:rsid w:val="00257B1F"/>
    <w:rsid w:val="00257BAA"/>
    <w:rsid w:val="00257BF1"/>
    <w:rsid w:val="00257C36"/>
    <w:rsid w:val="00257C90"/>
    <w:rsid w:val="00257E1B"/>
    <w:rsid w:val="00257E68"/>
    <w:rsid w:val="0026012B"/>
    <w:rsid w:val="002602D7"/>
    <w:rsid w:val="00260338"/>
    <w:rsid w:val="002603F8"/>
    <w:rsid w:val="00260483"/>
    <w:rsid w:val="00260771"/>
    <w:rsid w:val="00260800"/>
    <w:rsid w:val="0026089A"/>
    <w:rsid w:val="00260AD9"/>
    <w:rsid w:val="00260B46"/>
    <w:rsid w:val="00260D43"/>
    <w:rsid w:val="00260EC1"/>
    <w:rsid w:val="0026113B"/>
    <w:rsid w:val="00261197"/>
    <w:rsid w:val="0026137D"/>
    <w:rsid w:val="002613EF"/>
    <w:rsid w:val="002613F8"/>
    <w:rsid w:val="00261488"/>
    <w:rsid w:val="0026155D"/>
    <w:rsid w:val="0026155F"/>
    <w:rsid w:val="00261699"/>
    <w:rsid w:val="002617AD"/>
    <w:rsid w:val="00261A88"/>
    <w:rsid w:val="00261BE5"/>
    <w:rsid w:val="00261CA7"/>
    <w:rsid w:val="00261DDA"/>
    <w:rsid w:val="00261E47"/>
    <w:rsid w:val="00261ECE"/>
    <w:rsid w:val="00262139"/>
    <w:rsid w:val="0026221F"/>
    <w:rsid w:val="0026230F"/>
    <w:rsid w:val="0026235B"/>
    <w:rsid w:val="002623BA"/>
    <w:rsid w:val="0026256C"/>
    <w:rsid w:val="0026258A"/>
    <w:rsid w:val="002626EE"/>
    <w:rsid w:val="0026270B"/>
    <w:rsid w:val="00262DD8"/>
    <w:rsid w:val="00262E68"/>
    <w:rsid w:val="00263285"/>
    <w:rsid w:val="0026380A"/>
    <w:rsid w:val="002638B1"/>
    <w:rsid w:val="00263A0C"/>
    <w:rsid w:val="00263B6C"/>
    <w:rsid w:val="00263C30"/>
    <w:rsid w:val="00263E6E"/>
    <w:rsid w:val="00263FCE"/>
    <w:rsid w:val="00264032"/>
    <w:rsid w:val="002641F8"/>
    <w:rsid w:val="0026437A"/>
    <w:rsid w:val="00264475"/>
    <w:rsid w:val="002645C7"/>
    <w:rsid w:val="0026474D"/>
    <w:rsid w:val="00264968"/>
    <w:rsid w:val="00264D78"/>
    <w:rsid w:val="00264E55"/>
    <w:rsid w:val="00264EAD"/>
    <w:rsid w:val="00264ECF"/>
    <w:rsid w:val="00264EF5"/>
    <w:rsid w:val="0026521B"/>
    <w:rsid w:val="002652CD"/>
    <w:rsid w:val="0026533B"/>
    <w:rsid w:val="00265475"/>
    <w:rsid w:val="00265495"/>
    <w:rsid w:val="0026556A"/>
    <w:rsid w:val="0026560A"/>
    <w:rsid w:val="0026575D"/>
    <w:rsid w:val="00265850"/>
    <w:rsid w:val="00265851"/>
    <w:rsid w:val="0026593D"/>
    <w:rsid w:val="00265A36"/>
    <w:rsid w:val="00265C55"/>
    <w:rsid w:val="00265CDE"/>
    <w:rsid w:val="00265EB3"/>
    <w:rsid w:val="0026609B"/>
    <w:rsid w:val="002660BD"/>
    <w:rsid w:val="00266264"/>
    <w:rsid w:val="00266358"/>
    <w:rsid w:val="002667A6"/>
    <w:rsid w:val="002668B4"/>
    <w:rsid w:val="002668EA"/>
    <w:rsid w:val="00266946"/>
    <w:rsid w:val="0026698E"/>
    <w:rsid w:val="00266A5E"/>
    <w:rsid w:val="00266F77"/>
    <w:rsid w:val="002672F0"/>
    <w:rsid w:val="00267484"/>
    <w:rsid w:val="0026750F"/>
    <w:rsid w:val="00267579"/>
    <w:rsid w:val="00267C16"/>
    <w:rsid w:val="00267CDC"/>
    <w:rsid w:val="00267DAD"/>
    <w:rsid w:val="00267DE4"/>
    <w:rsid w:val="00270210"/>
    <w:rsid w:val="00270279"/>
    <w:rsid w:val="0027056B"/>
    <w:rsid w:val="0027069C"/>
    <w:rsid w:val="002707D3"/>
    <w:rsid w:val="002709E3"/>
    <w:rsid w:val="00270AC1"/>
    <w:rsid w:val="00270C3D"/>
    <w:rsid w:val="00270DEE"/>
    <w:rsid w:val="00270E08"/>
    <w:rsid w:val="00270FD2"/>
    <w:rsid w:val="002710CF"/>
    <w:rsid w:val="002712BB"/>
    <w:rsid w:val="0027146A"/>
    <w:rsid w:val="002715BE"/>
    <w:rsid w:val="002717A3"/>
    <w:rsid w:val="00271C3D"/>
    <w:rsid w:val="00271C7C"/>
    <w:rsid w:val="00271FFF"/>
    <w:rsid w:val="00272029"/>
    <w:rsid w:val="002720CB"/>
    <w:rsid w:val="0027224E"/>
    <w:rsid w:val="002726A6"/>
    <w:rsid w:val="002726DE"/>
    <w:rsid w:val="00272782"/>
    <w:rsid w:val="002727A7"/>
    <w:rsid w:val="00272939"/>
    <w:rsid w:val="002729C8"/>
    <w:rsid w:val="00272A14"/>
    <w:rsid w:val="00272AE7"/>
    <w:rsid w:val="00272BFE"/>
    <w:rsid w:val="00272FE3"/>
    <w:rsid w:val="002731A0"/>
    <w:rsid w:val="0027370D"/>
    <w:rsid w:val="00273AFD"/>
    <w:rsid w:val="00273DED"/>
    <w:rsid w:val="00273E08"/>
    <w:rsid w:val="00273E96"/>
    <w:rsid w:val="002740A0"/>
    <w:rsid w:val="002742FE"/>
    <w:rsid w:val="00274392"/>
    <w:rsid w:val="00274457"/>
    <w:rsid w:val="00274684"/>
    <w:rsid w:val="002747A6"/>
    <w:rsid w:val="00274899"/>
    <w:rsid w:val="002749F4"/>
    <w:rsid w:val="00274A91"/>
    <w:rsid w:val="00274C3B"/>
    <w:rsid w:val="00274DFE"/>
    <w:rsid w:val="0027525E"/>
    <w:rsid w:val="00275394"/>
    <w:rsid w:val="00275578"/>
    <w:rsid w:val="00275708"/>
    <w:rsid w:val="002758CD"/>
    <w:rsid w:val="0027590B"/>
    <w:rsid w:val="00275952"/>
    <w:rsid w:val="0027598C"/>
    <w:rsid w:val="00275BD0"/>
    <w:rsid w:val="00275BEB"/>
    <w:rsid w:val="00275CA2"/>
    <w:rsid w:val="00275DD2"/>
    <w:rsid w:val="00275DE0"/>
    <w:rsid w:val="002762EA"/>
    <w:rsid w:val="00276354"/>
    <w:rsid w:val="002765B5"/>
    <w:rsid w:val="00276881"/>
    <w:rsid w:val="00276965"/>
    <w:rsid w:val="00276A6E"/>
    <w:rsid w:val="00276CAF"/>
    <w:rsid w:val="00276EF9"/>
    <w:rsid w:val="00276F0C"/>
    <w:rsid w:val="002770A1"/>
    <w:rsid w:val="002770E6"/>
    <w:rsid w:val="002770ED"/>
    <w:rsid w:val="00277886"/>
    <w:rsid w:val="00277A76"/>
    <w:rsid w:val="00277CF3"/>
    <w:rsid w:val="00277E76"/>
    <w:rsid w:val="00277E91"/>
    <w:rsid w:val="0028001F"/>
    <w:rsid w:val="002800AA"/>
    <w:rsid w:val="002800C8"/>
    <w:rsid w:val="00280143"/>
    <w:rsid w:val="002801AB"/>
    <w:rsid w:val="00280225"/>
    <w:rsid w:val="00280419"/>
    <w:rsid w:val="002806DB"/>
    <w:rsid w:val="002806FA"/>
    <w:rsid w:val="002807A9"/>
    <w:rsid w:val="002807D8"/>
    <w:rsid w:val="00280886"/>
    <w:rsid w:val="00280BDC"/>
    <w:rsid w:val="00280F28"/>
    <w:rsid w:val="00280F48"/>
    <w:rsid w:val="0028108C"/>
    <w:rsid w:val="00281093"/>
    <w:rsid w:val="0028157C"/>
    <w:rsid w:val="002817CE"/>
    <w:rsid w:val="00281896"/>
    <w:rsid w:val="0028199B"/>
    <w:rsid w:val="00281C9E"/>
    <w:rsid w:val="00281CBF"/>
    <w:rsid w:val="00281CDB"/>
    <w:rsid w:val="00281D0F"/>
    <w:rsid w:val="0028239D"/>
    <w:rsid w:val="002824A7"/>
    <w:rsid w:val="002824D2"/>
    <w:rsid w:val="002824D8"/>
    <w:rsid w:val="0028265B"/>
    <w:rsid w:val="00282879"/>
    <w:rsid w:val="00282C5F"/>
    <w:rsid w:val="00282C77"/>
    <w:rsid w:val="00282D90"/>
    <w:rsid w:val="00282F49"/>
    <w:rsid w:val="00283368"/>
    <w:rsid w:val="002833B8"/>
    <w:rsid w:val="0028373B"/>
    <w:rsid w:val="00283974"/>
    <w:rsid w:val="00283A30"/>
    <w:rsid w:val="00283A42"/>
    <w:rsid w:val="00283AB8"/>
    <w:rsid w:val="00283C2D"/>
    <w:rsid w:val="00283D48"/>
    <w:rsid w:val="0028407E"/>
    <w:rsid w:val="00284284"/>
    <w:rsid w:val="002844DE"/>
    <w:rsid w:val="002844F5"/>
    <w:rsid w:val="002847EB"/>
    <w:rsid w:val="00284825"/>
    <w:rsid w:val="00284890"/>
    <w:rsid w:val="00284914"/>
    <w:rsid w:val="00284A0D"/>
    <w:rsid w:val="00284A2A"/>
    <w:rsid w:val="00284AA5"/>
    <w:rsid w:val="00284B05"/>
    <w:rsid w:val="00284BD8"/>
    <w:rsid w:val="00284D25"/>
    <w:rsid w:val="00284DB4"/>
    <w:rsid w:val="00284E0E"/>
    <w:rsid w:val="00284EE4"/>
    <w:rsid w:val="00284FD7"/>
    <w:rsid w:val="00284FF8"/>
    <w:rsid w:val="0028537F"/>
    <w:rsid w:val="00285456"/>
    <w:rsid w:val="00285488"/>
    <w:rsid w:val="00285774"/>
    <w:rsid w:val="002857AF"/>
    <w:rsid w:val="00285969"/>
    <w:rsid w:val="00285A4B"/>
    <w:rsid w:val="00285F11"/>
    <w:rsid w:val="00285F3D"/>
    <w:rsid w:val="002860D4"/>
    <w:rsid w:val="00286243"/>
    <w:rsid w:val="00286455"/>
    <w:rsid w:val="0028667C"/>
    <w:rsid w:val="002866F6"/>
    <w:rsid w:val="0028680F"/>
    <w:rsid w:val="00286AAF"/>
    <w:rsid w:val="00286FB6"/>
    <w:rsid w:val="0028717F"/>
    <w:rsid w:val="00287189"/>
    <w:rsid w:val="002871EB"/>
    <w:rsid w:val="002871FE"/>
    <w:rsid w:val="0028749E"/>
    <w:rsid w:val="00287608"/>
    <w:rsid w:val="00287857"/>
    <w:rsid w:val="00287878"/>
    <w:rsid w:val="00287951"/>
    <w:rsid w:val="0028797D"/>
    <w:rsid w:val="00287D0E"/>
    <w:rsid w:val="00287E1C"/>
    <w:rsid w:val="00287F1E"/>
    <w:rsid w:val="00287F78"/>
    <w:rsid w:val="00287FDE"/>
    <w:rsid w:val="0029015D"/>
    <w:rsid w:val="002902F8"/>
    <w:rsid w:val="00290646"/>
    <w:rsid w:val="002907E1"/>
    <w:rsid w:val="002908B7"/>
    <w:rsid w:val="00290934"/>
    <w:rsid w:val="00290AD9"/>
    <w:rsid w:val="00290B19"/>
    <w:rsid w:val="00290B92"/>
    <w:rsid w:val="00290C36"/>
    <w:rsid w:val="00290C89"/>
    <w:rsid w:val="0029109F"/>
    <w:rsid w:val="002912F2"/>
    <w:rsid w:val="0029134A"/>
    <w:rsid w:val="0029136A"/>
    <w:rsid w:val="0029145F"/>
    <w:rsid w:val="0029159B"/>
    <w:rsid w:val="00291807"/>
    <w:rsid w:val="00291D19"/>
    <w:rsid w:val="00291E1F"/>
    <w:rsid w:val="00291F16"/>
    <w:rsid w:val="00291FB7"/>
    <w:rsid w:val="00291FC8"/>
    <w:rsid w:val="002920B4"/>
    <w:rsid w:val="00292223"/>
    <w:rsid w:val="0029242F"/>
    <w:rsid w:val="00292781"/>
    <w:rsid w:val="00292B58"/>
    <w:rsid w:val="00292EED"/>
    <w:rsid w:val="00292F1D"/>
    <w:rsid w:val="00292FDC"/>
    <w:rsid w:val="00293091"/>
    <w:rsid w:val="002930BF"/>
    <w:rsid w:val="0029341F"/>
    <w:rsid w:val="00293598"/>
    <w:rsid w:val="0029360F"/>
    <w:rsid w:val="002939BA"/>
    <w:rsid w:val="00293B14"/>
    <w:rsid w:val="00293CA6"/>
    <w:rsid w:val="00293E27"/>
    <w:rsid w:val="00294003"/>
    <w:rsid w:val="0029406A"/>
    <w:rsid w:val="002941CF"/>
    <w:rsid w:val="00294275"/>
    <w:rsid w:val="00294329"/>
    <w:rsid w:val="0029447F"/>
    <w:rsid w:val="002944A9"/>
    <w:rsid w:val="0029454C"/>
    <w:rsid w:val="0029472A"/>
    <w:rsid w:val="0029477B"/>
    <w:rsid w:val="002948D8"/>
    <w:rsid w:val="0029492E"/>
    <w:rsid w:val="00294FD5"/>
    <w:rsid w:val="002951A7"/>
    <w:rsid w:val="002951BF"/>
    <w:rsid w:val="0029557F"/>
    <w:rsid w:val="002955E0"/>
    <w:rsid w:val="0029592B"/>
    <w:rsid w:val="002959F2"/>
    <w:rsid w:val="00295B30"/>
    <w:rsid w:val="00295C4C"/>
    <w:rsid w:val="00295CB8"/>
    <w:rsid w:val="00295E8E"/>
    <w:rsid w:val="00295FD2"/>
    <w:rsid w:val="002962E0"/>
    <w:rsid w:val="0029630B"/>
    <w:rsid w:val="00296323"/>
    <w:rsid w:val="002963CF"/>
    <w:rsid w:val="002964FD"/>
    <w:rsid w:val="00296502"/>
    <w:rsid w:val="00296618"/>
    <w:rsid w:val="00296638"/>
    <w:rsid w:val="002967EF"/>
    <w:rsid w:val="0029695F"/>
    <w:rsid w:val="00296AA9"/>
    <w:rsid w:val="00296AE3"/>
    <w:rsid w:val="00297021"/>
    <w:rsid w:val="0029709F"/>
    <w:rsid w:val="002970F4"/>
    <w:rsid w:val="002973E3"/>
    <w:rsid w:val="00297444"/>
    <w:rsid w:val="00297448"/>
    <w:rsid w:val="00297621"/>
    <w:rsid w:val="0029773B"/>
    <w:rsid w:val="00297740"/>
    <w:rsid w:val="0029775B"/>
    <w:rsid w:val="00297803"/>
    <w:rsid w:val="00297A3F"/>
    <w:rsid w:val="00297AE3"/>
    <w:rsid w:val="00297C18"/>
    <w:rsid w:val="00297CCB"/>
    <w:rsid w:val="00297CE7"/>
    <w:rsid w:val="00297E39"/>
    <w:rsid w:val="00297F42"/>
    <w:rsid w:val="002A001F"/>
    <w:rsid w:val="002A004D"/>
    <w:rsid w:val="002A009D"/>
    <w:rsid w:val="002A06AC"/>
    <w:rsid w:val="002A06F8"/>
    <w:rsid w:val="002A0897"/>
    <w:rsid w:val="002A0B3D"/>
    <w:rsid w:val="002A0BE6"/>
    <w:rsid w:val="002A0CB3"/>
    <w:rsid w:val="002A0E26"/>
    <w:rsid w:val="002A116E"/>
    <w:rsid w:val="002A1238"/>
    <w:rsid w:val="002A14BF"/>
    <w:rsid w:val="002A15EB"/>
    <w:rsid w:val="002A1B56"/>
    <w:rsid w:val="002A1C20"/>
    <w:rsid w:val="002A1CB1"/>
    <w:rsid w:val="002A1EC4"/>
    <w:rsid w:val="002A1FC9"/>
    <w:rsid w:val="002A20EB"/>
    <w:rsid w:val="002A222A"/>
    <w:rsid w:val="002A2646"/>
    <w:rsid w:val="002A272A"/>
    <w:rsid w:val="002A2829"/>
    <w:rsid w:val="002A2841"/>
    <w:rsid w:val="002A2CEF"/>
    <w:rsid w:val="002A2FB2"/>
    <w:rsid w:val="002A3163"/>
    <w:rsid w:val="002A31FA"/>
    <w:rsid w:val="002A35B8"/>
    <w:rsid w:val="002A3B2C"/>
    <w:rsid w:val="002A3CE1"/>
    <w:rsid w:val="002A3CEE"/>
    <w:rsid w:val="002A3D9B"/>
    <w:rsid w:val="002A3E12"/>
    <w:rsid w:val="002A40DD"/>
    <w:rsid w:val="002A4254"/>
    <w:rsid w:val="002A43C7"/>
    <w:rsid w:val="002A453A"/>
    <w:rsid w:val="002A475A"/>
    <w:rsid w:val="002A47CF"/>
    <w:rsid w:val="002A4A59"/>
    <w:rsid w:val="002A4BA0"/>
    <w:rsid w:val="002A4D41"/>
    <w:rsid w:val="002A4D6D"/>
    <w:rsid w:val="002A4DCF"/>
    <w:rsid w:val="002A4EBA"/>
    <w:rsid w:val="002A4EFC"/>
    <w:rsid w:val="002A4F58"/>
    <w:rsid w:val="002A4F9E"/>
    <w:rsid w:val="002A50A6"/>
    <w:rsid w:val="002A52BB"/>
    <w:rsid w:val="002A52BF"/>
    <w:rsid w:val="002A5535"/>
    <w:rsid w:val="002A5574"/>
    <w:rsid w:val="002A5760"/>
    <w:rsid w:val="002A5845"/>
    <w:rsid w:val="002A588D"/>
    <w:rsid w:val="002A5A1A"/>
    <w:rsid w:val="002A5B02"/>
    <w:rsid w:val="002A5DF4"/>
    <w:rsid w:val="002A5E00"/>
    <w:rsid w:val="002A5E12"/>
    <w:rsid w:val="002A5E8B"/>
    <w:rsid w:val="002A5EEF"/>
    <w:rsid w:val="002A6022"/>
    <w:rsid w:val="002A61BC"/>
    <w:rsid w:val="002A6234"/>
    <w:rsid w:val="002A659D"/>
    <w:rsid w:val="002A65F8"/>
    <w:rsid w:val="002A686E"/>
    <w:rsid w:val="002A691E"/>
    <w:rsid w:val="002A6952"/>
    <w:rsid w:val="002A6B62"/>
    <w:rsid w:val="002A6BCC"/>
    <w:rsid w:val="002A6CEF"/>
    <w:rsid w:val="002A6D44"/>
    <w:rsid w:val="002A6F40"/>
    <w:rsid w:val="002A6FB7"/>
    <w:rsid w:val="002A7203"/>
    <w:rsid w:val="002A726E"/>
    <w:rsid w:val="002A7363"/>
    <w:rsid w:val="002A74EF"/>
    <w:rsid w:val="002A7576"/>
    <w:rsid w:val="002A7928"/>
    <w:rsid w:val="002A7A31"/>
    <w:rsid w:val="002A7B8D"/>
    <w:rsid w:val="002A7BD9"/>
    <w:rsid w:val="002A7D56"/>
    <w:rsid w:val="002A7DD2"/>
    <w:rsid w:val="002A7E53"/>
    <w:rsid w:val="002A7F0F"/>
    <w:rsid w:val="002B00F5"/>
    <w:rsid w:val="002B0105"/>
    <w:rsid w:val="002B010D"/>
    <w:rsid w:val="002B066E"/>
    <w:rsid w:val="002B07FC"/>
    <w:rsid w:val="002B09BE"/>
    <w:rsid w:val="002B0AB5"/>
    <w:rsid w:val="002B0C2A"/>
    <w:rsid w:val="002B0C90"/>
    <w:rsid w:val="002B0DE4"/>
    <w:rsid w:val="002B0E41"/>
    <w:rsid w:val="002B1033"/>
    <w:rsid w:val="002B1119"/>
    <w:rsid w:val="002B129E"/>
    <w:rsid w:val="002B12DD"/>
    <w:rsid w:val="002B13FF"/>
    <w:rsid w:val="002B14F4"/>
    <w:rsid w:val="002B159E"/>
    <w:rsid w:val="002B16F9"/>
    <w:rsid w:val="002B192C"/>
    <w:rsid w:val="002B1B8C"/>
    <w:rsid w:val="002B1C94"/>
    <w:rsid w:val="002B1D81"/>
    <w:rsid w:val="002B1DF9"/>
    <w:rsid w:val="002B214C"/>
    <w:rsid w:val="002B217C"/>
    <w:rsid w:val="002B27A3"/>
    <w:rsid w:val="002B2C83"/>
    <w:rsid w:val="002B2CBE"/>
    <w:rsid w:val="002B2E46"/>
    <w:rsid w:val="002B319D"/>
    <w:rsid w:val="002B3353"/>
    <w:rsid w:val="002B34C1"/>
    <w:rsid w:val="002B34CD"/>
    <w:rsid w:val="002B3537"/>
    <w:rsid w:val="002B35DA"/>
    <w:rsid w:val="002B375E"/>
    <w:rsid w:val="002B3829"/>
    <w:rsid w:val="002B3C7D"/>
    <w:rsid w:val="002B3CC2"/>
    <w:rsid w:val="002B3D4F"/>
    <w:rsid w:val="002B3E67"/>
    <w:rsid w:val="002B3F4D"/>
    <w:rsid w:val="002B40EB"/>
    <w:rsid w:val="002B4464"/>
    <w:rsid w:val="002B4530"/>
    <w:rsid w:val="002B4610"/>
    <w:rsid w:val="002B463C"/>
    <w:rsid w:val="002B4668"/>
    <w:rsid w:val="002B4731"/>
    <w:rsid w:val="002B4745"/>
    <w:rsid w:val="002B4824"/>
    <w:rsid w:val="002B4B8E"/>
    <w:rsid w:val="002B51C9"/>
    <w:rsid w:val="002B5308"/>
    <w:rsid w:val="002B5330"/>
    <w:rsid w:val="002B5367"/>
    <w:rsid w:val="002B5597"/>
    <w:rsid w:val="002B5AD1"/>
    <w:rsid w:val="002B5B63"/>
    <w:rsid w:val="002B5B6C"/>
    <w:rsid w:val="002B5B6D"/>
    <w:rsid w:val="002B5DC7"/>
    <w:rsid w:val="002B5E9E"/>
    <w:rsid w:val="002B601E"/>
    <w:rsid w:val="002B6603"/>
    <w:rsid w:val="002B68AC"/>
    <w:rsid w:val="002B68CA"/>
    <w:rsid w:val="002B6A43"/>
    <w:rsid w:val="002B6AEC"/>
    <w:rsid w:val="002B6B25"/>
    <w:rsid w:val="002B6C60"/>
    <w:rsid w:val="002B6E4B"/>
    <w:rsid w:val="002B6E4D"/>
    <w:rsid w:val="002B6F40"/>
    <w:rsid w:val="002B715F"/>
    <w:rsid w:val="002B718A"/>
    <w:rsid w:val="002B718F"/>
    <w:rsid w:val="002B7634"/>
    <w:rsid w:val="002B774A"/>
    <w:rsid w:val="002B780A"/>
    <w:rsid w:val="002B798C"/>
    <w:rsid w:val="002B79D8"/>
    <w:rsid w:val="002B7AE3"/>
    <w:rsid w:val="002C002C"/>
    <w:rsid w:val="002C01F0"/>
    <w:rsid w:val="002C02EC"/>
    <w:rsid w:val="002C06B7"/>
    <w:rsid w:val="002C07FC"/>
    <w:rsid w:val="002C097B"/>
    <w:rsid w:val="002C09A5"/>
    <w:rsid w:val="002C09D9"/>
    <w:rsid w:val="002C0A2D"/>
    <w:rsid w:val="002C0B8B"/>
    <w:rsid w:val="002C0C24"/>
    <w:rsid w:val="002C0EEC"/>
    <w:rsid w:val="002C1021"/>
    <w:rsid w:val="002C1028"/>
    <w:rsid w:val="002C120F"/>
    <w:rsid w:val="002C122E"/>
    <w:rsid w:val="002C14ED"/>
    <w:rsid w:val="002C157A"/>
    <w:rsid w:val="002C16DC"/>
    <w:rsid w:val="002C1AA9"/>
    <w:rsid w:val="002C1B6D"/>
    <w:rsid w:val="002C1BEE"/>
    <w:rsid w:val="002C1C69"/>
    <w:rsid w:val="002C1D9F"/>
    <w:rsid w:val="002C1DC1"/>
    <w:rsid w:val="002C1E3B"/>
    <w:rsid w:val="002C1F00"/>
    <w:rsid w:val="002C20F9"/>
    <w:rsid w:val="002C2149"/>
    <w:rsid w:val="002C2220"/>
    <w:rsid w:val="002C2285"/>
    <w:rsid w:val="002C2299"/>
    <w:rsid w:val="002C22EF"/>
    <w:rsid w:val="002C231B"/>
    <w:rsid w:val="002C2368"/>
    <w:rsid w:val="002C2491"/>
    <w:rsid w:val="002C2D45"/>
    <w:rsid w:val="002C2D69"/>
    <w:rsid w:val="002C2F43"/>
    <w:rsid w:val="002C3156"/>
    <w:rsid w:val="002C3264"/>
    <w:rsid w:val="002C32AA"/>
    <w:rsid w:val="002C340F"/>
    <w:rsid w:val="002C34CC"/>
    <w:rsid w:val="002C3548"/>
    <w:rsid w:val="002C3589"/>
    <w:rsid w:val="002C3652"/>
    <w:rsid w:val="002C37D7"/>
    <w:rsid w:val="002C3841"/>
    <w:rsid w:val="002C39B6"/>
    <w:rsid w:val="002C3AB6"/>
    <w:rsid w:val="002C3E15"/>
    <w:rsid w:val="002C4096"/>
    <w:rsid w:val="002C41D3"/>
    <w:rsid w:val="002C429B"/>
    <w:rsid w:val="002C44BC"/>
    <w:rsid w:val="002C45C0"/>
    <w:rsid w:val="002C45F4"/>
    <w:rsid w:val="002C4B20"/>
    <w:rsid w:val="002C4B81"/>
    <w:rsid w:val="002C4ECC"/>
    <w:rsid w:val="002C4FE8"/>
    <w:rsid w:val="002C52C5"/>
    <w:rsid w:val="002C52E5"/>
    <w:rsid w:val="002C53F7"/>
    <w:rsid w:val="002C561B"/>
    <w:rsid w:val="002C572E"/>
    <w:rsid w:val="002C5755"/>
    <w:rsid w:val="002C57D9"/>
    <w:rsid w:val="002C589B"/>
    <w:rsid w:val="002C5C54"/>
    <w:rsid w:val="002C5D7F"/>
    <w:rsid w:val="002C5E49"/>
    <w:rsid w:val="002C5F8B"/>
    <w:rsid w:val="002C620F"/>
    <w:rsid w:val="002C642E"/>
    <w:rsid w:val="002C67C1"/>
    <w:rsid w:val="002C690B"/>
    <w:rsid w:val="002C6933"/>
    <w:rsid w:val="002C697C"/>
    <w:rsid w:val="002C6A7E"/>
    <w:rsid w:val="002C6BFD"/>
    <w:rsid w:val="002C6D38"/>
    <w:rsid w:val="002C6E8D"/>
    <w:rsid w:val="002C6F2B"/>
    <w:rsid w:val="002C731D"/>
    <w:rsid w:val="002C751E"/>
    <w:rsid w:val="002C7846"/>
    <w:rsid w:val="002C7A21"/>
    <w:rsid w:val="002C7FFC"/>
    <w:rsid w:val="002D00B5"/>
    <w:rsid w:val="002D0146"/>
    <w:rsid w:val="002D038A"/>
    <w:rsid w:val="002D0504"/>
    <w:rsid w:val="002D0565"/>
    <w:rsid w:val="002D05BB"/>
    <w:rsid w:val="002D060C"/>
    <w:rsid w:val="002D0717"/>
    <w:rsid w:val="002D0953"/>
    <w:rsid w:val="002D0F0F"/>
    <w:rsid w:val="002D0FCF"/>
    <w:rsid w:val="002D11BC"/>
    <w:rsid w:val="002D1634"/>
    <w:rsid w:val="002D16BB"/>
    <w:rsid w:val="002D171E"/>
    <w:rsid w:val="002D185F"/>
    <w:rsid w:val="002D1B1B"/>
    <w:rsid w:val="002D1C72"/>
    <w:rsid w:val="002D1CAA"/>
    <w:rsid w:val="002D2270"/>
    <w:rsid w:val="002D24AF"/>
    <w:rsid w:val="002D2665"/>
    <w:rsid w:val="002D268F"/>
    <w:rsid w:val="002D2824"/>
    <w:rsid w:val="002D28D8"/>
    <w:rsid w:val="002D2AC5"/>
    <w:rsid w:val="002D2D37"/>
    <w:rsid w:val="002D2DB0"/>
    <w:rsid w:val="002D2DE6"/>
    <w:rsid w:val="002D3653"/>
    <w:rsid w:val="002D36F8"/>
    <w:rsid w:val="002D36F9"/>
    <w:rsid w:val="002D37E3"/>
    <w:rsid w:val="002D37E8"/>
    <w:rsid w:val="002D3964"/>
    <w:rsid w:val="002D3A45"/>
    <w:rsid w:val="002D3A57"/>
    <w:rsid w:val="002D3AA5"/>
    <w:rsid w:val="002D3AB3"/>
    <w:rsid w:val="002D3CE4"/>
    <w:rsid w:val="002D3D69"/>
    <w:rsid w:val="002D3E30"/>
    <w:rsid w:val="002D41DB"/>
    <w:rsid w:val="002D4291"/>
    <w:rsid w:val="002D4407"/>
    <w:rsid w:val="002D44CE"/>
    <w:rsid w:val="002D44D3"/>
    <w:rsid w:val="002D4556"/>
    <w:rsid w:val="002D45B6"/>
    <w:rsid w:val="002D477C"/>
    <w:rsid w:val="002D480C"/>
    <w:rsid w:val="002D492B"/>
    <w:rsid w:val="002D4ACE"/>
    <w:rsid w:val="002D4C01"/>
    <w:rsid w:val="002D4C3A"/>
    <w:rsid w:val="002D4D87"/>
    <w:rsid w:val="002D4DD1"/>
    <w:rsid w:val="002D4EB7"/>
    <w:rsid w:val="002D4F56"/>
    <w:rsid w:val="002D50DC"/>
    <w:rsid w:val="002D529C"/>
    <w:rsid w:val="002D531E"/>
    <w:rsid w:val="002D5479"/>
    <w:rsid w:val="002D54BB"/>
    <w:rsid w:val="002D5664"/>
    <w:rsid w:val="002D5771"/>
    <w:rsid w:val="002D5914"/>
    <w:rsid w:val="002D5ABB"/>
    <w:rsid w:val="002D5ACC"/>
    <w:rsid w:val="002D5C8B"/>
    <w:rsid w:val="002D5DFF"/>
    <w:rsid w:val="002D5EDB"/>
    <w:rsid w:val="002D619C"/>
    <w:rsid w:val="002D61C9"/>
    <w:rsid w:val="002D62B4"/>
    <w:rsid w:val="002D64E7"/>
    <w:rsid w:val="002D6B27"/>
    <w:rsid w:val="002D6C92"/>
    <w:rsid w:val="002D6D6D"/>
    <w:rsid w:val="002D742B"/>
    <w:rsid w:val="002D74EC"/>
    <w:rsid w:val="002D7567"/>
    <w:rsid w:val="002D7568"/>
    <w:rsid w:val="002D7711"/>
    <w:rsid w:val="002D783C"/>
    <w:rsid w:val="002D7A7F"/>
    <w:rsid w:val="002D7B56"/>
    <w:rsid w:val="002D7BD5"/>
    <w:rsid w:val="002E0054"/>
    <w:rsid w:val="002E05D3"/>
    <w:rsid w:val="002E065D"/>
    <w:rsid w:val="002E0919"/>
    <w:rsid w:val="002E0D81"/>
    <w:rsid w:val="002E0EAA"/>
    <w:rsid w:val="002E0F15"/>
    <w:rsid w:val="002E0F8B"/>
    <w:rsid w:val="002E0FF1"/>
    <w:rsid w:val="002E107A"/>
    <w:rsid w:val="002E10B6"/>
    <w:rsid w:val="002E141D"/>
    <w:rsid w:val="002E14CB"/>
    <w:rsid w:val="002E154D"/>
    <w:rsid w:val="002E1611"/>
    <w:rsid w:val="002E16A5"/>
    <w:rsid w:val="002E1705"/>
    <w:rsid w:val="002E175E"/>
    <w:rsid w:val="002E1873"/>
    <w:rsid w:val="002E1958"/>
    <w:rsid w:val="002E1BA1"/>
    <w:rsid w:val="002E1C56"/>
    <w:rsid w:val="002E1CA5"/>
    <w:rsid w:val="002E1FB6"/>
    <w:rsid w:val="002E2084"/>
    <w:rsid w:val="002E20A7"/>
    <w:rsid w:val="002E22BB"/>
    <w:rsid w:val="002E22D1"/>
    <w:rsid w:val="002E22D2"/>
    <w:rsid w:val="002E25DC"/>
    <w:rsid w:val="002E2814"/>
    <w:rsid w:val="002E2D6C"/>
    <w:rsid w:val="002E2D93"/>
    <w:rsid w:val="002E31EB"/>
    <w:rsid w:val="002E3492"/>
    <w:rsid w:val="002E3B06"/>
    <w:rsid w:val="002E3B17"/>
    <w:rsid w:val="002E3BCF"/>
    <w:rsid w:val="002E3D35"/>
    <w:rsid w:val="002E3E86"/>
    <w:rsid w:val="002E4088"/>
    <w:rsid w:val="002E417B"/>
    <w:rsid w:val="002E41E2"/>
    <w:rsid w:val="002E4230"/>
    <w:rsid w:val="002E436D"/>
    <w:rsid w:val="002E443B"/>
    <w:rsid w:val="002E454C"/>
    <w:rsid w:val="002E4868"/>
    <w:rsid w:val="002E4A31"/>
    <w:rsid w:val="002E4B16"/>
    <w:rsid w:val="002E4B1A"/>
    <w:rsid w:val="002E4EBA"/>
    <w:rsid w:val="002E4F1B"/>
    <w:rsid w:val="002E4FC1"/>
    <w:rsid w:val="002E50AC"/>
    <w:rsid w:val="002E5295"/>
    <w:rsid w:val="002E52FE"/>
    <w:rsid w:val="002E5525"/>
    <w:rsid w:val="002E55E9"/>
    <w:rsid w:val="002E5623"/>
    <w:rsid w:val="002E585B"/>
    <w:rsid w:val="002E594C"/>
    <w:rsid w:val="002E5AA1"/>
    <w:rsid w:val="002E5AB1"/>
    <w:rsid w:val="002E5D30"/>
    <w:rsid w:val="002E5E89"/>
    <w:rsid w:val="002E5E8D"/>
    <w:rsid w:val="002E60F0"/>
    <w:rsid w:val="002E633A"/>
    <w:rsid w:val="002E65EA"/>
    <w:rsid w:val="002E6608"/>
    <w:rsid w:val="002E671A"/>
    <w:rsid w:val="002E67BF"/>
    <w:rsid w:val="002E68C0"/>
    <w:rsid w:val="002E6A64"/>
    <w:rsid w:val="002E6BC6"/>
    <w:rsid w:val="002E6CB0"/>
    <w:rsid w:val="002E6CF5"/>
    <w:rsid w:val="002E6D8A"/>
    <w:rsid w:val="002E6D9E"/>
    <w:rsid w:val="002E716B"/>
    <w:rsid w:val="002E71AE"/>
    <w:rsid w:val="002E725E"/>
    <w:rsid w:val="002E740C"/>
    <w:rsid w:val="002E7412"/>
    <w:rsid w:val="002E776B"/>
    <w:rsid w:val="002E78C4"/>
    <w:rsid w:val="002E7920"/>
    <w:rsid w:val="002E7A47"/>
    <w:rsid w:val="002E7A55"/>
    <w:rsid w:val="002E7B6D"/>
    <w:rsid w:val="002E7C02"/>
    <w:rsid w:val="002E7D1F"/>
    <w:rsid w:val="002E7ECA"/>
    <w:rsid w:val="002E7F00"/>
    <w:rsid w:val="002E7F39"/>
    <w:rsid w:val="002E7FA6"/>
    <w:rsid w:val="002F01AE"/>
    <w:rsid w:val="002F034D"/>
    <w:rsid w:val="002F03CB"/>
    <w:rsid w:val="002F0427"/>
    <w:rsid w:val="002F06E9"/>
    <w:rsid w:val="002F078C"/>
    <w:rsid w:val="002F0F0D"/>
    <w:rsid w:val="002F0F2E"/>
    <w:rsid w:val="002F1041"/>
    <w:rsid w:val="002F1166"/>
    <w:rsid w:val="002F1285"/>
    <w:rsid w:val="002F12DA"/>
    <w:rsid w:val="002F12E3"/>
    <w:rsid w:val="002F144F"/>
    <w:rsid w:val="002F146D"/>
    <w:rsid w:val="002F14C4"/>
    <w:rsid w:val="002F157B"/>
    <w:rsid w:val="002F15D8"/>
    <w:rsid w:val="002F17DC"/>
    <w:rsid w:val="002F1C5A"/>
    <w:rsid w:val="002F1C84"/>
    <w:rsid w:val="002F1C9E"/>
    <w:rsid w:val="002F1CD3"/>
    <w:rsid w:val="002F1D35"/>
    <w:rsid w:val="002F1E0D"/>
    <w:rsid w:val="002F1F14"/>
    <w:rsid w:val="002F1F1F"/>
    <w:rsid w:val="002F2118"/>
    <w:rsid w:val="002F2380"/>
    <w:rsid w:val="002F239B"/>
    <w:rsid w:val="002F2EBB"/>
    <w:rsid w:val="002F2FBE"/>
    <w:rsid w:val="002F3007"/>
    <w:rsid w:val="002F31FE"/>
    <w:rsid w:val="002F3384"/>
    <w:rsid w:val="002F3397"/>
    <w:rsid w:val="002F3548"/>
    <w:rsid w:val="002F3676"/>
    <w:rsid w:val="002F3821"/>
    <w:rsid w:val="002F386C"/>
    <w:rsid w:val="002F396B"/>
    <w:rsid w:val="002F3A4D"/>
    <w:rsid w:val="002F3BC8"/>
    <w:rsid w:val="002F3EAC"/>
    <w:rsid w:val="002F419A"/>
    <w:rsid w:val="002F42FC"/>
    <w:rsid w:val="002F44D4"/>
    <w:rsid w:val="002F4608"/>
    <w:rsid w:val="002F4875"/>
    <w:rsid w:val="002F4C27"/>
    <w:rsid w:val="002F4CDD"/>
    <w:rsid w:val="002F5152"/>
    <w:rsid w:val="002F53DE"/>
    <w:rsid w:val="002F54AD"/>
    <w:rsid w:val="002F56F4"/>
    <w:rsid w:val="002F5815"/>
    <w:rsid w:val="002F5DC8"/>
    <w:rsid w:val="002F5DCE"/>
    <w:rsid w:val="002F617F"/>
    <w:rsid w:val="002F66B0"/>
    <w:rsid w:val="002F6899"/>
    <w:rsid w:val="002F68CE"/>
    <w:rsid w:val="002F6994"/>
    <w:rsid w:val="002F6BC8"/>
    <w:rsid w:val="002F6BCF"/>
    <w:rsid w:val="002F6C12"/>
    <w:rsid w:val="002F6DC3"/>
    <w:rsid w:val="002F6EEA"/>
    <w:rsid w:val="002F7000"/>
    <w:rsid w:val="002F7099"/>
    <w:rsid w:val="002F7188"/>
    <w:rsid w:val="002F7403"/>
    <w:rsid w:val="002F7483"/>
    <w:rsid w:val="002F763A"/>
    <w:rsid w:val="002F78E5"/>
    <w:rsid w:val="002F79C0"/>
    <w:rsid w:val="002F7DF3"/>
    <w:rsid w:val="002F7E19"/>
    <w:rsid w:val="00300109"/>
    <w:rsid w:val="00300216"/>
    <w:rsid w:val="0030027D"/>
    <w:rsid w:val="00300340"/>
    <w:rsid w:val="0030052A"/>
    <w:rsid w:val="0030070C"/>
    <w:rsid w:val="00300A0F"/>
    <w:rsid w:val="00300CFE"/>
    <w:rsid w:val="00300F23"/>
    <w:rsid w:val="00301129"/>
    <w:rsid w:val="003014A0"/>
    <w:rsid w:val="00301560"/>
    <w:rsid w:val="0030168D"/>
    <w:rsid w:val="00301695"/>
    <w:rsid w:val="00301755"/>
    <w:rsid w:val="003018D2"/>
    <w:rsid w:val="00301A05"/>
    <w:rsid w:val="00301A1C"/>
    <w:rsid w:val="00301ABC"/>
    <w:rsid w:val="00301B58"/>
    <w:rsid w:val="00301B84"/>
    <w:rsid w:val="00301DA7"/>
    <w:rsid w:val="00301FA0"/>
    <w:rsid w:val="00302211"/>
    <w:rsid w:val="00302623"/>
    <w:rsid w:val="0030268E"/>
    <w:rsid w:val="00302949"/>
    <w:rsid w:val="00302A37"/>
    <w:rsid w:val="00302D21"/>
    <w:rsid w:val="00302D26"/>
    <w:rsid w:val="00302ED2"/>
    <w:rsid w:val="0030317B"/>
    <w:rsid w:val="003031E2"/>
    <w:rsid w:val="00303299"/>
    <w:rsid w:val="003034E9"/>
    <w:rsid w:val="003035EA"/>
    <w:rsid w:val="003035F3"/>
    <w:rsid w:val="00303659"/>
    <w:rsid w:val="00303931"/>
    <w:rsid w:val="003039E0"/>
    <w:rsid w:val="00303B20"/>
    <w:rsid w:val="00303BFD"/>
    <w:rsid w:val="00303D28"/>
    <w:rsid w:val="00303EA1"/>
    <w:rsid w:val="00304254"/>
    <w:rsid w:val="0030437D"/>
    <w:rsid w:val="00304757"/>
    <w:rsid w:val="003047F8"/>
    <w:rsid w:val="00304815"/>
    <w:rsid w:val="00304ACC"/>
    <w:rsid w:val="00304B83"/>
    <w:rsid w:val="00304D0F"/>
    <w:rsid w:val="00304FCA"/>
    <w:rsid w:val="0030501C"/>
    <w:rsid w:val="003050D9"/>
    <w:rsid w:val="003050E3"/>
    <w:rsid w:val="00305270"/>
    <w:rsid w:val="0030566E"/>
    <w:rsid w:val="00305677"/>
    <w:rsid w:val="003056A1"/>
    <w:rsid w:val="0030592C"/>
    <w:rsid w:val="00305CB2"/>
    <w:rsid w:val="00305E45"/>
    <w:rsid w:val="00305EC1"/>
    <w:rsid w:val="00305F83"/>
    <w:rsid w:val="003062D9"/>
    <w:rsid w:val="003063A4"/>
    <w:rsid w:val="00306477"/>
    <w:rsid w:val="0030665E"/>
    <w:rsid w:val="00306734"/>
    <w:rsid w:val="0030674F"/>
    <w:rsid w:val="00306894"/>
    <w:rsid w:val="003068A8"/>
    <w:rsid w:val="00306B73"/>
    <w:rsid w:val="00306DD9"/>
    <w:rsid w:val="00307005"/>
    <w:rsid w:val="00307032"/>
    <w:rsid w:val="00307092"/>
    <w:rsid w:val="003072BE"/>
    <w:rsid w:val="00307318"/>
    <w:rsid w:val="0030749D"/>
    <w:rsid w:val="00307527"/>
    <w:rsid w:val="0030752D"/>
    <w:rsid w:val="00307992"/>
    <w:rsid w:val="00307A02"/>
    <w:rsid w:val="00307C0C"/>
    <w:rsid w:val="00307CA4"/>
    <w:rsid w:val="00307DD7"/>
    <w:rsid w:val="00307FAE"/>
    <w:rsid w:val="003100AB"/>
    <w:rsid w:val="003100D5"/>
    <w:rsid w:val="003101A4"/>
    <w:rsid w:val="003101A9"/>
    <w:rsid w:val="003102A0"/>
    <w:rsid w:val="00310361"/>
    <w:rsid w:val="0031059C"/>
    <w:rsid w:val="00310617"/>
    <w:rsid w:val="003106D8"/>
    <w:rsid w:val="003109A6"/>
    <w:rsid w:val="00310A41"/>
    <w:rsid w:val="00310AA5"/>
    <w:rsid w:val="00310D1A"/>
    <w:rsid w:val="00310F24"/>
    <w:rsid w:val="0031103B"/>
    <w:rsid w:val="003111C6"/>
    <w:rsid w:val="003111F9"/>
    <w:rsid w:val="00311214"/>
    <w:rsid w:val="003112EA"/>
    <w:rsid w:val="0031150B"/>
    <w:rsid w:val="0031161E"/>
    <w:rsid w:val="00311837"/>
    <w:rsid w:val="003118B3"/>
    <w:rsid w:val="00311A88"/>
    <w:rsid w:val="00311AFC"/>
    <w:rsid w:val="00311CAF"/>
    <w:rsid w:val="00311CCA"/>
    <w:rsid w:val="00312118"/>
    <w:rsid w:val="003122D8"/>
    <w:rsid w:val="003122F4"/>
    <w:rsid w:val="00312549"/>
    <w:rsid w:val="0031275A"/>
    <w:rsid w:val="00312FF3"/>
    <w:rsid w:val="003131A0"/>
    <w:rsid w:val="00313371"/>
    <w:rsid w:val="003134F0"/>
    <w:rsid w:val="003134FA"/>
    <w:rsid w:val="00313589"/>
    <w:rsid w:val="00313590"/>
    <w:rsid w:val="00313781"/>
    <w:rsid w:val="00313785"/>
    <w:rsid w:val="003139AD"/>
    <w:rsid w:val="003139EC"/>
    <w:rsid w:val="00313B78"/>
    <w:rsid w:val="00313D11"/>
    <w:rsid w:val="00314074"/>
    <w:rsid w:val="003140A9"/>
    <w:rsid w:val="0031420B"/>
    <w:rsid w:val="003142AE"/>
    <w:rsid w:val="0031495A"/>
    <w:rsid w:val="00314B19"/>
    <w:rsid w:val="00314BD0"/>
    <w:rsid w:val="00314D6F"/>
    <w:rsid w:val="00314DD8"/>
    <w:rsid w:val="00314E8F"/>
    <w:rsid w:val="003150A9"/>
    <w:rsid w:val="00315ABF"/>
    <w:rsid w:val="00315B9B"/>
    <w:rsid w:val="00315CC5"/>
    <w:rsid w:val="00315D9A"/>
    <w:rsid w:val="00315EB7"/>
    <w:rsid w:val="0031608D"/>
    <w:rsid w:val="003161AC"/>
    <w:rsid w:val="003162F0"/>
    <w:rsid w:val="0031643A"/>
    <w:rsid w:val="003165E5"/>
    <w:rsid w:val="003166A7"/>
    <w:rsid w:val="0031694A"/>
    <w:rsid w:val="00316981"/>
    <w:rsid w:val="00316FD4"/>
    <w:rsid w:val="003170CA"/>
    <w:rsid w:val="00317283"/>
    <w:rsid w:val="00317624"/>
    <w:rsid w:val="00317669"/>
    <w:rsid w:val="0031774E"/>
    <w:rsid w:val="0031785C"/>
    <w:rsid w:val="003178CB"/>
    <w:rsid w:val="00317BE0"/>
    <w:rsid w:val="00317C61"/>
    <w:rsid w:val="00317F37"/>
    <w:rsid w:val="00320192"/>
    <w:rsid w:val="00320344"/>
    <w:rsid w:val="003203D6"/>
    <w:rsid w:val="00320428"/>
    <w:rsid w:val="003204CC"/>
    <w:rsid w:val="0032078D"/>
    <w:rsid w:val="0032099E"/>
    <w:rsid w:val="00320BC5"/>
    <w:rsid w:val="003211C3"/>
    <w:rsid w:val="003211D7"/>
    <w:rsid w:val="0032140E"/>
    <w:rsid w:val="003219C4"/>
    <w:rsid w:val="00321A47"/>
    <w:rsid w:val="00321A7B"/>
    <w:rsid w:val="00321B49"/>
    <w:rsid w:val="00321B80"/>
    <w:rsid w:val="00321C4C"/>
    <w:rsid w:val="00321E72"/>
    <w:rsid w:val="00321FFE"/>
    <w:rsid w:val="003224D5"/>
    <w:rsid w:val="00322829"/>
    <w:rsid w:val="00322877"/>
    <w:rsid w:val="003228C2"/>
    <w:rsid w:val="00322990"/>
    <w:rsid w:val="003229DF"/>
    <w:rsid w:val="00322ACF"/>
    <w:rsid w:val="00322B1C"/>
    <w:rsid w:val="00322B79"/>
    <w:rsid w:val="00322BF9"/>
    <w:rsid w:val="00322CAC"/>
    <w:rsid w:val="00322D34"/>
    <w:rsid w:val="00322DDA"/>
    <w:rsid w:val="00322DEB"/>
    <w:rsid w:val="00322F7A"/>
    <w:rsid w:val="00323081"/>
    <w:rsid w:val="0032316C"/>
    <w:rsid w:val="003234E8"/>
    <w:rsid w:val="00323511"/>
    <w:rsid w:val="00323645"/>
    <w:rsid w:val="00323653"/>
    <w:rsid w:val="00323AA8"/>
    <w:rsid w:val="00323C4C"/>
    <w:rsid w:val="00323CE8"/>
    <w:rsid w:val="00323E24"/>
    <w:rsid w:val="00323F88"/>
    <w:rsid w:val="00323FE1"/>
    <w:rsid w:val="00323FE5"/>
    <w:rsid w:val="003241E4"/>
    <w:rsid w:val="003244C0"/>
    <w:rsid w:val="0032453E"/>
    <w:rsid w:val="003245C6"/>
    <w:rsid w:val="003245ED"/>
    <w:rsid w:val="003246AF"/>
    <w:rsid w:val="003247B8"/>
    <w:rsid w:val="003247BE"/>
    <w:rsid w:val="003247F3"/>
    <w:rsid w:val="003248BC"/>
    <w:rsid w:val="00324BCF"/>
    <w:rsid w:val="00324C2B"/>
    <w:rsid w:val="00324C7E"/>
    <w:rsid w:val="00324C85"/>
    <w:rsid w:val="00324F04"/>
    <w:rsid w:val="00324F3B"/>
    <w:rsid w:val="00324FDC"/>
    <w:rsid w:val="003250BD"/>
    <w:rsid w:val="003250C8"/>
    <w:rsid w:val="003251DA"/>
    <w:rsid w:val="00325242"/>
    <w:rsid w:val="003253AF"/>
    <w:rsid w:val="00325437"/>
    <w:rsid w:val="00325489"/>
    <w:rsid w:val="00325562"/>
    <w:rsid w:val="00325799"/>
    <w:rsid w:val="003257D9"/>
    <w:rsid w:val="003259B5"/>
    <w:rsid w:val="00325B26"/>
    <w:rsid w:val="00325E58"/>
    <w:rsid w:val="00325FE2"/>
    <w:rsid w:val="00326024"/>
    <w:rsid w:val="00326103"/>
    <w:rsid w:val="0032612A"/>
    <w:rsid w:val="003261ED"/>
    <w:rsid w:val="0032665C"/>
    <w:rsid w:val="003266E9"/>
    <w:rsid w:val="003268D5"/>
    <w:rsid w:val="00326989"/>
    <w:rsid w:val="00326AF0"/>
    <w:rsid w:val="00326B13"/>
    <w:rsid w:val="00326CA8"/>
    <w:rsid w:val="00326F53"/>
    <w:rsid w:val="003270E5"/>
    <w:rsid w:val="00327344"/>
    <w:rsid w:val="00327393"/>
    <w:rsid w:val="003273C5"/>
    <w:rsid w:val="00327490"/>
    <w:rsid w:val="00327B11"/>
    <w:rsid w:val="00327C11"/>
    <w:rsid w:val="00327CA9"/>
    <w:rsid w:val="00330005"/>
    <w:rsid w:val="0033019C"/>
    <w:rsid w:val="00330256"/>
    <w:rsid w:val="003305A5"/>
    <w:rsid w:val="0033088F"/>
    <w:rsid w:val="00330A2D"/>
    <w:rsid w:val="00330C78"/>
    <w:rsid w:val="00330DF0"/>
    <w:rsid w:val="00330E82"/>
    <w:rsid w:val="00330F46"/>
    <w:rsid w:val="00330F72"/>
    <w:rsid w:val="00331045"/>
    <w:rsid w:val="00331047"/>
    <w:rsid w:val="0033117B"/>
    <w:rsid w:val="003311FA"/>
    <w:rsid w:val="0033156C"/>
    <w:rsid w:val="00331586"/>
    <w:rsid w:val="003317B3"/>
    <w:rsid w:val="0033194B"/>
    <w:rsid w:val="00331CF2"/>
    <w:rsid w:val="00331E1B"/>
    <w:rsid w:val="00331E1E"/>
    <w:rsid w:val="00331EC7"/>
    <w:rsid w:val="00331F50"/>
    <w:rsid w:val="00331F6A"/>
    <w:rsid w:val="003320E9"/>
    <w:rsid w:val="00332308"/>
    <w:rsid w:val="00332314"/>
    <w:rsid w:val="00332319"/>
    <w:rsid w:val="0033242B"/>
    <w:rsid w:val="00332737"/>
    <w:rsid w:val="003327E4"/>
    <w:rsid w:val="00332B2E"/>
    <w:rsid w:val="00332C75"/>
    <w:rsid w:val="00332CC9"/>
    <w:rsid w:val="00332D4C"/>
    <w:rsid w:val="00332DC4"/>
    <w:rsid w:val="00332DE5"/>
    <w:rsid w:val="00332F04"/>
    <w:rsid w:val="00332F64"/>
    <w:rsid w:val="00332FCD"/>
    <w:rsid w:val="0033305C"/>
    <w:rsid w:val="00333132"/>
    <w:rsid w:val="0033323E"/>
    <w:rsid w:val="00333292"/>
    <w:rsid w:val="00333530"/>
    <w:rsid w:val="00333645"/>
    <w:rsid w:val="003336A6"/>
    <w:rsid w:val="003336E0"/>
    <w:rsid w:val="003337B4"/>
    <w:rsid w:val="003337FF"/>
    <w:rsid w:val="00333819"/>
    <w:rsid w:val="0033386D"/>
    <w:rsid w:val="003343ED"/>
    <w:rsid w:val="0033460F"/>
    <w:rsid w:val="003349CB"/>
    <w:rsid w:val="003349F3"/>
    <w:rsid w:val="00334A47"/>
    <w:rsid w:val="00334AB0"/>
    <w:rsid w:val="00334B41"/>
    <w:rsid w:val="00335045"/>
    <w:rsid w:val="003351F3"/>
    <w:rsid w:val="003352A4"/>
    <w:rsid w:val="003354A2"/>
    <w:rsid w:val="003356E4"/>
    <w:rsid w:val="00335779"/>
    <w:rsid w:val="00335891"/>
    <w:rsid w:val="00335A15"/>
    <w:rsid w:val="00335A67"/>
    <w:rsid w:val="00335A85"/>
    <w:rsid w:val="00335B5F"/>
    <w:rsid w:val="00335BF9"/>
    <w:rsid w:val="00335D06"/>
    <w:rsid w:val="00335D3A"/>
    <w:rsid w:val="003361A7"/>
    <w:rsid w:val="003363C0"/>
    <w:rsid w:val="003365A7"/>
    <w:rsid w:val="003368E5"/>
    <w:rsid w:val="00336903"/>
    <w:rsid w:val="00336C35"/>
    <w:rsid w:val="00337010"/>
    <w:rsid w:val="00337135"/>
    <w:rsid w:val="003371BA"/>
    <w:rsid w:val="0033736B"/>
    <w:rsid w:val="0033737F"/>
    <w:rsid w:val="0033755F"/>
    <w:rsid w:val="00337579"/>
    <w:rsid w:val="00337918"/>
    <w:rsid w:val="003379A5"/>
    <w:rsid w:val="003379CF"/>
    <w:rsid w:val="00337A76"/>
    <w:rsid w:val="00337BA5"/>
    <w:rsid w:val="00337C92"/>
    <w:rsid w:val="00337D0C"/>
    <w:rsid w:val="00340023"/>
    <w:rsid w:val="003400E5"/>
    <w:rsid w:val="00340244"/>
    <w:rsid w:val="003405C8"/>
    <w:rsid w:val="0034062E"/>
    <w:rsid w:val="003407B9"/>
    <w:rsid w:val="00340B44"/>
    <w:rsid w:val="00340C3F"/>
    <w:rsid w:val="00340DBA"/>
    <w:rsid w:val="00340E6C"/>
    <w:rsid w:val="00340EBA"/>
    <w:rsid w:val="00340F44"/>
    <w:rsid w:val="00341017"/>
    <w:rsid w:val="00341087"/>
    <w:rsid w:val="00341091"/>
    <w:rsid w:val="003411D8"/>
    <w:rsid w:val="00341270"/>
    <w:rsid w:val="0034130D"/>
    <w:rsid w:val="00341427"/>
    <w:rsid w:val="0034152E"/>
    <w:rsid w:val="003417A7"/>
    <w:rsid w:val="00341B9C"/>
    <w:rsid w:val="00341C1D"/>
    <w:rsid w:val="00341CA6"/>
    <w:rsid w:val="00341DC8"/>
    <w:rsid w:val="00341FB6"/>
    <w:rsid w:val="00342053"/>
    <w:rsid w:val="00342121"/>
    <w:rsid w:val="0034218A"/>
    <w:rsid w:val="00342232"/>
    <w:rsid w:val="00342250"/>
    <w:rsid w:val="0034239C"/>
    <w:rsid w:val="003424E7"/>
    <w:rsid w:val="003426A9"/>
    <w:rsid w:val="0034278B"/>
    <w:rsid w:val="00342A2A"/>
    <w:rsid w:val="00342B8C"/>
    <w:rsid w:val="00342E74"/>
    <w:rsid w:val="00342FD2"/>
    <w:rsid w:val="00342FD3"/>
    <w:rsid w:val="00342FEA"/>
    <w:rsid w:val="00343006"/>
    <w:rsid w:val="0034305D"/>
    <w:rsid w:val="00343287"/>
    <w:rsid w:val="00343523"/>
    <w:rsid w:val="00343525"/>
    <w:rsid w:val="003439CB"/>
    <w:rsid w:val="00343B7F"/>
    <w:rsid w:val="00343B89"/>
    <w:rsid w:val="00343E11"/>
    <w:rsid w:val="00343E18"/>
    <w:rsid w:val="00343FE8"/>
    <w:rsid w:val="00344030"/>
    <w:rsid w:val="003441AD"/>
    <w:rsid w:val="00344215"/>
    <w:rsid w:val="00344252"/>
    <w:rsid w:val="00344483"/>
    <w:rsid w:val="00344488"/>
    <w:rsid w:val="003444E4"/>
    <w:rsid w:val="003444E9"/>
    <w:rsid w:val="00344551"/>
    <w:rsid w:val="00344587"/>
    <w:rsid w:val="00344606"/>
    <w:rsid w:val="003446A4"/>
    <w:rsid w:val="00344750"/>
    <w:rsid w:val="0034487C"/>
    <w:rsid w:val="003448F6"/>
    <w:rsid w:val="0034494C"/>
    <w:rsid w:val="00344A26"/>
    <w:rsid w:val="00344A7F"/>
    <w:rsid w:val="00344B20"/>
    <w:rsid w:val="00344C08"/>
    <w:rsid w:val="00344DB4"/>
    <w:rsid w:val="00344DDC"/>
    <w:rsid w:val="00344E60"/>
    <w:rsid w:val="00344F89"/>
    <w:rsid w:val="00345057"/>
    <w:rsid w:val="003450E9"/>
    <w:rsid w:val="003454A1"/>
    <w:rsid w:val="00345852"/>
    <w:rsid w:val="003458B5"/>
    <w:rsid w:val="003458C2"/>
    <w:rsid w:val="003458F7"/>
    <w:rsid w:val="00345B9E"/>
    <w:rsid w:val="00345BE5"/>
    <w:rsid w:val="00345C7F"/>
    <w:rsid w:val="00345D94"/>
    <w:rsid w:val="00345E9E"/>
    <w:rsid w:val="00346059"/>
    <w:rsid w:val="0034611A"/>
    <w:rsid w:val="003461D9"/>
    <w:rsid w:val="0034634F"/>
    <w:rsid w:val="00346403"/>
    <w:rsid w:val="0034664A"/>
    <w:rsid w:val="003467A0"/>
    <w:rsid w:val="00346971"/>
    <w:rsid w:val="00346B96"/>
    <w:rsid w:val="00346BA8"/>
    <w:rsid w:val="00346CBE"/>
    <w:rsid w:val="00346DD2"/>
    <w:rsid w:val="00346FC7"/>
    <w:rsid w:val="0034709B"/>
    <w:rsid w:val="0034710C"/>
    <w:rsid w:val="0034714E"/>
    <w:rsid w:val="003473F3"/>
    <w:rsid w:val="00347506"/>
    <w:rsid w:val="003476D2"/>
    <w:rsid w:val="003478E0"/>
    <w:rsid w:val="00347B1C"/>
    <w:rsid w:val="00347C66"/>
    <w:rsid w:val="00347D1B"/>
    <w:rsid w:val="00347D3B"/>
    <w:rsid w:val="00347D50"/>
    <w:rsid w:val="00350033"/>
    <w:rsid w:val="003503E9"/>
    <w:rsid w:val="003504FA"/>
    <w:rsid w:val="003506DB"/>
    <w:rsid w:val="00350759"/>
    <w:rsid w:val="0035087A"/>
    <w:rsid w:val="003508B1"/>
    <w:rsid w:val="003509BF"/>
    <w:rsid w:val="00350BAC"/>
    <w:rsid w:val="00350CCD"/>
    <w:rsid w:val="00350D48"/>
    <w:rsid w:val="00350EAE"/>
    <w:rsid w:val="00350FBF"/>
    <w:rsid w:val="0035131A"/>
    <w:rsid w:val="0035174E"/>
    <w:rsid w:val="00351A34"/>
    <w:rsid w:val="00351B2C"/>
    <w:rsid w:val="00351CB2"/>
    <w:rsid w:val="00351D41"/>
    <w:rsid w:val="00351DF8"/>
    <w:rsid w:val="00351E20"/>
    <w:rsid w:val="003521C7"/>
    <w:rsid w:val="00352207"/>
    <w:rsid w:val="003523C1"/>
    <w:rsid w:val="003523E3"/>
    <w:rsid w:val="0035241C"/>
    <w:rsid w:val="00352B36"/>
    <w:rsid w:val="00352CED"/>
    <w:rsid w:val="00352D43"/>
    <w:rsid w:val="00352F81"/>
    <w:rsid w:val="003530DB"/>
    <w:rsid w:val="0035315A"/>
    <w:rsid w:val="00353500"/>
    <w:rsid w:val="0035389D"/>
    <w:rsid w:val="00353921"/>
    <w:rsid w:val="003539AB"/>
    <w:rsid w:val="00353CB7"/>
    <w:rsid w:val="00353F80"/>
    <w:rsid w:val="00354047"/>
    <w:rsid w:val="003540B7"/>
    <w:rsid w:val="003540E5"/>
    <w:rsid w:val="0035427D"/>
    <w:rsid w:val="003542E4"/>
    <w:rsid w:val="003544D3"/>
    <w:rsid w:val="00354833"/>
    <w:rsid w:val="003549DE"/>
    <w:rsid w:val="00354A05"/>
    <w:rsid w:val="00354A57"/>
    <w:rsid w:val="00354ADE"/>
    <w:rsid w:val="00354B3E"/>
    <w:rsid w:val="00354C42"/>
    <w:rsid w:val="00354D27"/>
    <w:rsid w:val="00354D5D"/>
    <w:rsid w:val="00354DAD"/>
    <w:rsid w:val="00354E58"/>
    <w:rsid w:val="00354F3E"/>
    <w:rsid w:val="003550F9"/>
    <w:rsid w:val="003551DB"/>
    <w:rsid w:val="003552C9"/>
    <w:rsid w:val="0035541F"/>
    <w:rsid w:val="00355507"/>
    <w:rsid w:val="003556A0"/>
    <w:rsid w:val="00355B7C"/>
    <w:rsid w:val="00355BC4"/>
    <w:rsid w:val="00355C3F"/>
    <w:rsid w:val="00355F14"/>
    <w:rsid w:val="00356194"/>
    <w:rsid w:val="00356228"/>
    <w:rsid w:val="003563F7"/>
    <w:rsid w:val="003564C3"/>
    <w:rsid w:val="00356736"/>
    <w:rsid w:val="00356755"/>
    <w:rsid w:val="0035677D"/>
    <w:rsid w:val="003567E5"/>
    <w:rsid w:val="003568C5"/>
    <w:rsid w:val="00356B86"/>
    <w:rsid w:val="00356B92"/>
    <w:rsid w:val="00356D1E"/>
    <w:rsid w:val="00356D7A"/>
    <w:rsid w:val="00356DFC"/>
    <w:rsid w:val="00356E4A"/>
    <w:rsid w:val="00357171"/>
    <w:rsid w:val="0035738A"/>
    <w:rsid w:val="00357429"/>
    <w:rsid w:val="0035772C"/>
    <w:rsid w:val="00357768"/>
    <w:rsid w:val="00357ADD"/>
    <w:rsid w:val="00357B0A"/>
    <w:rsid w:val="00357CD5"/>
    <w:rsid w:val="00357CDB"/>
    <w:rsid w:val="00357FD4"/>
    <w:rsid w:val="003600D1"/>
    <w:rsid w:val="003600F0"/>
    <w:rsid w:val="00360124"/>
    <w:rsid w:val="0036020C"/>
    <w:rsid w:val="003603EE"/>
    <w:rsid w:val="00360565"/>
    <w:rsid w:val="00360618"/>
    <w:rsid w:val="00360663"/>
    <w:rsid w:val="003606AB"/>
    <w:rsid w:val="00360963"/>
    <w:rsid w:val="00360979"/>
    <w:rsid w:val="003609D8"/>
    <w:rsid w:val="00360A12"/>
    <w:rsid w:val="00360B1A"/>
    <w:rsid w:val="00360B99"/>
    <w:rsid w:val="00360BC6"/>
    <w:rsid w:val="00360BFB"/>
    <w:rsid w:val="00360D07"/>
    <w:rsid w:val="00360DAA"/>
    <w:rsid w:val="0036106B"/>
    <w:rsid w:val="003613F2"/>
    <w:rsid w:val="0036143E"/>
    <w:rsid w:val="003616B1"/>
    <w:rsid w:val="00361751"/>
    <w:rsid w:val="0036178E"/>
    <w:rsid w:val="00361B31"/>
    <w:rsid w:val="00361DDB"/>
    <w:rsid w:val="00361F65"/>
    <w:rsid w:val="00362007"/>
    <w:rsid w:val="003628F4"/>
    <w:rsid w:val="00362BBF"/>
    <w:rsid w:val="00362CA0"/>
    <w:rsid w:val="00362D3A"/>
    <w:rsid w:val="00363057"/>
    <w:rsid w:val="003631F9"/>
    <w:rsid w:val="00363581"/>
    <w:rsid w:val="003635A1"/>
    <w:rsid w:val="003638C1"/>
    <w:rsid w:val="00363962"/>
    <w:rsid w:val="00363978"/>
    <w:rsid w:val="00363BA1"/>
    <w:rsid w:val="00363BB5"/>
    <w:rsid w:val="00363C16"/>
    <w:rsid w:val="00363C7C"/>
    <w:rsid w:val="00363D51"/>
    <w:rsid w:val="00363DED"/>
    <w:rsid w:val="00363EE6"/>
    <w:rsid w:val="00363EFB"/>
    <w:rsid w:val="00363F01"/>
    <w:rsid w:val="00363F50"/>
    <w:rsid w:val="003641D1"/>
    <w:rsid w:val="003643E9"/>
    <w:rsid w:val="003644B4"/>
    <w:rsid w:val="0036466A"/>
    <w:rsid w:val="003647E7"/>
    <w:rsid w:val="0036487D"/>
    <w:rsid w:val="003648E9"/>
    <w:rsid w:val="003649F8"/>
    <w:rsid w:val="00364A78"/>
    <w:rsid w:val="00364BF3"/>
    <w:rsid w:val="00364DE5"/>
    <w:rsid w:val="00364E78"/>
    <w:rsid w:val="00364F18"/>
    <w:rsid w:val="003650E4"/>
    <w:rsid w:val="003650ED"/>
    <w:rsid w:val="003651E9"/>
    <w:rsid w:val="00365231"/>
    <w:rsid w:val="00365381"/>
    <w:rsid w:val="0036572C"/>
    <w:rsid w:val="00365849"/>
    <w:rsid w:val="003658D6"/>
    <w:rsid w:val="003659A3"/>
    <w:rsid w:val="00365A16"/>
    <w:rsid w:val="00365A2D"/>
    <w:rsid w:val="00365AA2"/>
    <w:rsid w:val="00365C9B"/>
    <w:rsid w:val="003662AA"/>
    <w:rsid w:val="00366355"/>
    <w:rsid w:val="003663FE"/>
    <w:rsid w:val="00366400"/>
    <w:rsid w:val="0036654E"/>
    <w:rsid w:val="00366566"/>
    <w:rsid w:val="003665A1"/>
    <w:rsid w:val="003665CD"/>
    <w:rsid w:val="003665E4"/>
    <w:rsid w:val="0036698D"/>
    <w:rsid w:val="00366BC9"/>
    <w:rsid w:val="00366D06"/>
    <w:rsid w:val="00366E70"/>
    <w:rsid w:val="00366F3C"/>
    <w:rsid w:val="0036715C"/>
    <w:rsid w:val="003672F1"/>
    <w:rsid w:val="003673AA"/>
    <w:rsid w:val="00367984"/>
    <w:rsid w:val="003679FD"/>
    <w:rsid w:val="00367B99"/>
    <w:rsid w:val="00367C36"/>
    <w:rsid w:val="00367D7B"/>
    <w:rsid w:val="00367DCB"/>
    <w:rsid w:val="00367FB6"/>
    <w:rsid w:val="00367FD5"/>
    <w:rsid w:val="0037019F"/>
    <w:rsid w:val="00370794"/>
    <w:rsid w:val="003708AA"/>
    <w:rsid w:val="003708B5"/>
    <w:rsid w:val="003709A4"/>
    <w:rsid w:val="00370A31"/>
    <w:rsid w:val="00370C6A"/>
    <w:rsid w:val="00370EAB"/>
    <w:rsid w:val="0037103B"/>
    <w:rsid w:val="003710CF"/>
    <w:rsid w:val="0037118C"/>
    <w:rsid w:val="003711D1"/>
    <w:rsid w:val="0037120F"/>
    <w:rsid w:val="003717F4"/>
    <w:rsid w:val="003717FD"/>
    <w:rsid w:val="00371AA8"/>
    <w:rsid w:val="00371AC3"/>
    <w:rsid w:val="00371AC8"/>
    <w:rsid w:val="00371DA3"/>
    <w:rsid w:val="00371E18"/>
    <w:rsid w:val="00371E8D"/>
    <w:rsid w:val="00371EE6"/>
    <w:rsid w:val="00371F13"/>
    <w:rsid w:val="00372532"/>
    <w:rsid w:val="00372684"/>
    <w:rsid w:val="003727F6"/>
    <w:rsid w:val="00372971"/>
    <w:rsid w:val="00372AC2"/>
    <w:rsid w:val="00372E1F"/>
    <w:rsid w:val="00372EBB"/>
    <w:rsid w:val="00373011"/>
    <w:rsid w:val="003731DC"/>
    <w:rsid w:val="00373327"/>
    <w:rsid w:val="003735CD"/>
    <w:rsid w:val="0037360B"/>
    <w:rsid w:val="00373616"/>
    <w:rsid w:val="003737E2"/>
    <w:rsid w:val="003739BF"/>
    <w:rsid w:val="00373B06"/>
    <w:rsid w:val="00373B2F"/>
    <w:rsid w:val="00373CB4"/>
    <w:rsid w:val="00373DBE"/>
    <w:rsid w:val="00374086"/>
    <w:rsid w:val="00374103"/>
    <w:rsid w:val="0037420D"/>
    <w:rsid w:val="0037428B"/>
    <w:rsid w:val="003742A5"/>
    <w:rsid w:val="003742AD"/>
    <w:rsid w:val="003743B3"/>
    <w:rsid w:val="003747C1"/>
    <w:rsid w:val="0037490D"/>
    <w:rsid w:val="003749B3"/>
    <w:rsid w:val="00374A7C"/>
    <w:rsid w:val="00374BA5"/>
    <w:rsid w:val="00374C40"/>
    <w:rsid w:val="00374C4B"/>
    <w:rsid w:val="00374CAA"/>
    <w:rsid w:val="0037511B"/>
    <w:rsid w:val="003753FE"/>
    <w:rsid w:val="00375428"/>
    <w:rsid w:val="0037543F"/>
    <w:rsid w:val="003755A0"/>
    <w:rsid w:val="00375655"/>
    <w:rsid w:val="0037575E"/>
    <w:rsid w:val="00375A08"/>
    <w:rsid w:val="00375AC0"/>
    <w:rsid w:val="00375B7F"/>
    <w:rsid w:val="00375BC4"/>
    <w:rsid w:val="00375CB1"/>
    <w:rsid w:val="00375D11"/>
    <w:rsid w:val="00375EE1"/>
    <w:rsid w:val="003760EC"/>
    <w:rsid w:val="0037620B"/>
    <w:rsid w:val="00376451"/>
    <w:rsid w:val="0037685D"/>
    <w:rsid w:val="0037687B"/>
    <w:rsid w:val="00376B24"/>
    <w:rsid w:val="00376B3B"/>
    <w:rsid w:val="00376C63"/>
    <w:rsid w:val="00376D41"/>
    <w:rsid w:val="00376DD5"/>
    <w:rsid w:val="003772E4"/>
    <w:rsid w:val="00377587"/>
    <w:rsid w:val="0037759D"/>
    <w:rsid w:val="00377687"/>
    <w:rsid w:val="00377835"/>
    <w:rsid w:val="00377897"/>
    <w:rsid w:val="003778D5"/>
    <w:rsid w:val="00377907"/>
    <w:rsid w:val="00377A6F"/>
    <w:rsid w:val="00377C45"/>
    <w:rsid w:val="003800F8"/>
    <w:rsid w:val="003803E3"/>
    <w:rsid w:val="003805CA"/>
    <w:rsid w:val="0038069D"/>
    <w:rsid w:val="0038085B"/>
    <w:rsid w:val="00380A57"/>
    <w:rsid w:val="00380AE1"/>
    <w:rsid w:val="00380CFD"/>
    <w:rsid w:val="00380E76"/>
    <w:rsid w:val="00381086"/>
    <w:rsid w:val="003812F3"/>
    <w:rsid w:val="0038135F"/>
    <w:rsid w:val="0038141F"/>
    <w:rsid w:val="003814E3"/>
    <w:rsid w:val="0038159A"/>
    <w:rsid w:val="003815AC"/>
    <w:rsid w:val="00381601"/>
    <w:rsid w:val="0038162D"/>
    <w:rsid w:val="00381705"/>
    <w:rsid w:val="00381728"/>
    <w:rsid w:val="003819A5"/>
    <w:rsid w:val="003819A6"/>
    <w:rsid w:val="00381E10"/>
    <w:rsid w:val="00381E5C"/>
    <w:rsid w:val="00381FCA"/>
    <w:rsid w:val="00382122"/>
    <w:rsid w:val="003824E3"/>
    <w:rsid w:val="0038291A"/>
    <w:rsid w:val="003829A0"/>
    <w:rsid w:val="003829EF"/>
    <w:rsid w:val="00382A9B"/>
    <w:rsid w:val="00382F47"/>
    <w:rsid w:val="003830B6"/>
    <w:rsid w:val="0038326D"/>
    <w:rsid w:val="00383425"/>
    <w:rsid w:val="00383504"/>
    <w:rsid w:val="003835B2"/>
    <w:rsid w:val="003836EA"/>
    <w:rsid w:val="00383752"/>
    <w:rsid w:val="00383A4D"/>
    <w:rsid w:val="00383D42"/>
    <w:rsid w:val="00383E24"/>
    <w:rsid w:val="00383F68"/>
    <w:rsid w:val="0038400D"/>
    <w:rsid w:val="003841AE"/>
    <w:rsid w:val="003841EB"/>
    <w:rsid w:val="003841FE"/>
    <w:rsid w:val="00384224"/>
    <w:rsid w:val="00384333"/>
    <w:rsid w:val="00384392"/>
    <w:rsid w:val="003843AE"/>
    <w:rsid w:val="00384740"/>
    <w:rsid w:val="00384A71"/>
    <w:rsid w:val="00384EF3"/>
    <w:rsid w:val="00384F18"/>
    <w:rsid w:val="00384F5C"/>
    <w:rsid w:val="003851F2"/>
    <w:rsid w:val="003852A0"/>
    <w:rsid w:val="00385339"/>
    <w:rsid w:val="00385357"/>
    <w:rsid w:val="0038547E"/>
    <w:rsid w:val="003858A6"/>
    <w:rsid w:val="0038593A"/>
    <w:rsid w:val="00385AA0"/>
    <w:rsid w:val="00385AE1"/>
    <w:rsid w:val="00385C46"/>
    <w:rsid w:val="00385E22"/>
    <w:rsid w:val="00385E37"/>
    <w:rsid w:val="00385E47"/>
    <w:rsid w:val="00385E48"/>
    <w:rsid w:val="00385EC1"/>
    <w:rsid w:val="00386209"/>
    <w:rsid w:val="00386297"/>
    <w:rsid w:val="003862FD"/>
    <w:rsid w:val="00386407"/>
    <w:rsid w:val="0038646C"/>
    <w:rsid w:val="0038657C"/>
    <w:rsid w:val="0038674C"/>
    <w:rsid w:val="0038675C"/>
    <w:rsid w:val="00386829"/>
    <w:rsid w:val="0038683A"/>
    <w:rsid w:val="00386899"/>
    <w:rsid w:val="003868A2"/>
    <w:rsid w:val="00386BBF"/>
    <w:rsid w:val="00386E03"/>
    <w:rsid w:val="0038701E"/>
    <w:rsid w:val="00387437"/>
    <w:rsid w:val="0038747C"/>
    <w:rsid w:val="003874F7"/>
    <w:rsid w:val="0038751B"/>
    <w:rsid w:val="003875A5"/>
    <w:rsid w:val="003875BA"/>
    <w:rsid w:val="003876BE"/>
    <w:rsid w:val="00387726"/>
    <w:rsid w:val="00387A8A"/>
    <w:rsid w:val="00387B04"/>
    <w:rsid w:val="00387D65"/>
    <w:rsid w:val="00387FEB"/>
    <w:rsid w:val="00390065"/>
    <w:rsid w:val="003900FF"/>
    <w:rsid w:val="00390238"/>
    <w:rsid w:val="00390243"/>
    <w:rsid w:val="003903EA"/>
    <w:rsid w:val="003907A4"/>
    <w:rsid w:val="003909D9"/>
    <w:rsid w:val="00390C5D"/>
    <w:rsid w:val="00390C87"/>
    <w:rsid w:val="00390D3D"/>
    <w:rsid w:val="00390F9A"/>
    <w:rsid w:val="003911C1"/>
    <w:rsid w:val="003912CF"/>
    <w:rsid w:val="00391320"/>
    <w:rsid w:val="00391328"/>
    <w:rsid w:val="00391386"/>
    <w:rsid w:val="003914A3"/>
    <w:rsid w:val="00391714"/>
    <w:rsid w:val="0039176E"/>
    <w:rsid w:val="003918EA"/>
    <w:rsid w:val="0039199B"/>
    <w:rsid w:val="00391A67"/>
    <w:rsid w:val="00391AE1"/>
    <w:rsid w:val="00391B69"/>
    <w:rsid w:val="00391C19"/>
    <w:rsid w:val="00391DC0"/>
    <w:rsid w:val="00391E91"/>
    <w:rsid w:val="0039202E"/>
    <w:rsid w:val="00392051"/>
    <w:rsid w:val="00392067"/>
    <w:rsid w:val="00392097"/>
    <w:rsid w:val="00392260"/>
    <w:rsid w:val="003922CD"/>
    <w:rsid w:val="003923F8"/>
    <w:rsid w:val="0039252E"/>
    <w:rsid w:val="003925A2"/>
    <w:rsid w:val="00392620"/>
    <w:rsid w:val="003927A8"/>
    <w:rsid w:val="0039285B"/>
    <w:rsid w:val="0039295F"/>
    <w:rsid w:val="00392DCC"/>
    <w:rsid w:val="00392E70"/>
    <w:rsid w:val="00392F89"/>
    <w:rsid w:val="00393065"/>
    <w:rsid w:val="0039321C"/>
    <w:rsid w:val="003932EF"/>
    <w:rsid w:val="0039389D"/>
    <w:rsid w:val="00393A65"/>
    <w:rsid w:val="00393D74"/>
    <w:rsid w:val="00393D9A"/>
    <w:rsid w:val="00393E92"/>
    <w:rsid w:val="003940AE"/>
    <w:rsid w:val="003940D3"/>
    <w:rsid w:val="0039421F"/>
    <w:rsid w:val="0039444D"/>
    <w:rsid w:val="00394763"/>
    <w:rsid w:val="00394771"/>
    <w:rsid w:val="0039483C"/>
    <w:rsid w:val="00394A77"/>
    <w:rsid w:val="00394B98"/>
    <w:rsid w:val="00394BE7"/>
    <w:rsid w:val="00394C51"/>
    <w:rsid w:val="00394DDB"/>
    <w:rsid w:val="00394E00"/>
    <w:rsid w:val="00394EA4"/>
    <w:rsid w:val="00394ED3"/>
    <w:rsid w:val="00394F58"/>
    <w:rsid w:val="00394FC8"/>
    <w:rsid w:val="003950AB"/>
    <w:rsid w:val="003952EF"/>
    <w:rsid w:val="00395300"/>
    <w:rsid w:val="00395385"/>
    <w:rsid w:val="00395413"/>
    <w:rsid w:val="003954F4"/>
    <w:rsid w:val="00395628"/>
    <w:rsid w:val="0039564F"/>
    <w:rsid w:val="00395724"/>
    <w:rsid w:val="003958B3"/>
    <w:rsid w:val="003958CB"/>
    <w:rsid w:val="003958FD"/>
    <w:rsid w:val="003959DD"/>
    <w:rsid w:val="00395B43"/>
    <w:rsid w:val="00395B48"/>
    <w:rsid w:val="00395B55"/>
    <w:rsid w:val="00395B77"/>
    <w:rsid w:val="00395E6E"/>
    <w:rsid w:val="00395FDC"/>
    <w:rsid w:val="0039633A"/>
    <w:rsid w:val="00396407"/>
    <w:rsid w:val="00396550"/>
    <w:rsid w:val="00396609"/>
    <w:rsid w:val="00396665"/>
    <w:rsid w:val="00396D80"/>
    <w:rsid w:val="00396E36"/>
    <w:rsid w:val="00396EBD"/>
    <w:rsid w:val="00396F0B"/>
    <w:rsid w:val="00397375"/>
    <w:rsid w:val="00397452"/>
    <w:rsid w:val="003974D8"/>
    <w:rsid w:val="00397563"/>
    <w:rsid w:val="0039766C"/>
    <w:rsid w:val="00397692"/>
    <w:rsid w:val="003977CA"/>
    <w:rsid w:val="00397AC0"/>
    <w:rsid w:val="00397AC9"/>
    <w:rsid w:val="00397BA7"/>
    <w:rsid w:val="00397BB5"/>
    <w:rsid w:val="00397BE2"/>
    <w:rsid w:val="00397D1D"/>
    <w:rsid w:val="00397EFC"/>
    <w:rsid w:val="00397FF2"/>
    <w:rsid w:val="003A007A"/>
    <w:rsid w:val="003A01F4"/>
    <w:rsid w:val="003A02DE"/>
    <w:rsid w:val="003A0419"/>
    <w:rsid w:val="003A04AD"/>
    <w:rsid w:val="003A084A"/>
    <w:rsid w:val="003A08B7"/>
    <w:rsid w:val="003A0933"/>
    <w:rsid w:val="003A0ACA"/>
    <w:rsid w:val="003A0CFD"/>
    <w:rsid w:val="003A0D8E"/>
    <w:rsid w:val="003A1557"/>
    <w:rsid w:val="003A1579"/>
    <w:rsid w:val="003A15B2"/>
    <w:rsid w:val="003A169E"/>
    <w:rsid w:val="003A16AC"/>
    <w:rsid w:val="003A1747"/>
    <w:rsid w:val="003A19B3"/>
    <w:rsid w:val="003A19B8"/>
    <w:rsid w:val="003A1CDE"/>
    <w:rsid w:val="003A1CFA"/>
    <w:rsid w:val="003A1DCF"/>
    <w:rsid w:val="003A2002"/>
    <w:rsid w:val="003A223E"/>
    <w:rsid w:val="003A2259"/>
    <w:rsid w:val="003A2282"/>
    <w:rsid w:val="003A2397"/>
    <w:rsid w:val="003A2434"/>
    <w:rsid w:val="003A24AA"/>
    <w:rsid w:val="003A2517"/>
    <w:rsid w:val="003A26AD"/>
    <w:rsid w:val="003A26BD"/>
    <w:rsid w:val="003A26D8"/>
    <w:rsid w:val="003A26DE"/>
    <w:rsid w:val="003A2A08"/>
    <w:rsid w:val="003A2D6A"/>
    <w:rsid w:val="003A2D6B"/>
    <w:rsid w:val="003A3035"/>
    <w:rsid w:val="003A30A7"/>
    <w:rsid w:val="003A30AC"/>
    <w:rsid w:val="003A310C"/>
    <w:rsid w:val="003A318B"/>
    <w:rsid w:val="003A3231"/>
    <w:rsid w:val="003A3327"/>
    <w:rsid w:val="003A3370"/>
    <w:rsid w:val="003A33BA"/>
    <w:rsid w:val="003A3415"/>
    <w:rsid w:val="003A3D22"/>
    <w:rsid w:val="003A3DCF"/>
    <w:rsid w:val="003A3E73"/>
    <w:rsid w:val="003A3ECB"/>
    <w:rsid w:val="003A41BD"/>
    <w:rsid w:val="003A43EF"/>
    <w:rsid w:val="003A44B1"/>
    <w:rsid w:val="003A470E"/>
    <w:rsid w:val="003A4743"/>
    <w:rsid w:val="003A47DB"/>
    <w:rsid w:val="003A49AC"/>
    <w:rsid w:val="003A4A81"/>
    <w:rsid w:val="003A4A8D"/>
    <w:rsid w:val="003A4C66"/>
    <w:rsid w:val="003A4D24"/>
    <w:rsid w:val="003A4E43"/>
    <w:rsid w:val="003A4E50"/>
    <w:rsid w:val="003A4F22"/>
    <w:rsid w:val="003A51D1"/>
    <w:rsid w:val="003A51FD"/>
    <w:rsid w:val="003A52D1"/>
    <w:rsid w:val="003A540A"/>
    <w:rsid w:val="003A5473"/>
    <w:rsid w:val="003A56CE"/>
    <w:rsid w:val="003A57E7"/>
    <w:rsid w:val="003A5A00"/>
    <w:rsid w:val="003A5A9F"/>
    <w:rsid w:val="003A5AB1"/>
    <w:rsid w:val="003A5B36"/>
    <w:rsid w:val="003A5B5A"/>
    <w:rsid w:val="003A5B91"/>
    <w:rsid w:val="003A5B94"/>
    <w:rsid w:val="003A5F5F"/>
    <w:rsid w:val="003A5F63"/>
    <w:rsid w:val="003A5F7B"/>
    <w:rsid w:val="003A602C"/>
    <w:rsid w:val="003A610F"/>
    <w:rsid w:val="003A6152"/>
    <w:rsid w:val="003A625D"/>
    <w:rsid w:val="003A6472"/>
    <w:rsid w:val="003A64AE"/>
    <w:rsid w:val="003A64B3"/>
    <w:rsid w:val="003A64E2"/>
    <w:rsid w:val="003A68DE"/>
    <w:rsid w:val="003A6A2A"/>
    <w:rsid w:val="003A6BDC"/>
    <w:rsid w:val="003A6BF9"/>
    <w:rsid w:val="003A6C5B"/>
    <w:rsid w:val="003A6D66"/>
    <w:rsid w:val="003A70BD"/>
    <w:rsid w:val="003A7144"/>
    <w:rsid w:val="003A72C4"/>
    <w:rsid w:val="003A7359"/>
    <w:rsid w:val="003A74AA"/>
    <w:rsid w:val="003A74F3"/>
    <w:rsid w:val="003A7512"/>
    <w:rsid w:val="003A7623"/>
    <w:rsid w:val="003A77C1"/>
    <w:rsid w:val="003A7A65"/>
    <w:rsid w:val="003A7B0B"/>
    <w:rsid w:val="003A7B1F"/>
    <w:rsid w:val="003A7D32"/>
    <w:rsid w:val="003A7E5F"/>
    <w:rsid w:val="003A7E94"/>
    <w:rsid w:val="003A7EA3"/>
    <w:rsid w:val="003B00B2"/>
    <w:rsid w:val="003B03EB"/>
    <w:rsid w:val="003B0403"/>
    <w:rsid w:val="003B06F7"/>
    <w:rsid w:val="003B078B"/>
    <w:rsid w:val="003B0BF6"/>
    <w:rsid w:val="003B0DEB"/>
    <w:rsid w:val="003B0E2A"/>
    <w:rsid w:val="003B0F39"/>
    <w:rsid w:val="003B108C"/>
    <w:rsid w:val="003B1169"/>
    <w:rsid w:val="003B12DB"/>
    <w:rsid w:val="003B13BB"/>
    <w:rsid w:val="003B13CD"/>
    <w:rsid w:val="003B146F"/>
    <w:rsid w:val="003B1808"/>
    <w:rsid w:val="003B19FD"/>
    <w:rsid w:val="003B1C22"/>
    <w:rsid w:val="003B1CE2"/>
    <w:rsid w:val="003B1E05"/>
    <w:rsid w:val="003B2270"/>
    <w:rsid w:val="003B233D"/>
    <w:rsid w:val="003B2376"/>
    <w:rsid w:val="003B24A3"/>
    <w:rsid w:val="003B256C"/>
    <w:rsid w:val="003B266E"/>
    <w:rsid w:val="003B27BE"/>
    <w:rsid w:val="003B28A3"/>
    <w:rsid w:val="003B28C5"/>
    <w:rsid w:val="003B2B67"/>
    <w:rsid w:val="003B2E69"/>
    <w:rsid w:val="003B3075"/>
    <w:rsid w:val="003B309B"/>
    <w:rsid w:val="003B3184"/>
    <w:rsid w:val="003B3255"/>
    <w:rsid w:val="003B3353"/>
    <w:rsid w:val="003B3914"/>
    <w:rsid w:val="003B393B"/>
    <w:rsid w:val="003B3E31"/>
    <w:rsid w:val="003B3F4B"/>
    <w:rsid w:val="003B3FE1"/>
    <w:rsid w:val="003B402E"/>
    <w:rsid w:val="003B4047"/>
    <w:rsid w:val="003B4048"/>
    <w:rsid w:val="003B40AE"/>
    <w:rsid w:val="003B424E"/>
    <w:rsid w:val="003B424F"/>
    <w:rsid w:val="003B45CB"/>
    <w:rsid w:val="003B468E"/>
    <w:rsid w:val="003B46A3"/>
    <w:rsid w:val="003B477D"/>
    <w:rsid w:val="003B4970"/>
    <w:rsid w:val="003B49D3"/>
    <w:rsid w:val="003B49E1"/>
    <w:rsid w:val="003B4B1C"/>
    <w:rsid w:val="003B4B26"/>
    <w:rsid w:val="003B4CAC"/>
    <w:rsid w:val="003B4F97"/>
    <w:rsid w:val="003B559D"/>
    <w:rsid w:val="003B5673"/>
    <w:rsid w:val="003B5919"/>
    <w:rsid w:val="003B5BD7"/>
    <w:rsid w:val="003B5CFB"/>
    <w:rsid w:val="003B5E62"/>
    <w:rsid w:val="003B6177"/>
    <w:rsid w:val="003B61B7"/>
    <w:rsid w:val="003B641D"/>
    <w:rsid w:val="003B642E"/>
    <w:rsid w:val="003B6446"/>
    <w:rsid w:val="003B64A2"/>
    <w:rsid w:val="003B65D2"/>
    <w:rsid w:val="003B65ED"/>
    <w:rsid w:val="003B66E2"/>
    <w:rsid w:val="003B69FD"/>
    <w:rsid w:val="003B6C27"/>
    <w:rsid w:val="003B704C"/>
    <w:rsid w:val="003B7118"/>
    <w:rsid w:val="003B738C"/>
    <w:rsid w:val="003B75D9"/>
    <w:rsid w:val="003B77FA"/>
    <w:rsid w:val="003B7854"/>
    <w:rsid w:val="003B78F6"/>
    <w:rsid w:val="003B7909"/>
    <w:rsid w:val="003B7B57"/>
    <w:rsid w:val="003B7D33"/>
    <w:rsid w:val="003B7E48"/>
    <w:rsid w:val="003B7ED4"/>
    <w:rsid w:val="003C003C"/>
    <w:rsid w:val="003C015F"/>
    <w:rsid w:val="003C0402"/>
    <w:rsid w:val="003C0484"/>
    <w:rsid w:val="003C04B8"/>
    <w:rsid w:val="003C0624"/>
    <w:rsid w:val="003C0734"/>
    <w:rsid w:val="003C078E"/>
    <w:rsid w:val="003C08FF"/>
    <w:rsid w:val="003C094D"/>
    <w:rsid w:val="003C0A17"/>
    <w:rsid w:val="003C0AF6"/>
    <w:rsid w:val="003C0B46"/>
    <w:rsid w:val="003C0B5B"/>
    <w:rsid w:val="003C0BC9"/>
    <w:rsid w:val="003C0C76"/>
    <w:rsid w:val="003C0D1E"/>
    <w:rsid w:val="003C0D8B"/>
    <w:rsid w:val="003C0FC5"/>
    <w:rsid w:val="003C0FC8"/>
    <w:rsid w:val="003C10D0"/>
    <w:rsid w:val="003C12C0"/>
    <w:rsid w:val="003C136D"/>
    <w:rsid w:val="003C1499"/>
    <w:rsid w:val="003C14AE"/>
    <w:rsid w:val="003C16C8"/>
    <w:rsid w:val="003C1775"/>
    <w:rsid w:val="003C1989"/>
    <w:rsid w:val="003C1B8C"/>
    <w:rsid w:val="003C1BE5"/>
    <w:rsid w:val="003C1DB5"/>
    <w:rsid w:val="003C1E6A"/>
    <w:rsid w:val="003C2001"/>
    <w:rsid w:val="003C208D"/>
    <w:rsid w:val="003C2294"/>
    <w:rsid w:val="003C22E5"/>
    <w:rsid w:val="003C235B"/>
    <w:rsid w:val="003C2419"/>
    <w:rsid w:val="003C24B4"/>
    <w:rsid w:val="003C2575"/>
    <w:rsid w:val="003C259D"/>
    <w:rsid w:val="003C25FC"/>
    <w:rsid w:val="003C2693"/>
    <w:rsid w:val="003C2698"/>
    <w:rsid w:val="003C269D"/>
    <w:rsid w:val="003C2726"/>
    <w:rsid w:val="003C277E"/>
    <w:rsid w:val="003C2846"/>
    <w:rsid w:val="003C2927"/>
    <w:rsid w:val="003C2AD0"/>
    <w:rsid w:val="003C2D1E"/>
    <w:rsid w:val="003C2D60"/>
    <w:rsid w:val="003C2E22"/>
    <w:rsid w:val="003C2F26"/>
    <w:rsid w:val="003C31BC"/>
    <w:rsid w:val="003C330A"/>
    <w:rsid w:val="003C339F"/>
    <w:rsid w:val="003C3767"/>
    <w:rsid w:val="003C383D"/>
    <w:rsid w:val="003C3895"/>
    <w:rsid w:val="003C394C"/>
    <w:rsid w:val="003C3966"/>
    <w:rsid w:val="003C3A55"/>
    <w:rsid w:val="003C3A5C"/>
    <w:rsid w:val="003C40C2"/>
    <w:rsid w:val="003C4115"/>
    <w:rsid w:val="003C411E"/>
    <w:rsid w:val="003C4177"/>
    <w:rsid w:val="003C41F2"/>
    <w:rsid w:val="003C4407"/>
    <w:rsid w:val="003C44F6"/>
    <w:rsid w:val="003C456B"/>
    <w:rsid w:val="003C45BE"/>
    <w:rsid w:val="003C45C8"/>
    <w:rsid w:val="003C47E7"/>
    <w:rsid w:val="003C4844"/>
    <w:rsid w:val="003C48B6"/>
    <w:rsid w:val="003C49CD"/>
    <w:rsid w:val="003C4BD7"/>
    <w:rsid w:val="003C4DBC"/>
    <w:rsid w:val="003C4EE2"/>
    <w:rsid w:val="003C500D"/>
    <w:rsid w:val="003C5116"/>
    <w:rsid w:val="003C5154"/>
    <w:rsid w:val="003C5695"/>
    <w:rsid w:val="003C5758"/>
    <w:rsid w:val="003C57C2"/>
    <w:rsid w:val="003C57F2"/>
    <w:rsid w:val="003C594F"/>
    <w:rsid w:val="003C5B7F"/>
    <w:rsid w:val="003C6128"/>
    <w:rsid w:val="003C63B8"/>
    <w:rsid w:val="003C641B"/>
    <w:rsid w:val="003C642B"/>
    <w:rsid w:val="003C67CA"/>
    <w:rsid w:val="003C67DE"/>
    <w:rsid w:val="003C6876"/>
    <w:rsid w:val="003C6B4F"/>
    <w:rsid w:val="003C6CF3"/>
    <w:rsid w:val="003C6DBD"/>
    <w:rsid w:val="003C6F31"/>
    <w:rsid w:val="003C7039"/>
    <w:rsid w:val="003C7090"/>
    <w:rsid w:val="003C70AA"/>
    <w:rsid w:val="003C70C9"/>
    <w:rsid w:val="003C712F"/>
    <w:rsid w:val="003C722A"/>
    <w:rsid w:val="003C7278"/>
    <w:rsid w:val="003C7428"/>
    <w:rsid w:val="003C757D"/>
    <w:rsid w:val="003C76DE"/>
    <w:rsid w:val="003C7706"/>
    <w:rsid w:val="003C7877"/>
    <w:rsid w:val="003C78AA"/>
    <w:rsid w:val="003C78AC"/>
    <w:rsid w:val="003C7D17"/>
    <w:rsid w:val="003C7DB2"/>
    <w:rsid w:val="003C7EB6"/>
    <w:rsid w:val="003D0006"/>
    <w:rsid w:val="003D0074"/>
    <w:rsid w:val="003D00AE"/>
    <w:rsid w:val="003D00AF"/>
    <w:rsid w:val="003D01EE"/>
    <w:rsid w:val="003D034F"/>
    <w:rsid w:val="003D0474"/>
    <w:rsid w:val="003D04CA"/>
    <w:rsid w:val="003D0506"/>
    <w:rsid w:val="003D0584"/>
    <w:rsid w:val="003D05EA"/>
    <w:rsid w:val="003D0620"/>
    <w:rsid w:val="003D0730"/>
    <w:rsid w:val="003D085A"/>
    <w:rsid w:val="003D0A4D"/>
    <w:rsid w:val="003D0A73"/>
    <w:rsid w:val="003D0CC1"/>
    <w:rsid w:val="003D0D65"/>
    <w:rsid w:val="003D0F14"/>
    <w:rsid w:val="003D10EB"/>
    <w:rsid w:val="003D11F1"/>
    <w:rsid w:val="003D13A0"/>
    <w:rsid w:val="003D1575"/>
    <w:rsid w:val="003D166A"/>
    <w:rsid w:val="003D16A3"/>
    <w:rsid w:val="003D172F"/>
    <w:rsid w:val="003D174F"/>
    <w:rsid w:val="003D2133"/>
    <w:rsid w:val="003D22B6"/>
    <w:rsid w:val="003D232B"/>
    <w:rsid w:val="003D23E7"/>
    <w:rsid w:val="003D2413"/>
    <w:rsid w:val="003D26BB"/>
    <w:rsid w:val="003D2B79"/>
    <w:rsid w:val="003D2EAA"/>
    <w:rsid w:val="003D3008"/>
    <w:rsid w:val="003D328E"/>
    <w:rsid w:val="003D3481"/>
    <w:rsid w:val="003D390D"/>
    <w:rsid w:val="003D3957"/>
    <w:rsid w:val="003D3B01"/>
    <w:rsid w:val="003D3B2D"/>
    <w:rsid w:val="003D3D67"/>
    <w:rsid w:val="003D3E37"/>
    <w:rsid w:val="003D40F5"/>
    <w:rsid w:val="003D4105"/>
    <w:rsid w:val="003D4179"/>
    <w:rsid w:val="003D4188"/>
    <w:rsid w:val="003D42C5"/>
    <w:rsid w:val="003D42E6"/>
    <w:rsid w:val="003D4314"/>
    <w:rsid w:val="003D4460"/>
    <w:rsid w:val="003D458B"/>
    <w:rsid w:val="003D458D"/>
    <w:rsid w:val="003D463C"/>
    <w:rsid w:val="003D4665"/>
    <w:rsid w:val="003D46B0"/>
    <w:rsid w:val="003D4880"/>
    <w:rsid w:val="003D4AF4"/>
    <w:rsid w:val="003D4BA1"/>
    <w:rsid w:val="003D4CED"/>
    <w:rsid w:val="003D4D7D"/>
    <w:rsid w:val="003D4E85"/>
    <w:rsid w:val="003D4FF7"/>
    <w:rsid w:val="003D5193"/>
    <w:rsid w:val="003D54A2"/>
    <w:rsid w:val="003D55E2"/>
    <w:rsid w:val="003D5699"/>
    <w:rsid w:val="003D56C2"/>
    <w:rsid w:val="003D5802"/>
    <w:rsid w:val="003D5938"/>
    <w:rsid w:val="003D5986"/>
    <w:rsid w:val="003D5B13"/>
    <w:rsid w:val="003D5B55"/>
    <w:rsid w:val="003D5C60"/>
    <w:rsid w:val="003D5D6C"/>
    <w:rsid w:val="003D5D89"/>
    <w:rsid w:val="003D5DD5"/>
    <w:rsid w:val="003D6415"/>
    <w:rsid w:val="003D6488"/>
    <w:rsid w:val="003D6687"/>
    <w:rsid w:val="003D6AD3"/>
    <w:rsid w:val="003D6AE7"/>
    <w:rsid w:val="003D6D41"/>
    <w:rsid w:val="003D6DAD"/>
    <w:rsid w:val="003D6DBE"/>
    <w:rsid w:val="003D705B"/>
    <w:rsid w:val="003D7140"/>
    <w:rsid w:val="003D727A"/>
    <w:rsid w:val="003D7361"/>
    <w:rsid w:val="003D7706"/>
    <w:rsid w:val="003D7A0F"/>
    <w:rsid w:val="003D7B73"/>
    <w:rsid w:val="003E00F5"/>
    <w:rsid w:val="003E03B6"/>
    <w:rsid w:val="003E04AB"/>
    <w:rsid w:val="003E04BB"/>
    <w:rsid w:val="003E0678"/>
    <w:rsid w:val="003E06A5"/>
    <w:rsid w:val="003E079C"/>
    <w:rsid w:val="003E095E"/>
    <w:rsid w:val="003E0A01"/>
    <w:rsid w:val="003E0DBD"/>
    <w:rsid w:val="003E139B"/>
    <w:rsid w:val="003E1543"/>
    <w:rsid w:val="003E1593"/>
    <w:rsid w:val="003E166F"/>
    <w:rsid w:val="003E170C"/>
    <w:rsid w:val="003E18A9"/>
    <w:rsid w:val="003E199E"/>
    <w:rsid w:val="003E1F77"/>
    <w:rsid w:val="003E2052"/>
    <w:rsid w:val="003E20AB"/>
    <w:rsid w:val="003E20D6"/>
    <w:rsid w:val="003E218D"/>
    <w:rsid w:val="003E2230"/>
    <w:rsid w:val="003E2285"/>
    <w:rsid w:val="003E24D1"/>
    <w:rsid w:val="003E24E4"/>
    <w:rsid w:val="003E2592"/>
    <w:rsid w:val="003E26A2"/>
    <w:rsid w:val="003E2761"/>
    <w:rsid w:val="003E2C7E"/>
    <w:rsid w:val="003E329C"/>
    <w:rsid w:val="003E331D"/>
    <w:rsid w:val="003E3415"/>
    <w:rsid w:val="003E3B2C"/>
    <w:rsid w:val="003E3E67"/>
    <w:rsid w:val="003E3EBA"/>
    <w:rsid w:val="003E3FA7"/>
    <w:rsid w:val="003E407F"/>
    <w:rsid w:val="003E4087"/>
    <w:rsid w:val="003E4141"/>
    <w:rsid w:val="003E43DE"/>
    <w:rsid w:val="003E44B2"/>
    <w:rsid w:val="003E4741"/>
    <w:rsid w:val="003E4854"/>
    <w:rsid w:val="003E488B"/>
    <w:rsid w:val="003E48A1"/>
    <w:rsid w:val="003E49E9"/>
    <w:rsid w:val="003E4B43"/>
    <w:rsid w:val="003E4C22"/>
    <w:rsid w:val="003E4D87"/>
    <w:rsid w:val="003E4E0F"/>
    <w:rsid w:val="003E4E28"/>
    <w:rsid w:val="003E4EC6"/>
    <w:rsid w:val="003E5136"/>
    <w:rsid w:val="003E521E"/>
    <w:rsid w:val="003E5223"/>
    <w:rsid w:val="003E54ED"/>
    <w:rsid w:val="003E5803"/>
    <w:rsid w:val="003E5A7A"/>
    <w:rsid w:val="003E5AB6"/>
    <w:rsid w:val="003E5AF2"/>
    <w:rsid w:val="003E5C74"/>
    <w:rsid w:val="003E5D8C"/>
    <w:rsid w:val="003E5DD5"/>
    <w:rsid w:val="003E5E47"/>
    <w:rsid w:val="003E5F28"/>
    <w:rsid w:val="003E603E"/>
    <w:rsid w:val="003E61AC"/>
    <w:rsid w:val="003E63A7"/>
    <w:rsid w:val="003E64B4"/>
    <w:rsid w:val="003E6533"/>
    <w:rsid w:val="003E69DE"/>
    <w:rsid w:val="003E6CED"/>
    <w:rsid w:val="003E6F2B"/>
    <w:rsid w:val="003E70A0"/>
    <w:rsid w:val="003E7128"/>
    <w:rsid w:val="003E7141"/>
    <w:rsid w:val="003E7155"/>
    <w:rsid w:val="003E72A3"/>
    <w:rsid w:val="003E730A"/>
    <w:rsid w:val="003E7472"/>
    <w:rsid w:val="003E7699"/>
    <w:rsid w:val="003E7717"/>
    <w:rsid w:val="003E7754"/>
    <w:rsid w:val="003E77B6"/>
    <w:rsid w:val="003E7C04"/>
    <w:rsid w:val="003E7C63"/>
    <w:rsid w:val="003E7E7D"/>
    <w:rsid w:val="003E7F00"/>
    <w:rsid w:val="003E7FBD"/>
    <w:rsid w:val="003F0023"/>
    <w:rsid w:val="003F05D3"/>
    <w:rsid w:val="003F0A37"/>
    <w:rsid w:val="003F0AFA"/>
    <w:rsid w:val="003F0FB9"/>
    <w:rsid w:val="003F0FE5"/>
    <w:rsid w:val="003F10B6"/>
    <w:rsid w:val="003F10BF"/>
    <w:rsid w:val="003F14B3"/>
    <w:rsid w:val="003F1996"/>
    <w:rsid w:val="003F19F5"/>
    <w:rsid w:val="003F1A3A"/>
    <w:rsid w:val="003F1AC3"/>
    <w:rsid w:val="003F1BF1"/>
    <w:rsid w:val="003F1C1D"/>
    <w:rsid w:val="003F1E7C"/>
    <w:rsid w:val="003F1E97"/>
    <w:rsid w:val="003F20BA"/>
    <w:rsid w:val="003F2260"/>
    <w:rsid w:val="003F26F8"/>
    <w:rsid w:val="003F27D5"/>
    <w:rsid w:val="003F296A"/>
    <w:rsid w:val="003F2AD8"/>
    <w:rsid w:val="003F2AEE"/>
    <w:rsid w:val="003F2AF9"/>
    <w:rsid w:val="003F2C45"/>
    <w:rsid w:val="003F2D30"/>
    <w:rsid w:val="003F2E8C"/>
    <w:rsid w:val="003F2EE0"/>
    <w:rsid w:val="003F30C9"/>
    <w:rsid w:val="003F30E6"/>
    <w:rsid w:val="003F3169"/>
    <w:rsid w:val="003F3463"/>
    <w:rsid w:val="003F367C"/>
    <w:rsid w:val="003F36A0"/>
    <w:rsid w:val="003F3775"/>
    <w:rsid w:val="003F3907"/>
    <w:rsid w:val="003F3957"/>
    <w:rsid w:val="003F39A5"/>
    <w:rsid w:val="003F39C9"/>
    <w:rsid w:val="003F3DE3"/>
    <w:rsid w:val="003F4136"/>
    <w:rsid w:val="003F41C9"/>
    <w:rsid w:val="003F42F2"/>
    <w:rsid w:val="003F4333"/>
    <w:rsid w:val="003F4680"/>
    <w:rsid w:val="003F4795"/>
    <w:rsid w:val="003F4DB7"/>
    <w:rsid w:val="003F4E14"/>
    <w:rsid w:val="003F4ECC"/>
    <w:rsid w:val="003F4EEF"/>
    <w:rsid w:val="003F5368"/>
    <w:rsid w:val="003F5545"/>
    <w:rsid w:val="003F55BB"/>
    <w:rsid w:val="003F5740"/>
    <w:rsid w:val="003F579A"/>
    <w:rsid w:val="003F5959"/>
    <w:rsid w:val="003F595C"/>
    <w:rsid w:val="003F597E"/>
    <w:rsid w:val="003F5A9E"/>
    <w:rsid w:val="003F5DA8"/>
    <w:rsid w:val="003F5F96"/>
    <w:rsid w:val="003F6087"/>
    <w:rsid w:val="003F60A5"/>
    <w:rsid w:val="003F61B7"/>
    <w:rsid w:val="003F61F3"/>
    <w:rsid w:val="003F639C"/>
    <w:rsid w:val="003F664D"/>
    <w:rsid w:val="003F66ED"/>
    <w:rsid w:val="003F678E"/>
    <w:rsid w:val="003F69D9"/>
    <w:rsid w:val="003F6AFA"/>
    <w:rsid w:val="003F6BC5"/>
    <w:rsid w:val="003F6C04"/>
    <w:rsid w:val="003F6C1A"/>
    <w:rsid w:val="003F6CCD"/>
    <w:rsid w:val="003F6CF9"/>
    <w:rsid w:val="003F6D44"/>
    <w:rsid w:val="003F6D53"/>
    <w:rsid w:val="003F6E00"/>
    <w:rsid w:val="003F6E2B"/>
    <w:rsid w:val="003F6EB6"/>
    <w:rsid w:val="003F6EF0"/>
    <w:rsid w:val="003F6F30"/>
    <w:rsid w:val="003F6F69"/>
    <w:rsid w:val="003F708C"/>
    <w:rsid w:val="003F70AC"/>
    <w:rsid w:val="003F773C"/>
    <w:rsid w:val="003F7856"/>
    <w:rsid w:val="003F78FA"/>
    <w:rsid w:val="003F7A73"/>
    <w:rsid w:val="003F7CF6"/>
    <w:rsid w:val="003F7D62"/>
    <w:rsid w:val="003F7EE7"/>
    <w:rsid w:val="0040001C"/>
    <w:rsid w:val="004001DF"/>
    <w:rsid w:val="00400274"/>
    <w:rsid w:val="0040037C"/>
    <w:rsid w:val="004004BC"/>
    <w:rsid w:val="00400613"/>
    <w:rsid w:val="00400993"/>
    <w:rsid w:val="00400A9E"/>
    <w:rsid w:val="00400ADE"/>
    <w:rsid w:val="00400E17"/>
    <w:rsid w:val="00400EEA"/>
    <w:rsid w:val="00401082"/>
    <w:rsid w:val="00401285"/>
    <w:rsid w:val="004012B7"/>
    <w:rsid w:val="00401523"/>
    <w:rsid w:val="00401646"/>
    <w:rsid w:val="00401967"/>
    <w:rsid w:val="0040197D"/>
    <w:rsid w:val="004019F5"/>
    <w:rsid w:val="00401D8A"/>
    <w:rsid w:val="00401E58"/>
    <w:rsid w:val="00401F39"/>
    <w:rsid w:val="00401F44"/>
    <w:rsid w:val="00402094"/>
    <w:rsid w:val="0040216A"/>
    <w:rsid w:val="0040222E"/>
    <w:rsid w:val="0040231A"/>
    <w:rsid w:val="0040246E"/>
    <w:rsid w:val="00402471"/>
    <w:rsid w:val="00402556"/>
    <w:rsid w:val="004025BB"/>
    <w:rsid w:val="004026AC"/>
    <w:rsid w:val="0040271A"/>
    <w:rsid w:val="004028B2"/>
    <w:rsid w:val="00402B94"/>
    <w:rsid w:val="00402BD3"/>
    <w:rsid w:val="00402CE0"/>
    <w:rsid w:val="00402D3C"/>
    <w:rsid w:val="00402E71"/>
    <w:rsid w:val="00402E92"/>
    <w:rsid w:val="00402F5B"/>
    <w:rsid w:val="00403242"/>
    <w:rsid w:val="0040349C"/>
    <w:rsid w:val="004034A2"/>
    <w:rsid w:val="00403793"/>
    <w:rsid w:val="00403B62"/>
    <w:rsid w:val="00403DB5"/>
    <w:rsid w:val="00403ED4"/>
    <w:rsid w:val="00404012"/>
    <w:rsid w:val="004042DA"/>
    <w:rsid w:val="0040432D"/>
    <w:rsid w:val="00404593"/>
    <w:rsid w:val="004046EF"/>
    <w:rsid w:val="00404804"/>
    <w:rsid w:val="00404A0C"/>
    <w:rsid w:val="00404BA7"/>
    <w:rsid w:val="00404BEF"/>
    <w:rsid w:val="00404D09"/>
    <w:rsid w:val="00404D29"/>
    <w:rsid w:val="00404E1C"/>
    <w:rsid w:val="00404FED"/>
    <w:rsid w:val="00405341"/>
    <w:rsid w:val="00405370"/>
    <w:rsid w:val="004053A4"/>
    <w:rsid w:val="0040571D"/>
    <w:rsid w:val="004059D6"/>
    <w:rsid w:val="00405F68"/>
    <w:rsid w:val="0040606D"/>
    <w:rsid w:val="0040627D"/>
    <w:rsid w:val="0040629D"/>
    <w:rsid w:val="004066CC"/>
    <w:rsid w:val="0040686E"/>
    <w:rsid w:val="00406985"/>
    <w:rsid w:val="00406A71"/>
    <w:rsid w:val="00406C29"/>
    <w:rsid w:val="00406E1E"/>
    <w:rsid w:val="00406EC3"/>
    <w:rsid w:val="00406ECC"/>
    <w:rsid w:val="00407211"/>
    <w:rsid w:val="004072B7"/>
    <w:rsid w:val="004077D0"/>
    <w:rsid w:val="00407856"/>
    <w:rsid w:val="00407BCD"/>
    <w:rsid w:val="00407C6A"/>
    <w:rsid w:val="00407C78"/>
    <w:rsid w:val="0041018C"/>
    <w:rsid w:val="0041051A"/>
    <w:rsid w:val="00410720"/>
    <w:rsid w:val="00410795"/>
    <w:rsid w:val="00410819"/>
    <w:rsid w:val="0041086F"/>
    <w:rsid w:val="004108B2"/>
    <w:rsid w:val="00410919"/>
    <w:rsid w:val="00410AAD"/>
    <w:rsid w:val="00410B47"/>
    <w:rsid w:val="00410D01"/>
    <w:rsid w:val="00410D68"/>
    <w:rsid w:val="004110A1"/>
    <w:rsid w:val="00411197"/>
    <w:rsid w:val="0041177D"/>
    <w:rsid w:val="00411916"/>
    <w:rsid w:val="00411977"/>
    <w:rsid w:val="00411B6B"/>
    <w:rsid w:val="00411BE8"/>
    <w:rsid w:val="00411C85"/>
    <w:rsid w:val="00411D0E"/>
    <w:rsid w:val="00411DC2"/>
    <w:rsid w:val="004123C2"/>
    <w:rsid w:val="00412552"/>
    <w:rsid w:val="004128C9"/>
    <w:rsid w:val="004128E7"/>
    <w:rsid w:val="00412EB0"/>
    <w:rsid w:val="00412ECB"/>
    <w:rsid w:val="00412EEB"/>
    <w:rsid w:val="004130B2"/>
    <w:rsid w:val="00413106"/>
    <w:rsid w:val="0041310D"/>
    <w:rsid w:val="004131D1"/>
    <w:rsid w:val="0041327E"/>
    <w:rsid w:val="004134B8"/>
    <w:rsid w:val="0041352F"/>
    <w:rsid w:val="0041360F"/>
    <w:rsid w:val="00413707"/>
    <w:rsid w:val="00413760"/>
    <w:rsid w:val="004137C3"/>
    <w:rsid w:val="004137DA"/>
    <w:rsid w:val="00413BEB"/>
    <w:rsid w:val="00413C12"/>
    <w:rsid w:val="00413E99"/>
    <w:rsid w:val="00414146"/>
    <w:rsid w:val="004142E3"/>
    <w:rsid w:val="00414449"/>
    <w:rsid w:val="00414454"/>
    <w:rsid w:val="00414900"/>
    <w:rsid w:val="00414A6D"/>
    <w:rsid w:val="004150A0"/>
    <w:rsid w:val="004151B6"/>
    <w:rsid w:val="00415423"/>
    <w:rsid w:val="004156A1"/>
    <w:rsid w:val="004156DA"/>
    <w:rsid w:val="00415766"/>
    <w:rsid w:val="004157C5"/>
    <w:rsid w:val="00415874"/>
    <w:rsid w:val="00415A32"/>
    <w:rsid w:val="00415CAC"/>
    <w:rsid w:val="00415D15"/>
    <w:rsid w:val="00415F11"/>
    <w:rsid w:val="00415FC7"/>
    <w:rsid w:val="004160EC"/>
    <w:rsid w:val="00416185"/>
    <w:rsid w:val="0041645F"/>
    <w:rsid w:val="0041647C"/>
    <w:rsid w:val="004164D2"/>
    <w:rsid w:val="00416556"/>
    <w:rsid w:val="0041657D"/>
    <w:rsid w:val="00416762"/>
    <w:rsid w:val="00416798"/>
    <w:rsid w:val="004168AD"/>
    <w:rsid w:val="00416934"/>
    <w:rsid w:val="00416A93"/>
    <w:rsid w:val="00416A9A"/>
    <w:rsid w:val="00416BBF"/>
    <w:rsid w:val="00416BD1"/>
    <w:rsid w:val="00416DBE"/>
    <w:rsid w:val="00416DE4"/>
    <w:rsid w:val="00416E55"/>
    <w:rsid w:val="00416F49"/>
    <w:rsid w:val="00416FF9"/>
    <w:rsid w:val="004171FC"/>
    <w:rsid w:val="004174ED"/>
    <w:rsid w:val="00417579"/>
    <w:rsid w:val="004175C7"/>
    <w:rsid w:val="00417612"/>
    <w:rsid w:val="00417637"/>
    <w:rsid w:val="00417669"/>
    <w:rsid w:val="004177C3"/>
    <w:rsid w:val="00417A84"/>
    <w:rsid w:val="00417B3B"/>
    <w:rsid w:val="00417BEB"/>
    <w:rsid w:val="00417C37"/>
    <w:rsid w:val="00417CED"/>
    <w:rsid w:val="00417D81"/>
    <w:rsid w:val="00420085"/>
    <w:rsid w:val="004200CB"/>
    <w:rsid w:val="004201A2"/>
    <w:rsid w:val="00420317"/>
    <w:rsid w:val="004203ED"/>
    <w:rsid w:val="00420805"/>
    <w:rsid w:val="00420829"/>
    <w:rsid w:val="00420865"/>
    <w:rsid w:val="004208AC"/>
    <w:rsid w:val="004208F6"/>
    <w:rsid w:val="00420B18"/>
    <w:rsid w:val="00420F64"/>
    <w:rsid w:val="00421026"/>
    <w:rsid w:val="00421061"/>
    <w:rsid w:val="0042120A"/>
    <w:rsid w:val="0042138A"/>
    <w:rsid w:val="0042139D"/>
    <w:rsid w:val="0042140C"/>
    <w:rsid w:val="00421638"/>
    <w:rsid w:val="004216A8"/>
    <w:rsid w:val="00421752"/>
    <w:rsid w:val="00421833"/>
    <w:rsid w:val="00421955"/>
    <w:rsid w:val="00421B7A"/>
    <w:rsid w:val="00421B8F"/>
    <w:rsid w:val="00421C0D"/>
    <w:rsid w:val="00421C6A"/>
    <w:rsid w:val="00421E25"/>
    <w:rsid w:val="00421F04"/>
    <w:rsid w:val="004223B3"/>
    <w:rsid w:val="004227F6"/>
    <w:rsid w:val="00422BD5"/>
    <w:rsid w:val="00422FBA"/>
    <w:rsid w:val="004231BA"/>
    <w:rsid w:val="00423337"/>
    <w:rsid w:val="004233C5"/>
    <w:rsid w:val="004233C9"/>
    <w:rsid w:val="0042344F"/>
    <w:rsid w:val="00423522"/>
    <w:rsid w:val="004235FB"/>
    <w:rsid w:val="00423672"/>
    <w:rsid w:val="004236C5"/>
    <w:rsid w:val="00423733"/>
    <w:rsid w:val="00423A1E"/>
    <w:rsid w:val="00423B6D"/>
    <w:rsid w:val="00423B94"/>
    <w:rsid w:val="00423CBB"/>
    <w:rsid w:val="00423EB6"/>
    <w:rsid w:val="00424155"/>
    <w:rsid w:val="00424258"/>
    <w:rsid w:val="00424279"/>
    <w:rsid w:val="0042438D"/>
    <w:rsid w:val="004244F0"/>
    <w:rsid w:val="0042459A"/>
    <w:rsid w:val="004245B7"/>
    <w:rsid w:val="00424629"/>
    <w:rsid w:val="004246B0"/>
    <w:rsid w:val="00424841"/>
    <w:rsid w:val="0042496D"/>
    <w:rsid w:val="00424AF0"/>
    <w:rsid w:val="004250D6"/>
    <w:rsid w:val="0042518A"/>
    <w:rsid w:val="00425446"/>
    <w:rsid w:val="0042547A"/>
    <w:rsid w:val="004254DD"/>
    <w:rsid w:val="0042567D"/>
    <w:rsid w:val="00425886"/>
    <w:rsid w:val="00425A09"/>
    <w:rsid w:val="00425CF0"/>
    <w:rsid w:val="00425DC3"/>
    <w:rsid w:val="00425E1B"/>
    <w:rsid w:val="00425E35"/>
    <w:rsid w:val="00426217"/>
    <w:rsid w:val="00426364"/>
    <w:rsid w:val="00426377"/>
    <w:rsid w:val="00426583"/>
    <w:rsid w:val="00426642"/>
    <w:rsid w:val="004266D5"/>
    <w:rsid w:val="00426A08"/>
    <w:rsid w:val="00426C4D"/>
    <w:rsid w:val="00426C54"/>
    <w:rsid w:val="00426E1E"/>
    <w:rsid w:val="0042713E"/>
    <w:rsid w:val="0042720A"/>
    <w:rsid w:val="00427299"/>
    <w:rsid w:val="004274FB"/>
    <w:rsid w:val="004276A0"/>
    <w:rsid w:val="004276C0"/>
    <w:rsid w:val="00427801"/>
    <w:rsid w:val="00427961"/>
    <w:rsid w:val="00427F78"/>
    <w:rsid w:val="004300F9"/>
    <w:rsid w:val="00430273"/>
    <w:rsid w:val="00430436"/>
    <w:rsid w:val="00430584"/>
    <w:rsid w:val="00430741"/>
    <w:rsid w:val="00430839"/>
    <w:rsid w:val="00430AB2"/>
    <w:rsid w:val="00430BA7"/>
    <w:rsid w:val="00430C0B"/>
    <w:rsid w:val="00430D6E"/>
    <w:rsid w:val="00430E22"/>
    <w:rsid w:val="00430EAA"/>
    <w:rsid w:val="00430F4A"/>
    <w:rsid w:val="00430F99"/>
    <w:rsid w:val="0043114B"/>
    <w:rsid w:val="004312BF"/>
    <w:rsid w:val="004312EA"/>
    <w:rsid w:val="00431336"/>
    <w:rsid w:val="00431380"/>
    <w:rsid w:val="00431386"/>
    <w:rsid w:val="004314EB"/>
    <w:rsid w:val="0043161F"/>
    <w:rsid w:val="00431A2C"/>
    <w:rsid w:val="00431C42"/>
    <w:rsid w:val="00431E6B"/>
    <w:rsid w:val="00431EE2"/>
    <w:rsid w:val="00431FA5"/>
    <w:rsid w:val="00431FF7"/>
    <w:rsid w:val="0043249C"/>
    <w:rsid w:val="00432658"/>
    <w:rsid w:val="0043297D"/>
    <w:rsid w:val="00432BCD"/>
    <w:rsid w:val="00432CE4"/>
    <w:rsid w:val="00432E9E"/>
    <w:rsid w:val="004331D0"/>
    <w:rsid w:val="0043346E"/>
    <w:rsid w:val="0043348A"/>
    <w:rsid w:val="00433601"/>
    <w:rsid w:val="00433695"/>
    <w:rsid w:val="004336CF"/>
    <w:rsid w:val="004337FD"/>
    <w:rsid w:val="004338B8"/>
    <w:rsid w:val="004339BF"/>
    <w:rsid w:val="004339C2"/>
    <w:rsid w:val="00433C80"/>
    <w:rsid w:val="00433DDE"/>
    <w:rsid w:val="00433FD7"/>
    <w:rsid w:val="0043422D"/>
    <w:rsid w:val="00434234"/>
    <w:rsid w:val="004342CB"/>
    <w:rsid w:val="0043459D"/>
    <w:rsid w:val="00434649"/>
    <w:rsid w:val="0043477F"/>
    <w:rsid w:val="00434838"/>
    <w:rsid w:val="00434AD5"/>
    <w:rsid w:val="00434B24"/>
    <w:rsid w:val="00434CEC"/>
    <w:rsid w:val="00434D51"/>
    <w:rsid w:val="00434DB7"/>
    <w:rsid w:val="00434FF5"/>
    <w:rsid w:val="0043519A"/>
    <w:rsid w:val="00435351"/>
    <w:rsid w:val="0043562E"/>
    <w:rsid w:val="00435802"/>
    <w:rsid w:val="004358CB"/>
    <w:rsid w:val="00435956"/>
    <w:rsid w:val="00435A01"/>
    <w:rsid w:val="00435AAC"/>
    <w:rsid w:val="00435B36"/>
    <w:rsid w:val="00435B86"/>
    <w:rsid w:val="00435ED3"/>
    <w:rsid w:val="004361E4"/>
    <w:rsid w:val="004362C8"/>
    <w:rsid w:val="00436370"/>
    <w:rsid w:val="004363F5"/>
    <w:rsid w:val="00436511"/>
    <w:rsid w:val="00436567"/>
    <w:rsid w:val="00436842"/>
    <w:rsid w:val="00436D76"/>
    <w:rsid w:val="00436E18"/>
    <w:rsid w:val="00436FC7"/>
    <w:rsid w:val="00437578"/>
    <w:rsid w:val="0043784F"/>
    <w:rsid w:val="00437854"/>
    <w:rsid w:val="004379E0"/>
    <w:rsid w:val="00437A07"/>
    <w:rsid w:val="00437A68"/>
    <w:rsid w:val="00437AB5"/>
    <w:rsid w:val="00437D09"/>
    <w:rsid w:val="00437F56"/>
    <w:rsid w:val="00437F65"/>
    <w:rsid w:val="004400E8"/>
    <w:rsid w:val="004401E8"/>
    <w:rsid w:val="0044056C"/>
    <w:rsid w:val="004405A5"/>
    <w:rsid w:val="00440695"/>
    <w:rsid w:val="004408A9"/>
    <w:rsid w:val="00440B1C"/>
    <w:rsid w:val="00440CA2"/>
    <w:rsid w:val="00440DAF"/>
    <w:rsid w:val="004412D9"/>
    <w:rsid w:val="00441780"/>
    <w:rsid w:val="004417CA"/>
    <w:rsid w:val="00441803"/>
    <w:rsid w:val="00441A8F"/>
    <w:rsid w:val="00441AB9"/>
    <w:rsid w:val="00441C17"/>
    <w:rsid w:val="00441D60"/>
    <w:rsid w:val="00441F6D"/>
    <w:rsid w:val="00441F7E"/>
    <w:rsid w:val="0044205F"/>
    <w:rsid w:val="004420CB"/>
    <w:rsid w:val="0044210F"/>
    <w:rsid w:val="0044225B"/>
    <w:rsid w:val="0044239B"/>
    <w:rsid w:val="00442713"/>
    <w:rsid w:val="00442726"/>
    <w:rsid w:val="00442844"/>
    <w:rsid w:val="004428BE"/>
    <w:rsid w:val="00442A30"/>
    <w:rsid w:val="00442B05"/>
    <w:rsid w:val="00442B35"/>
    <w:rsid w:val="00442CC2"/>
    <w:rsid w:val="00442CFA"/>
    <w:rsid w:val="00442DE1"/>
    <w:rsid w:val="00442E4C"/>
    <w:rsid w:val="00442ED1"/>
    <w:rsid w:val="00442EDA"/>
    <w:rsid w:val="00443247"/>
    <w:rsid w:val="004433F8"/>
    <w:rsid w:val="00443682"/>
    <w:rsid w:val="004437BF"/>
    <w:rsid w:val="00443A34"/>
    <w:rsid w:val="00443A3E"/>
    <w:rsid w:val="00443AB2"/>
    <w:rsid w:val="00443C95"/>
    <w:rsid w:val="00443CB9"/>
    <w:rsid w:val="00443DAD"/>
    <w:rsid w:val="00443E1D"/>
    <w:rsid w:val="00443F03"/>
    <w:rsid w:val="004441BD"/>
    <w:rsid w:val="004442A8"/>
    <w:rsid w:val="00444647"/>
    <w:rsid w:val="00444A4E"/>
    <w:rsid w:val="00444A63"/>
    <w:rsid w:val="00444AB7"/>
    <w:rsid w:val="00444B01"/>
    <w:rsid w:val="00444BCB"/>
    <w:rsid w:val="00444D8E"/>
    <w:rsid w:val="00444E13"/>
    <w:rsid w:val="00444F7D"/>
    <w:rsid w:val="00444F97"/>
    <w:rsid w:val="00444FF1"/>
    <w:rsid w:val="0044500E"/>
    <w:rsid w:val="0044510C"/>
    <w:rsid w:val="0044523F"/>
    <w:rsid w:val="00445265"/>
    <w:rsid w:val="0044597C"/>
    <w:rsid w:val="004459EB"/>
    <w:rsid w:val="004460BB"/>
    <w:rsid w:val="00446304"/>
    <w:rsid w:val="0044643F"/>
    <w:rsid w:val="00446765"/>
    <w:rsid w:val="004467B6"/>
    <w:rsid w:val="0044693E"/>
    <w:rsid w:val="004469B4"/>
    <w:rsid w:val="00446B8D"/>
    <w:rsid w:val="00446E18"/>
    <w:rsid w:val="00446F4E"/>
    <w:rsid w:val="00447191"/>
    <w:rsid w:val="004472A3"/>
    <w:rsid w:val="00447336"/>
    <w:rsid w:val="00447340"/>
    <w:rsid w:val="00447372"/>
    <w:rsid w:val="00447526"/>
    <w:rsid w:val="0044764B"/>
    <w:rsid w:val="004476FB"/>
    <w:rsid w:val="00447847"/>
    <w:rsid w:val="00447DBC"/>
    <w:rsid w:val="00447E3D"/>
    <w:rsid w:val="00447FBF"/>
    <w:rsid w:val="00450120"/>
    <w:rsid w:val="00450303"/>
    <w:rsid w:val="00450390"/>
    <w:rsid w:val="00450574"/>
    <w:rsid w:val="00450591"/>
    <w:rsid w:val="0045059C"/>
    <w:rsid w:val="0045086D"/>
    <w:rsid w:val="004508DE"/>
    <w:rsid w:val="004508F6"/>
    <w:rsid w:val="00450989"/>
    <w:rsid w:val="00450AB7"/>
    <w:rsid w:val="00450B86"/>
    <w:rsid w:val="00450D00"/>
    <w:rsid w:val="00450D08"/>
    <w:rsid w:val="00450D0E"/>
    <w:rsid w:val="00450DF8"/>
    <w:rsid w:val="00450FE9"/>
    <w:rsid w:val="004511D7"/>
    <w:rsid w:val="00451251"/>
    <w:rsid w:val="0045160A"/>
    <w:rsid w:val="004518F6"/>
    <w:rsid w:val="00451981"/>
    <w:rsid w:val="00451A2C"/>
    <w:rsid w:val="00451D6A"/>
    <w:rsid w:val="00451E00"/>
    <w:rsid w:val="00451EDE"/>
    <w:rsid w:val="00451F97"/>
    <w:rsid w:val="004520F2"/>
    <w:rsid w:val="0045230C"/>
    <w:rsid w:val="0045240C"/>
    <w:rsid w:val="004528A4"/>
    <w:rsid w:val="004528FE"/>
    <w:rsid w:val="00452940"/>
    <w:rsid w:val="00452A3D"/>
    <w:rsid w:val="00452BDD"/>
    <w:rsid w:val="00452D6F"/>
    <w:rsid w:val="00452DA4"/>
    <w:rsid w:val="00452E17"/>
    <w:rsid w:val="00452E9C"/>
    <w:rsid w:val="00453303"/>
    <w:rsid w:val="00453333"/>
    <w:rsid w:val="0045375A"/>
    <w:rsid w:val="00453988"/>
    <w:rsid w:val="0045399A"/>
    <w:rsid w:val="00453A76"/>
    <w:rsid w:val="00453B0D"/>
    <w:rsid w:val="00453D47"/>
    <w:rsid w:val="00454018"/>
    <w:rsid w:val="00454065"/>
    <w:rsid w:val="0045449E"/>
    <w:rsid w:val="00454629"/>
    <w:rsid w:val="004547CE"/>
    <w:rsid w:val="004548C1"/>
    <w:rsid w:val="00454B3B"/>
    <w:rsid w:val="00454BEA"/>
    <w:rsid w:val="00454DED"/>
    <w:rsid w:val="00454F74"/>
    <w:rsid w:val="00454F89"/>
    <w:rsid w:val="00454FAB"/>
    <w:rsid w:val="004551B0"/>
    <w:rsid w:val="0045527B"/>
    <w:rsid w:val="0045530C"/>
    <w:rsid w:val="004553C8"/>
    <w:rsid w:val="004554B5"/>
    <w:rsid w:val="00455511"/>
    <w:rsid w:val="00455588"/>
    <w:rsid w:val="0045564E"/>
    <w:rsid w:val="00455660"/>
    <w:rsid w:val="00455752"/>
    <w:rsid w:val="004559CE"/>
    <w:rsid w:val="00455B96"/>
    <w:rsid w:val="00455BEF"/>
    <w:rsid w:val="00455C65"/>
    <w:rsid w:val="00455CB8"/>
    <w:rsid w:val="00456003"/>
    <w:rsid w:val="0045620F"/>
    <w:rsid w:val="0045622C"/>
    <w:rsid w:val="0045659E"/>
    <w:rsid w:val="004565F0"/>
    <w:rsid w:val="004566A6"/>
    <w:rsid w:val="0045685C"/>
    <w:rsid w:val="00456996"/>
    <w:rsid w:val="00456B08"/>
    <w:rsid w:val="00456C27"/>
    <w:rsid w:val="00456C5E"/>
    <w:rsid w:val="00456E3A"/>
    <w:rsid w:val="00456EB4"/>
    <w:rsid w:val="004573A7"/>
    <w:rsid w:val="00457503"/>
    <w:rsid w:val="00457700"/>
    <w:rsid w:val="0045780E"/>
    <w:rsid w:val="00457A9D"/>
    <w:rsid w:val="00457E6A"/>
    <w:rsid w:val="00457F63"/>
    <w:rsid w:val="00457FED"/>
    <w:rsid w:val="0046006A"/>
    <w:rsid w:val="004600B4"/>
    <w:rsid w:val="0046010A"/>
    <w:rsid w:val="0046014E"/>
    <w:rsid w:val="004602CF"/>
    <w:rsid w:val="004603CE"/>
    <w:rsid w:val="00460424"/>
    <w:rsid w:val="00460542"/>
    <w:rsid w:val="0046059B"/>
    <w:rsid w:val="0046062E"/>
    <w:rsid w:val="004609B8"/>
    <w:rsid w:val="00460A51"/>
    <w:rsid w:val="00460B50"/>
    <w:rsid w:val="00460BFE"/>
    <w:rsid w:val="00460CDF"/>
    <w:rsid w:val="00460E1A"/>
    <w:rsid w:val="00460E7A"/>
    <w:rsid w:val="00461382"/>
    <w:rsid w:val="00461562"/>
    <w:rsid w:val="00461627"/>
    <w:rsid w:val="00461C03"/>
    <w:rsid w:val="00461C30"/>
    <w:rsid w:val="00461EF2"/>
    <w:rsid w:val="00461F32"/>
    <w:rsid w:val="0046233F"/>
    <w:rsid w:val="004623DA"/>
    <w:rsid w:val="0046253D"/>
    <w:rsid w:val="00462540"/>
    <w:rsid w:val="004627EE"/>
    <w:rsid w:val="0046286D"/>
    <w:rsid w:val="004628CB"/>
    <w:rsid w:val="004628E3"/>
    <w:rsid w:val="004629A5"/>
    <w:rsid w:val="004629C7"/>
    <w:rsid w:val="004629D7"/>
    <w:rsid w:val="00462A25"/>
    <w:rsid w:val="00462AD5"/>
    <w:rsid w:val="00462B73"/>
    <w:rsid w:val="00462CED"/>
    <w:rsid w:val="00462D06"/>
    <w:rsid w:val="00462DD0"/>
    <w:rsid w:val="00462EBC"/>
    <w:rsid w:val="004631DB"/>
    <w:rsid w:val="0046336A"/>
    <w:rsid w:val="00463372"/>
    <w:rsid w:val="00463391"/>
    <w:rsid w:val="00463407"/>
    <w:rsid w:val="0046378C"/>
    <w:rsid w:val="00463857"/>
    <w:rsid w:val="00463A9D"/>
    <w:rsid w:val="00463B03"/>
    <w:rsid w:val="00463D65"/>
    <w:rsid w:val="00463DF8"/>
    <w:rsid w:val="00463FAC"/>
    <w:rsid w:val="0046400F"/>
    <w:rsid w:val="00464050"/>
    <w:rsid w:val="004640B0"/>
    <w:rsid w:val="00464157"/>
    <w:rsid w:val="00464324"/>
    <w:rsid w:val="00464333"/>
    <w:rsid w:val="00464386"/>
    <w:rsid w:val="004644B4"/>
    <w:rsid w:val="00464637"/>
    <w:rsid w:val="004647B2"/>
    <w:rsid w:val="00464A06"/>
    <w:rsid w:val="00464DA8"/>
    <w:rsid w:val="0046501F"/>
    <w:rsid w:val="00465047"/>
    <w:rsid w:val="0046522F"/>
    <w:rsid w:val="004654D9"/>
    <w:rsid w:val="00465700"/>
    <w:rsid w:val="00465892"/>
    <w:rsid w:val="004659A1"/>
    <w:rsid w:val="00465A21"/>
    <w:rsid w:val="00465CF1"/>
    <w:rsid w:val="00465D66"/>
    <w:rsid w:val="00465D9B"/>
    <w:rsid w:val="00465DF8"/>
    <w:rsid w:val="00465F87"/>
    <w:rsid w:val="00465FD4"/>
    <w:rsid w:val="00466025"/>
    <w:rsid w:val="00466049"/>
    <w:rsid w:val="00466126"/>
    <w:rsid w:val="0046632F"/>
    <w:rsid w:val="004666DB"/>
    <w:rsid w:val="00466A21"/>
    <w:rsid w:val="00466B65"/>
    <w:rsid w:val="00466B7A"/>
    <w:rsid w:val="00466BE3"/>
    <w:rsid w:val="00466D10"/>
    <w:rsid w:val="00466D4F"/>
    <w:rsid w:val="00466EFF"/>
    <w:rsid w:val="00467070"/>
    <w:rsid w:val="004671C0"/>
    <w:rsid w:val="004672A4"/>
    <w:rsid w:val="004672DA"/>
    <w:rsid w:val="00467363"/>
    <w:rsid w:val="00467604"/>
    <w:rsid w:val="00467821"/>
    <w:rsid w:val="0046798A"/>
    <w:rsid w:val="004679DD"/>
    <w:rsid w:val="00467A1F"/>
    <w:rsid w:val="00467D72"/>
    <w:rsid w:val="00467F19"/>
    <w:rsid w:val="0047012E"/>
    <w:rsid w:val="00470161"/>
    <w:rsid w:val="004702E1"/>
    <w:rsid w:val="00470364"/>
    <w:rsid w:val="00470413"/>
    <w:rsid w:val="00470537"/>
    <w:rsid w:val="0047097A"/>
    <w:rsid w:val="004709A5"/>
    <w:rsid w:val="00470A9E"/>
    <w:rsid w:val="00470B09"/>
    <w:rsid w:val="00470C38"/>
    <w:rsid w:val="00470D48"/>
    <w:rsid w:val="00471489"/>
    <w:rsid w:val="00471494"/>
    <w:rsid w:val="0047175D"/>
    <w:rsid w:val="004717B4"/>
    <w:rsid w:val="00471800"/>
    <w:rsid w:val="004718F9"/>
    <w:rsid w:val="00471B90"/>
    <w:rsid w:val="00471E44"/>
    <w:rsid w:val="00471EE9"/>
    <w:rsid w:val="00471F05"/>
    <w:rsid w:val="00471F98"/>
    <w:rsid w:val="00471FDF"/>
    <w:rsid w:val="004721E4"/>
    <w:rsid w:val="0047223A"/>
    <w:rsid w:val="00472371"/>
    <w:rsid w:val="004724EC"/>
    <w:rsid w:val="00472695"/>
    <w:rsid w:val="00472B4B"/>
    <w:rsid w:val="00472BDE"/>
    <w:rsid w:val="00472DD3"/>
    <w:rsid w:val="0047302C"/>
    <w:rsid w:val="004730D5"/>
    <w:rsid w:val="00473230"/>
    <w:rsid w:val="00473232"/>
    <w:rsid w:val="00473467"/>
    <w:rsid w:val="00473607"/>
    <w:rsid w:val="00473631"/>
    <w:rsid w:val="00473910"/>
    <w:rsid w:val="00473A1D"/>
    <w:rsid w:val="00473A8B"/>
    <w:rsid w:val="00473AFE"/>
    <w:rsid w:val="00473CFF"/>
    <w:rsid w:val="00473F60"/>
    <w:rsid w:val="004742DC"/>
    <w:rsid w:val="004742FD"/>
    <w:rsid w:val="00474505"/>
    <w:rsid w:val="00474577"/>
    <w:rsid w:val="00474954"/>
    <w:rsid w:val="004749CB"/>
    <w:rsid w:val="00474B36"/>
    <w:rsid w:val="00474B3E"/>
    <w:rsid w:val="00474D51"/>
    <w:rsid w:val="00474F56"/>
    <w:rsid w:val="00474F68"/>
    <w:rsid w:val="00475085"/>
    <w:rsid w:val="004750BC"/>
    <w:rsid w:val="00475214"/>
    <w:rsid w:val="004752B1"/>
    <w:rsid w:val="004752B6"/>
    <w:rsid w:val="004753C9"/>
    <w:rsid w:val="004753CF"/>
    <w:rsid w:val="004756B9"/>
    <w:rsid w:val="004756C9"/>
    <w:rsid w:val="0047570D"/>
    <w:rsid w:val="004757E9"/>
    <w:rsid w:val="0047588C"/>
    <w:rsid w:val="00475FED"/>
    <w:rsid w:val="004760C0"/>
    <w:rsid w:val="004761BE"/>
    <w:rsid w:val="00476327"/>
    <w:rsid w:val="0047641B"/>
    <w:rsid w:val="004764E7"/>
    <w:rsid w:val="004765AC"/>
    <w:rsid w:val="0047679B"/>
    <w:rsid w:val="004768A2"/>
    <w:rsid w:val="0047698E"/>
    <w:rsid w:val="004769C7"/>
    <w:rsid w:val="00476A49"/>
    <w:rsid w:val="00476CF6"/>
    <w:rsid w:val="00476D9F"/>
    <w:rsid w:val="00476F49"/>
    <w:rsid w:val="00477120"/>
    <w:rsid w:val="00477125"/>
    <w:rsid w:val="0047733D"/>
    <w:rsid w:val="004773A0"/>
    <w:rsid w:val="0047749C"/>
    <w:rsid w:val="0047770A"/>
    <w:rsid w:val="00477781"/>
    <w:rsid w:val="004779E6"/>
    <w:rsid w:val="00477A03"/>
    <w:rsid w:val="00477AA8"/>
    <w:rsid w:val="00477B92"/>
    <w:rsid w:val="00477C9A"/>
    <w:rsid w:val="00477CC3"/>
    <w:rsid w:val="00477DB9"/>
    <w:rsid w:val="00477E3C"/>
    <w:rsid w:val="00480093"/>
    <w:rsid w:val="0048029B"/>
    <w:rsid w:val="00480426"/>
    <w:rsid w:val="004806E1"/>
    <w:rsid w:val="004807B2"/>
    <w:rsid w:val="00480854"/>
    <w:rsid w:val="00480973"/>
    <w:rsid w:val="00480BE9"/>
    <w:rsid w:val="00480D88"/>
    <w:rsid w:val="00480EF4"/>
    <w:rsid w:val="00480F0C"/>
    <w:rsid w:val="004810B8"/>
    <w:rsid w:val="004810C5"/>
    <w:rsid w:val="00481166"/>
    <w:rsid w:val="00481170"/>
    <w:rsid w:val="00481472"/>
    <w:rsid w:val="00481529"/>
    <w:rsid w:val="004815E0"/>
    <w:rsid w:val="00481805"/>
    <w:rsid w:val="00481807"/>
    <w:rsid w:val="00481869"/>
    <w:rsid w:val="00481A87"/>
    <w:rsid w:val="00481B3F"/>
    <w:rsid w:val="00481C5B"/>
    <w:rsid w:val="00481D83"/>
    <w:rsid w:val="00481F9A"/>
    <w:rsid w:val="00482018"/>
    <w:rsid w:val="0048202B"/>
    <w:rsid w:val="0048213B"/>
    <w:rsid w:val="00482294"/>
    <w:rsid w:val="004826A0"/>
    <w:rsid w:val="004826A1"/>
    <w:rsid w:val="00482870"/>
    <w:rsid w:val="004828A4"/>
    <w:rsid w:val="004829FA"/>
    <w:rsid w:val="00482A37"/>
    <w:rsid w:val="00482AB0"/>
    <w:rsid w:val="00482C17"/>
    <w:rsid w:val="00482DA5"/>
    <w:rsid w:val="00482E54"/>
    <w:rsid w:val="00482F9D"/>
    <w:rsid w:val="00483039"/>
    <w:rsid w:val="004832A2"/>
    <w:rsid w:val="004833AA"/>
    <w:rsid w:val="0048354F"/>
    <w:rsid w:val="00483A45"/>
    <w:rsid w:val="00483BBC"/>
    <w:rsid w:val="00483BED"/>
    <w:rsid w:val="00483D36"/>
    <w:rsid w:val="00483DDC"/>
    <w:rsid w:val="0048410B"/>
    <w:rsid w:val="0048411C"/>
    <w:rsid w:val="00484606"/>
    <w:rsid w:val="00484746"/>
    <w:rsid w:val="004847BB"/>
    <w:rsid w:val="00484C0C"/>
    <w:rsid w:val="00484D72"/>
    <w:rsid w:val="00484E8D"/>
    <w:rsid w:val="00484F37"/>
    <w:rsid w:val="00484F6B"/>
    <w:rsid w:val="00485094"/>
    <w:rsid w:val="00485169"/>
    <w:rsid w:val="004851B5"/>
    <w:rsid w:val="00485581"/>
    <w:rsid w:val="004855F8"/>
    <w:rsid w:val="004856D3"/>
    <w:rsid w:val="00485C22"/>
    <w:rsid w:val="00485CEE"/>
    <w:rsid w:val="00485E7F"/>
    <w:rsid w:val="00486006"/>
    <w:rsid w:val="00486123"/>
    <w:rsid w:val="00486434"/>
    <w:rsid w:val="00486556"/>
    <w:rsid w:val="004865F8"/>
    <w:rsid w:val="004866C3"/>
    <w:rsid w:val="004866DD"/>
    <w:rsid w:val="00486886"/>
    <w:rsid w:val="004869C7"/>
    <w:rsid w:val="00486A4D"/>
    <w:rsid w:val="00486B71"/>
    <w:rsid w:val="00486EFF"/>
    <w:rsid w:val="00486F1D"/>
    <w:rsid w:val="00486F90"/>
    <w:rsid w:val="004870C9"/>
    <w:rsid w:val="00487263"/>
    <w:rsid w:val="0048734C"/>
    <w:rsid w:val="00487517"/>
    <w:rsid w:val="004875DB"/>
    <w:rsid w:val="004877BE"/>
    <w:rsid w:val="00487A2A"/>
    <w:rsid w:val="00487A6B"/>
    <w:rsid w:val="00487AB9"/>
    <w:rsid w:val="00487D09"/>
    <w:rsid w:val="00487E17"/>
    <w:rsid w:val="00487E55"/>
    <w:rsid w:val="00487EE7"/>
    <w:rsid w:val="00487EF5"/>
    <w:rsid w:val="004902B0"/>
    <w:rsid w:val="004902E0"/>
    <w:rsid w:val="00490325"/>
    <w:rsid w:val="00490470"/>
    <w:rsid w:val="0049082A"/>
    <w:rsid w:val="004909B5"/>
    <w:rsid w:val="00490B45"/>
    <w:rsid w:val="00490BDE"/>
    <w:rsid w:val="00490CB1"/>
    <w:rsid w:val="00490FDD"/>
    <w:rsid w:val="004912A0"/>
    <w:rsid w:val="004912B8"/>
    <w:rsid w:val="0049141B"/>
    <w:rsid w:val="0049167F"/>
    <w:rsid w:val="00491796"/>
    <w:rsid w:val="00491848"/>
    <w:rsid w:val="00491ADB"/>
    <w:rsid w:val="00491B87"/>
    <w:rsid w:val="00491C1F"/>
    <w:rsid w:val="00491D30"/>
    <w:rsid w:val="00491D7D"/>
    <w:rsid w:val="00491DA1"/>
    <w:rsid w:val="00491F7F"/>
    <w:rsid w:val="0049200E"/>
    <w:rsid w:val="004920C8"/>
    <w:rsid w:val="00492155"/>
    <w:rsid w:val="0049230E"/>
    <w:rsid w:val="0049231F"/>
    <w:rsid w:val="0049243D"/>
    <w:rsid w:val="00492498"/>
    <w:rsid w:val="004926E2"/>
    <w:rsid w:val="00492AE9"/>
    <w:rsid w:val="00492E1E"/>
    <w:rsid w:val="00492E32"/>
    <w:rsid w:val="00492FCB"/>
    <w:rsid w:val="00493361"/>
    <w:rsid w:val="00493480"/>
    <w:rsid w:val="00493568"/>
    <w:rsid w:val="00493605"/>
    <w:rsid w:val="00493923"/>
    <w:rsid w:val="00493924"/>
    <w:rsid w:val="00493FDB"/>
    <w:rsid w:val="00494000"/>
    <w:rsid w:val="004940B2"/>
    <w:rsid w:val="004941F5"/>
    <w:rsid w:val="00494287"/>
    <w:rsid w:val="00494657"/>
    <w:rsid w:val="00494662"/>
    <w:rsid w:val="00494968"/>
    <w:rsid w:val="00494B4E"/>
    <w:rsid w:val="00494BCA"/>
    <w:rsid w:val="00494CEB"/>
    <w:rsid w:val="00494E16"/>
    <w:rsid w:val="00494EF1"/>
    <w:rsid w:val="00494FAB"/>
    <w:rsid w:val="004950A8"/>
    <w:rsid w:val="004951BC"/>
    <w:rsid w:val="004952B6"/>
    <w:rsid w:val="00495432"/>
    <w:rsid w:val="004954BD"/>
    <w:rsid w:val="0049552D"/>
    <w:rsid w:val="004957BC"/>
    <w:rsid w:val="004959AD"/>
    <w:rsid w:val="004959FD"/>
    <w:rsid w:val="00495A20"/>
    <w:rsid w:val="00495B1E"/>
    <w:rsid w:val="00495C1B"/>
    <w:rsid w:val="00495C73"/>
    <w:rsid w:val="00495DBE"/>
    <w:rsid w:val="00495DD1"/>
    <w:rsid w:val="00495E06"/>
    <w:rsid w:val="00496284"/>
    <w:rsid w:val="00496406"/>
    <w:rsid w:val="00496892"/>
    <w:rsid w:val="00496A29"/>
    <w:rsid w:val="00496C3A"/>
    <w:rsid w:val="00496DCA"/>
    <w:rsid w:val="00496F9B"/>
    <w:rsid w:val="0049714C"/>
    <w:rsid w:val="00497153"/>
    <w:rsid w:val="004972C7"/>
    <w:rsid w:val="004976B0"/>
    <w:rsid w:val="00497792"/>
    <w:rsid w:val="004977D7"/>
    <w:rsid w:val="0049782B"/>
    <w:rsid w:val="00497BD1"/>
    <w:rsid w:val="00497C42"/>
    <w:rsid w:val="00497E2A"/>
    <w:rsid w:val="00497EDD"/>
    <w:rsid w:val="00497F6C"/>
    <w:rsid w:val="00497FFA"/>
    <w:rsid w:val="004A016E"/>
    <w:rsid w:val="004A0287"/>
    <w:rsid w:val="004A0355"/>
    <w:rsid w:val="004A0434"/>
    <w:rsid w:val="004A0594"/>
    <w:rsid w:val="004A0908"/>
    <w:rsid w:val="004A0CF6"/>
    <w:rsid w:val="004A0D86"/>
    <w:rsid w:val="004A0D8F"/>
    <w:rsid w:val="004A0F11"/>
    <w:rsid w:val="004A0FA6"/>
    <w:rsid w:val="004A131F"/>
    <w:rsid w:val="004A1401"/>
    <w:rsid w:val="004A14DC"/>
    <w:rsid w:val="004A1526"/>
    <w:rsid w:val="004A1553"/>
    <w:rsid w:val="004A1831"/>
    <w:rsid w:val="004A1939"/>
    <w:rsid w:val="004A1958"/>
    <w:rsid w:val="004A196E"/>
    <w:rsid w:val="004A1CAC"/>
    <w:rsid w:val="004A1CC9"/>
    <w:rsid w:val="004A1D83"/>
    <w:rsid w:val="004A1E38"/>
    <w:rsid w:val="004A1F02"/>
    <w:rsid w:val="004A1F2C"/>
    <w:rsid w:val="004A1F80"/>
    <w:rsid w:val="004A1FBD"/>
    <w:rsid w:val="004A1FE3"/>
    <w:rsid w:val="004A215F"/>
    <w:rsid w:val="004A21E2"/>
    <w:rsid w:val="004A2213"/>
    <w:rsid w:val="004A24BF"/>
    <w:rsid w:val="004A2529"/>
    <w:rsid w:val="004A275D"/>
    <w:rsid w:val="004A27C1"/>
    <w:rsid w:val="004A28DB"/>
    <w:rsid w:val="004A2914"/>
    <w:rsid w:val="004A29AB"/>
    <w:rsid w:val="004A2A8B"/>
    <w:rsid w:val="004A2DCC"/>
    <w:rsid w:val="004A2DD4"/>
    <w:rsid w:val="004A2EB6"/>
    <w:rsid w:val="004A315E"/>
    <w:rsid w:val="004A33A2"/>
    <w:rsid w:val="004A34AB"/>
    <w:rsid w:val="004A352B"/>
    <w:rsid w:val="004A36A1"/>
    <w:rsid w:val="004A3980"/>
    <w:rsid w:val="004A39F6"/>
    <w:rsid w:val="004A3A37"/>
    <w:rsid w:val="004A3C5B"/>
    <w:rsid w:val="004A3C5E"/>
    <w:rsid w:val="004A3E33"/>
    <w:rsid w:val="004A3EAA"/>
    <w:rsid w:val="004A4132"/>
    <w:rsid w:val="004A41E8"/>
    <w:rsid w:val="004A4293"/>
    <w:rsid w:val="004A42C0"/>
    <w:rsid w:val="004A436B"/>
    <w:rsid w:val="004A4547"/>
    <w:rsid w:val="004A45CB"/>
    <w:rsid w:val="004A485F"/>
    <w:rsid w:val="004A492B"/>
    <w:rsid w:val="004A4BB2"/>
    <w:rsid w:val="004A4CFE"/>
    <w:rsid w:val="004A4DC2"/>
    <w:rsid w:val="004A4F96"/>
    <w:rsid w:val="004A5035"/>
    <w:rsid w:val="004A5357"/>
    <w:rsid w:val="004A5467"/>
    <w:rsid w:val="004A5498"/>
    <w:rsid w:val="004A5516"/>
    <w:rsid w:val="004A5588"/>
    <w:rsid w:val="004A5861"/>
    <w:rsid w:val="004A59CB"/>
    <w:rsid w:val="004A5C99"/>
    <w:rsid w:val="004A5D32"/>
    <w:rsid w:val="004A5EF5"/>
    <w:rsid w:val="004A610D"/>
    <w:rsid w:val="004A6127"/>
    <w:rsid w:val="004A619C"/>
    <w:rsid w:val="004A6261"/>
    <w:rsid w:val="004A6329"/>
    <w:rsid w:val="004A63F5"/>
    <w:rsid w:val="004A65D3"/>
    <w:rsid w:val="004A6903"/>
    <w:rsid w:val="004A69FC"/>
    <w:rsid w:val="004A6AD7"/>
    <w:rsid w:val="004A6B41"/>
    <w:rsid w:val="004A6C55"/>
    <w:rsid w:val="004A6E59"/>
    <w:rsid w:val="004A6F51"/>
    <w:rsid w:val="004A7132"/>
    <w:rsid w:val="004A7256"/>
    <w:rsid w:val="004A736D"/>
    <w:rsid w:val="004A749D"/>
    <w:rsid w:val="004A75B4"/>
    <w:rsid w:val="004A77A9"/>
    <w:rsid w:val="004A77F3"/>
    <w:rsid w:val="004A79A0"/>
    <w:rsid w:val="004A7CD7"/>
    <w:rsid w:val="004A7D97"/>
    <w:rsid w:val="004A7E2C"/>
    <w:rsid w:val="004B0016"/>
    <w:rsid w:val="004B0095"/>
    <w:rsid w:val="004B009E"/>
    <w:rsid w:val="004B00FF"/>
    <w:rsid w:val="004B0294"/>
    <w:rsid w:val="004B02B2"/>
    <w:rsid w:val="004B02C0"/>
    <w:rsid w:val="004B02C6"/>
    <w:rsid w:val="004B033E"/>
    <w:rsid w:val="004B0548"/>
    <w:rsid w:val="004B0586"/>
    <w:rsid w:val="004B06D7"/>
    <w:rsid w:val="004B0815"/>
    <w:rsid w:val="004B0AA0"/>
    <w:rsid w:val="004B0B32"/>
    <w:rsid w:val="004B122D"/>
    <w:rsid w:val="004B1488"/>
    <w:rsid w:val="004B1513"/>
    <w:rsid w:val="004B1520"/>
    <w:rsid w:val="004B154B"/>
    <w:rsid w:val="004B1939"/>
    <w:rsid w:val="004B1B16"/>
    <w:rsid w:val="004B1C85"/>
    <w:rsid w:val="004B1EB7"/>
    <w:rsid w:val="004B203B"/>
    <w:rsid w:val="004B2088"/>
    <w:rsid w:val="004B213A"/>
    <w:rsid w:val="004B2175"/>
    <w:rsid w:val="004B2252"/>
    <w:rsid w:val="004B2486"/>
    <w:rsid w:val="004B2537"/>
    <w:rsid w:val="004B25AB"/>
    <w:rsid w:val="004B26BE"/>
    <w:rsid w:val="004B2783"/>
    <w:rsid w:val="004B297C"/>
    <w:rsid w:val="004B2F04"/>
    <w:rsid w:val="004B2F28"/>
    <w:rsid w:val="004B2F64"/>
    <w:rsid w:val="004B306A"/>
    <w:rsid w:val="004B317E"/>
    <w:rsid w:val="004B31B0"/>
    <w:rsid w:val="004B3321"/>
    <w:rsid w:val="004B3653"/>
    <w:rsid w:val="004B3777"/>
    <w:rsid w:val="004B3779"/>
    <w:rsid w:val="004B377D"/>
    <w:rsid w:val="004B386A"/>
    <w:rsid w:val="004B3877"/>
    <w:rsid w:val="004B38A7"/>
    <w:rsid w:val="004B39DB"/>
    <w:rsid w:val="004B3A2F"/>
    <w:rsid w:val="004B3C3E"/>
    <w:rsid w:val="004B3D80"/>
    <w:rsid w:val="004B3DD2"/>
    <w:rsid w:val="004B3E64"/>
    <w:rsid w:val="004B3E7A"/>
    <w:rsid w:val="004B3F50"/>
    <w:rsid w:val="004B403B"/>
    <w:rsid w:val="004B414E"/>
    <w:rsid w:val="004B44CC"/>
    <w:rsid w:val="004B48EA"/>
    <w:rsid w:val="004B4AD1"/>
    <w:rsid w:val="004B4EB6"/>
    <w:rsid w:val="004B4EC1"/>
    <w:rsid w:val="004B5133"/>
    <w:rsid w:val="004B51E1"/>
    <w:rsid w:val="004B5546"/>
    <w:rsid w:val="004B57AB"/>
    <w:rsid w:val="004B5811"/>
    <w:rsid w:val="004B5933"/>
    <w:rsid w:val="004B594E"/>
    <w:rsid w:val="004B5972"/>
    <w:rsid w:val="004B5A06"/>
    <w:rsid w:val="004B5A4E"/>
    <w:rsid w:val="004B5B97"/>
    <w:rsid w:val="004B5D6A"/>
    <w:rsid w:val="004B5EAF"/>
    <w:rsid w:val="004B6099"/>
    <w:rsid w:val="004B6107"/>
    <w:rsid w:val="004B6332"/>
    <w:rsid w:val="004B634B"/>
    <w:rsid w:val="004B64E7"/>
    <w:rsid w:val="004B671A"/>
    <w:rsid w:val="004B67A6"/>
    <w:rsid w:val="004B682F"/>
    <w:rsid w:val="004B695F"/>
    <w:rsid w:val="004B69D2"/>
    <w:rsid w:val="004B6AB8"/>
    <w:rsid w:val="004B6B7B"/>
    <w:rsid w:val="004B6C6F"/>
    <w:rsid w:val="004B6E19"/>
    <w:rsid w:val="004B6E98"/>
    <w:rsid w:val="004B6FF3"/>
    <w:rsid w:val="004B7307"/>
    <w:rsid w:val="004B74EA"/>
    <w:rsid w:val="004B75C5"/>
    <w:rsid w:val="004B7B6B"/>
    <w:rsid w:val="004B7C87"/>
    <w:rsid w:val="004B7E47"/>
    <w:rsid w:val="004B7EC6"/>
    <w:rsid w:val="004B7EED"/>
    <w:rsid w:val="004C0101"/>
    <w:rsid w:val="004C02AF"/>
    <w:rsid w:val="004C03C9"/>
    <w:rsid w:val="004C073C"/>
    <w:rsid w:val="004C0904"/>
    <w:rsid w:val="004C0A25"/>
    <w:rsid w:val="004C0BD4"/>
    <w:rsid w:val="004C0CB4"/>
    <w:rsid w:val="004C0D24"/>
    <w:rsid w:val="004C0DD4"/>
    <w:rsid w:val="004C0DEA"/>
    <w:rsid w:val="004C0E15"/>
    <w:rsid w:val="004C0EF0"/>
    <w:rsid w:val="004C10EB"/>
    <w:rsid w:val="004C1228"/>
    <w:rsid w:val="004C1390"/>
    <w:rsid w:val="004C1583"/>
    <w:rsid w:val="004C15C0"/>
    <w:rsid w:val="004C1982"/>
    <w:rsid w:val="004C1AEA"/>
    <w:rsid w:val="004C1D34"/>
    <w:rsid w:val="004C21AF"/>
    <w:rsid w:val="004C2374"/>
    <w:rsid w:val="004C244B"/>
    <w:rsid w:val="004C2525"/>
    <w:rsid w:val="004C27F1"/>
    <w:rsid w:val="004C28D2"/>
    <w:rsid w:val="004C2902"/>
    <w:rsid w:val="004C3149"/>
    <w:rsid w:val="004C32B1"/>
    <w:rsid w:val="004C33C7"/>
    <w:rsid w:val="004C3433"/>
    <w:rsid w:val="004C34CB"/>
    <w:rsid w:val="004C3AAB"/>
    <w:rsid w:val="004C3DB5"/>
    <w:rsid w:val="004C3E9A"/>
    <w:rsid w:val="004C3EB4"/>
    <w:rsid w:val="004C3F06"/>
    <w:rsid w:val="004C41B6"/>
    <w:rsid w:val="004C4307"/>
    <w:rsid w:val="004C437C"/>
    <w:rsid w:val="004C4382"/>
    <w:rsid w:val="004C460A"/>
    <w:rsid w:val="004C4659"/>
    <w:rsid w:val="004C4698"/>
    <w:rsid w:val="004C4AB7"/>
    <w:rsid w:val="004C4B51"/>
    <w:rsid w:val="004C4BC1"/>
    <w:rsid w:val="004C4D19"/>
    <w:rsid w:val="004C501A"/>
    <w:rsid w:val="004C5120"/>
    <w:rsid w:val="004C51A2"/>
    <w:rsid w:val="004C5212"/>
    <w:rsid w:val="004C5234"/>
    <w:rsid w:val="004C5484"/>
    <w:rsid w:val="004C549B"/>
    <w:rsid w:val="004C560A"/>
    <w:rsid w:val="004C593C"/>
    <w:rsid w:val="004C5A4B"/>
    <w:rsid w:val="004C5B55"/>
    <w:rsid w:val="004C5C43"/>
    <w:rsid w:val="004C5CBE"/>
    <w:rsid w:val="004C5D7C"/>
    <w:rsid w:val="004C6011"/>
    <w:rsid w:val="004C6018"/>
    <w:rsid w:val="004C61CE"/>
    <w:rsid w:val="004C6375"/>
    <w:rsid w:val="004C64F1"/>
    <w:rsid w:val="004C650C"/>
    <w:rsid w:val="004C72AC"/>
    <w:rsid w:val="004C7506"/>
    <w:rsid w:val="004C751C"/>
    <w:rsid w:val="004C76B0"/>
    <w:rsid w:val="004C76DF"/>
    <w:rsid w:val="004C7719"/>
    <w:rsid w:val="004C774E"/>
    <w:rsid w:val="004C775A"/>
    <w:rsid w:val="004C7781"/>
    <w:rsid w:val="004C7C84"/>
    <w:rsid w:val="004C7D0C"/>
    <w:rsid w:val="004C7D9E"/>
    <w:rsid w:val="004C7DF5"/>
    <w:rsid w:val="004D006A"/>
    <w:rsid w:val="004D0187"/>
    <w:rsid w:val="004D04E4"/>
    <w:rsid w:val="004D076B"/>
    <w:rsid w:val="004D0784"/>
    <w:rsid w:val="004D0C92"/>
    <w:rsid w:val="004D0D7A"/>
    <w:rsid w:val="004D0DD0"/>
    <w:rsid w:val="004D0DF1"/>
    <w:rsid w:val="004D0EB3"/>
    <w:rsid w:val="004D10CB"/>
    <w:rsid w:val="004D133D"/>
    <w:rsid w:val="004D1453"/>
    <w:rsid w:val="004D1492"/>
    <w:rsid w:val="004D14A4"/>
    <w:rsid w:val="004D15CF"/>
    <w:rsid w:val="004D17D7"/>
    <w:rsid w:val="004D19F4"/>
    <w:rsid w:val="004D1C24"/>
    <w:rsid w:val="004D20B3"/>
    <w:rsid w:val="004D2156"/>
    <w:rsid w:val="004D2886"/>
    <w:rsid w:val="004D28DD"/>
    <w:rsid w:val="004D28F1"/>
    <w:rsid w:val="004D2CA3"/>
    <w:rsid w:val="004D2F39"/>
    <w:rsid w:val="004D3427"/>
    <w:rsid w:val="004D3690"/>
    <w:rsid w:val="004D3A81"/>
    <w:rsid w:val="004D3AE2"/>
    <w:rsid w:val="004D3C1F"/>
    <w:rsid w:val="004D3FD5"/>
    <w:rsid w:val="004D40B3"/>
    <w:rsid w:val="004D42B4"/>
    <w:rsid w:val="004D447B"/>
    <w:rsid w:val="004D449F"/>
    <w:rsid w:val="004D46B8"/>
    <w:rsid w:val="004D47D5"/>
    <w:rsid w:val="004D47FD"/>
    <w:rsid w:val="004D4978"/>
    <w:rsid w:val="004D4AA6"/>
    <w:rsid w:val="004D4AC4"/>
    <w:rsid w:val="004D4AD8"/>
    <w:rsid w:val="004D4B6E"/>
    <w:rsid w:val="004D4BA0"/>
    <w:rsid w:val="004D4BD5"/>
    <w:rsid w:val="004D4C1D"/>
    <w:rsid w:val="004D4DED"/>
    <w:rsid w:val="004D4ED2"/>
    <w:rsid w:val="004D508C"/>
    <w:rsid w:val="004D547F"/>
    <w:rsid w:val="004D549E"/>
    <w:rsid w:val="004D585E"/>
    <w:rsid w:val="004D597C"/>
    <w:rsid w:val="004D5A1D"/>
    <w:rsid w:val="004D5A3B"/>
    <w:rsid w:val="004D5BFD"/>
    <w:rsid w:val="004D5D07"/>
    <w:rsid w:val="004D5E07"/>
    <w:rsid w:val="004D5E0B"/>
    <w:rsid w:val="004D5E78"/>
    <w:rsid w:val="004D5FB3"/>
    <w:rsid w:val="004D61C3"/>
    <w:rsid w:val="004D643A"/>
    <w:rsid w:val="004D646F"/>
    <w:rsid w:val="004D6503"/>
    <w:rsid w:val="004D65E4"/>
    <w:rsid w:val="004D67FB"/>
    <w:rsid w:val="004D6CB5"/>
    <w:rsid w:val="004D6E37"/>
    <w:rsid w:val="004D6E9A"/>
    <w:rsid w:val="004D7051"/>
    <w:rsid w:val="004D713B"/>
    <w:rsid w:val="004D724E"/>
    <w:rsid w:val="004D726B"/>
    <w:rsid w:val="004D72C2"/>
    <w:rsid w:val="004D72CF"/>
    <w:rsid w:val="004D7371"/>
    <w:rsid w:val="004D74E6"/>
    <w:rsid w:val="004D7568"/>
    <w:rsid w:val="004D765D"/>
    <w:rsid w:val="004D7713"/>
    <w:rsid w:val="004D773C"/>
    <w:rsid w:val="004D779F"/>
    <w:rsid w:val="004D77DE"/>
    <w:rsid w:val="004D788C"/>
    <w:rsid w:val="004D79C0"/>
    <w:rsid w:val="004D79E0"/>
    <w:rsid w:val="004D7A62"/>
    <w:rsid w:val="004D7ABB"/>
    <w:rsid w:val="004D7C8F"/>
    <w:rsid w:val="004D7D60"/>
    <w:rsid w:val="004D7D95"/>
    <w:rsid w:val="004D7E8F"/>
    <w:rsid w:val="004E00EA"/>
    <w:rsid w:val="004E01D0"/>
    <w:rsid w:val="004E022F"/>
    <w:rsid w:val="004E0258"/>
    <w:rsid w:val="004E03BE"/>
    <w:rsid w:val="004E0495"/>
    <w:rsid w:val="004E059B"/>
    <w:rsid w:val="004E05EC"/>
    <w:rsid w:val="004E061A"/>
    <w:rsid w:val="004E06DB"/>
    <w:rsid w:val="004E0875"/>
    <w:rsid w:val="004E08BE"/>
    <w:rsid w:val="004E08C9"/>
    <w:rsid w:val="004E0944"/>
    <w:rsid w:val="004E0AF9"/>
    <w:rsid w:val="004E0B29"/>
    <w:rsid w:val="004E0B58"/>
    <w:rsid w:val="004E0C09"/>
    <w:rsid w:val="004E0C10"/>
    <w:rsid w:val="004E0DFA"/>
    <w:rsid w:val="004E115E"/>
    <w:rsid w:val="004E119B"/>
    <w:rsid w:val="004E12F7"/>
    <w:rsid w:val="004E140D"/>
    <w:rsid w:val="004E1526"/>
    <w:rsid w:val="004E1630"/>
    <w:rsid w:val="004E1A87"/>
    <w:rsid w:val="004E1C0B"/>
    <w:rsid w:val="004E2172"/>
    <w:rsid w:val="004E228A"/>
    <w:rsid w:val="004E2321"/>
    <w:rsid w:val="004E238C"/>
    <w:rsid w:val="004E23B4"/>
    <w:rsid w:val="004E25DA"/>
    <w:rsid w:val="004E25E9"/>
    <w:rsid w:val="004E2698"/>
    <w:rsid w:val="004E2850"/>
    <w:rsid w:val="004E28FA"/>
    <w:rsid w:val="004E2A8D"/>
    <w:rsid w:val="004E2AEF"/>
    <w:rsid w:val="004E2D6B"/>
    <w:rsid w:val="004E3045"/>
    <w:rsid w:val="004E3057"/>
    <w:rsid w:val="004E3150"/>
    <w:rsid w:val="004E31C1"/>
    <w:rsid w:val="004E3225"/>
    <w:rsid w:val="004E3228"/>
    <w:rsid w:val="004E324E"/>
    <w:rsid w:val="004E36D5"/>
    <w:rsid w:val="004E37A1"/>
    <w:rsid w:val="004E39BA"/>
    <w:rsid w:val="004E3A5A"/>
    <w:rsid w:val="004E3AB2"/>
    <w:rsid w:val="004E3B10"/>
    <w:rsid w:val="004E3D4A"/>
    <w:rsid w:val="004E3F43"/>
    <w:rsid w:val="004E3FBB"/>
    <w:rsid w:val="004E422D"/>
    <w:rsid w:val="004E4473"/>
    <w:rsid w:val="004E491C"/>
    <w:rsid w:val="004E4C50"/>
    <w:rsid w:val="004E4D28"/>
    <w:rsid w:val="004E4E33"/>
    <w:rsid w:val="004E4EB6"/>
    <w:rsid w:val="004E5119"/>
    <w:rsid w:val="004E514B"/>
    <w:rsid w:val="004E55B1"/>
    <w:rsid w:val="004E56A5"/>
    <w:rsid w:val="004E56CE"/>
    <w:rsid w:val="004E58FA"/>
    <w:rsid w:val="004E5A19"/>
    <w:rsid w:val="004E5CAE"/>
    <w:rsid w:val="004E5E59"/>
    <w:rsid w:val="004E5E5E"/>
    <w:rsid w:val="004E5E8D"/>
    <w:rsid w:val="004E5F59"/>
    <w:rsid w:val="004E5F95"/>
    <w:rsid w:val="004E5FAF"/>
    <w:rsid w:val="004E5FD0"/>
    <w:rsid w:val="004E600B"/>
    <w:rsid w:val="004E61DC"/>
    <w:rsid w:val="004E65AC"/>
    <w:rsid w:val="004E68A3"/>
    <w:rsid w:val="004E6906"/>
    <w:rsid w:val="004E6944"/>
    <w:rsid w:val="004E6B14"/>
    <w:rsid w:val="004E6B4B"/>
    <w:rsid w:val="004E6EDA"/>
    <w:rsid w:val="004E6EEF"/>
    <w:rsid w:val="004E6F5A"/>
    <w:rsid w:val="004E716E"/>
    <w:rsid w:val="004E71B1"/>
    <w:rsid w:val="004E7344"/>
    <w:rsid w:val="004E752C"/>
    <w:rsid w:val="004E7768"/>
    <w:rsid w:val="004E77F5"/>
    <w:rsid w:val="004E78B7"/>
    <w:rsid w:val="004E79A0"/>
    <w:rsid w:val="004E7AD6"/>
    <w:rsid w:val="004E7B11"/>
    <w:rsid w:val="004E7C1C"/>
    <w:rsid w:val="004E7C28"/>
    <w:rsid w:val="004E7EBD"/>
    <w:rsid w:val="004F0146"/>
    <w:rsid w:val="004F016C"/>
    <w:rsid w:val="004F02FD"/>
    <w:rsid w:val="004F03A5"/>
    <w:rsid w:val="004F03CE"/>
    <w:rsid w:val="004F0509"/>
    <w:rsid w:val="004F0555"/>
    <w:rsid w:val="004F07B5"/>
    <w:rsid w:val="004F0873"/>
    <w:rsid w:val="004F09D8"/>
    <w:rsid w:val="004F0A12"/>
    <w:rsid w:val="004F0C05"/>
    <w:rsid w:val="004F0CEB"/>
    <w:rsid w:val="004F0F22"/>
    <w:rsid w:val="004F0F58"/>
    <w:rsid w:val="004F0F6E"/>
    <w:rsid w:val="004F111B"/>
    <w:rsid w:val="004F11C1"/>
    <w:rsid w:val="004F1305"/>
    <w:rsid w:val="004F13CF"/>
    <w:rsid w:val="004F13E1"/>
    <w:rsid w:val="004F14EA"/>
    <w:rsid w:val="004F15FE"/>
    <w:rsid w:val="004F18C5"/>
    <w:rsid w:val="004F1A0E"/>
    <w:rsid w:val="004F1CA6"/>
    <w:rsid w:val="004F1D8F"/>
    <w:rsid w:val="004F226A"/>
    <w:rsid w:val="004F2683"/>
    <w:rsid w:val="004F26B2"/>
    <w:rsid w:val="004F26D8"/>
    <w:rsid w:val="004F272B"/>
    <w:rsid w:val="004F2797"/>
    <w:rsid w:val="004F28E3"/>
    <w:rsid w:val="004F296F"/>
    <w:rsid w:val="004F299F"/>
    <w:rsid w:val="004F2E27"/>
    <w:rsid w:val="004F3014"/>
    <w:rsid w:val="004F30A9"/>
    <w:rsid w:val="004F3142"/>
    <w:rsid w:val="004F33CB"/>
    <w:rsid w:val="004F372C"/>
    <w:rsid w:val="004F38AF"/>
    <w:rsid w:val="004F3909"/>
    <w:rsid w:val="004F3A8F"/>
    <w:rsid w:val="004F3C4C"/>
    <w:rsid w:val="004F3E7F"/>
    <w:rsid w:val="004F3FD7"/>
    <w:rsid w:val="004F405B"/>
    <w:rsid w:val="004F43F7"/>
    <w:rsid w:val="004F4613"/>
    <w:rsid w:val="004F467A"/>
    <w:rsid w:val="004F4B92"/>
    <w:rsid w:val="004F4FF0"/>
    <w:rsid w:val="004F51A6"/>
    <w:rsid w:val="004F53C2"/>
    <w:rsid w:val="004F54F1"/>
    <w:rsid w:val="004F5771"/>
    <w:rsid w:val="004F5A4D"/>
    <w:rsid w:val="004F5A8A"/>
    <w:rsid w:val="004F5E82"/>
    <w:rsid w:val="004F5F2B"/>
    <w:rsid w:val="004F5FD2"/>
    <w:rsid w:val="004F60D1"/>
    <w:rsid w:val="004F60E8"/>
    <w:rsid w:val="004F60F0"/>
    <w:rsid w:val="004F6268"/>
    <w:rsid w:val="004F6272"/>
    <w:rsid w:val="004F6980"/>
    <w:rsid w:val="004F69D9"/>
    <w:rsid w:val="004F6A87"/>
    <w:rsid w:val="004F7111"/>
    <w:rsid w:val="004F7194"/>
    <w:rsid w:val="004F7226"/>
    <w:rsid w:val="004F727E"/>
    <w:rsid w:val="004F7348"/>
    <w:rsid w:val="004F7417"/>
    <w:rsid w:val="004F7467"/>
    <w:rsid w:val="004F74A8"/>
    <w:rsid w:val="004F75EC"/>
    <w:rsid w:val="004F79D6"/>
    <w:rsid w:val="004F7E34"/>
    <w:rsid w:val="004F7F2F"/>
    <w:rsid w:val="0050023F"/>
    <w:rsid w:val="005002A4"/>
    <w:rsid w:val="005002FC"/>
    <w:rsid w:val="00500471"/>
    <w:rsid w:val="00500676"/>
    <w:rsid w:val="00500724"/>
    <w:rsid w:val="0050081D"/>
    <w:rsid w:val="0050087A"/>
    <w:rsid w:val="005009D2"/>
    <w:rsid w:val="00500B2D"/>
    <w:rsid w:val="00500C6D"/>
    <w:rsid w:val="00500D77"/>
    <w:rsid w:val="00500D7B"/>
    <w:rsid w:val="00501037"/>
    <w:rsid w:val="005011CB"/>
    <w:rsid w:val="005012D8"/>
    <w:rsid w:val="00501383"/>
    <w:rsid w:val="005013AD"/>
    <w:rsid w:val="00501413"/>
    <w:rsid w:val="005014A3"/>
    <w:rsid w:val="00501614"/>
    <w:rsid w:val="00501664"/>
    <w:rsid w:val="00501672"/>
    <w:rsid w:val="005017A0"/>
    <w:rsid w:val="0050185C"/>
    <w:rsid w:val="00501AAA"/>
    <w:rsid w:val="00501AE6"/>
    <w:rsid w:val="00501B08"/>
    <w:rsid w:val="00501B6C"/>
    <w:rsid w:val="00501F0A"/>
    <w:rsid w:val="00502170"/>
    <w:rsid w:val="005022EC"/>
    <w:rsid w:val="00502337"/>
    <w:rsid w:val="005023CB"/>
    <w:rsid w:val="0050257F"/>
    <w:rsid w:val="0050269F"/>
    <w:rsid w:val="005026F9"/>
    <w:rsid w:val="00502760"/>
    <w:rsid w:val="00502A9D"/>
    <w:rsid w:val="00502AEE"/>
    <w:rsid w:val="00502B3B"/>
    <w:rsid w:val="00502C59"/>
    <w:rsid w:val="005031F3"/>
    <w:rsid w:val="0050340C"/>
    <w:rsid w:val="00503534"/>
    <w:rsid w:val="0050359A"/>
    <w:rsid w:val="0050365F"/>
    <w:rsid w:val="005038A4"/>
    <w:rsid w:val="005038D6"/>
    <w:rsid w:val="00503A59"/>
    <w:rsid w:val="00503AF5"/>
    <w:rsid w:val="0050411B"/>
    <w:rsid w:val="00504173"/>
    <w:rsid w:val="005042D7"/>
    <w:rsid w:val="005042E3"/>
    <w:rsid w:val="00504363"/>
    <w:rsid w:val="005044A6"/>
    <w:rsid w:val="00504530"/>
    <w:rsid w:val="005046A4"/>
    <w:rsid w:val="005046B9"/>
    <w:rsid w:val="00504F08"/>
    <w:rsid w:val="00505042"/>
    <w:rsid w:val="00505134"/>
    <w:rsid w:val="00505186"/>
    <w:rsid w:val="0050525F"/>
    <w:rsid w:val="00505435"/>
    <w:rsid w:val="005057E8"/>
    <w:rsid w:val="005059B3"/>
    <w:rsid w:val="00505AAE"/>
    <w:rsid w:val="00505B3B"/>
    <w:rsid w:val="00505D15"/>
    <w:rsid w:val="00505DA1"/>
    <w:rsid w:val="00505E01"/>
    <w:rsid w:val="00505EBD"/>
    <w:rsid w:val="0050601E"/>
    <w:rsid w:val="005061D3"/>
    <w:rsid w:val="005062E3"/>
    <w:rsid w:val="0050634D"/>
    <w:rsid w:val="00506475"/>
    <w:rsid w:val="00506685"/>
    <w:rsid w:val="005067A2"/>
    <w:rsid w:val="005067AA"/>
    <w:rsid w:val="005067AD"/>
    <w:rsid w:val="0050699B"/>
    <w:rsid w:val="00506A47"/>
    <w:rsid w:val="00506A96"/>
    <w:rsid w:val="00506B44"/>
    <w:rsid w:val="00506F6D"/>
    <w:rsid w:val="00506FA6"/>
    <w:rsid w:val="00507005"/>
    <w:rsid w:val="00507265"/>
    <w:rsid w:val="005072B8"/>
    <w:rsid w:val="005073DE"/>
    <w:rsid w:val="00507400"/>
    <w:rsid w:val="00507410"/>
    <w:rsid w:val="0050782C"/>
    <w:rsid w:val="005078DE"/>
    <w:rsid w:val="00507AB0"/>
    <w:rsid w:val="00507AF3"/>
    <w:rsid w:val="00507AFE"/>
    <w:rsid w:val="00507B30"/>
    <w:rsid w:val="00507C6C"/>
    <w:rsid w:val="00507DE2"/>
    <w:rsid w:val="00507FAD"/>
    <w:rsid w:val="00507FF0"/>
    <w:rsid w:val="005103DC"/>
    <w:rsid w:val="005106B3"/>
    <w:rsid w:val="005109FE"/>
    <w:rsid w:val="00510A4B"/>
    <w:rsid w:val="00510A99"/>
    <w:rsid w:val="00511095"/>
    <w:rsid w:val="00511144"/>
    <w:rsid w:val="0051128C"/>
    <w:rsid w:val="00511360"/>
    <w:rsid w:val="00511429"/>
    <w:rsid w:val="00511430"/>
    <w:rsid w:val="00511460"/>
    <w:rsid w:val="005114C7"/>
    <w:rsid w:val="00511610"/>
    <w:rsid w:val="00511618"/>
    <w:rsid w:val="005116E1"/>
    <w:rsid w:val="00511817"/>
    <w:rsid w:val="0051182D"/>
    <w:rsid w:val="0051193B"/>
    <w:rsid w:val="005119D5"/>
    <w:rsid w:val="00511A3E"/>
    <w:rsid w:val="00511A45"/>
    <w:rsid w:val="00511D0F"/>
    <w:rsid w:val="00511D7F"/>
    <w:rsid w:val="00511E1E"/>
    <w:rsid w:val="0051205A"/>
    <w:rsid w:val="0051223D"/>
    <w:rsid w:val="00512D43"/>
    <w:rsid w:val="00512F94"/>
    <w:rsid w:val="00512F98"/>
    <w:rsid w:val="00513139"/>
    <w:rsid w:val="00513159"/>
    <w:rsid w:val="00513381"/>
    <w:rsid w:val="00513881"/>
    <w:rsid w:val="00513CAE"/>
    <w:rsid w:val="00513DE6"/>
    <w:rsid w:val="00513E51"/>
    <w:rsid w:val="00513F7F"/>
    <w:rsid w:val="0051406F"/>
    <w:rsid w:val="005141C4"/>
    <w:rsid w:val="00514372"/>
    <w:rsid w:val="005143EC"/>
    <w:rsid w:val="005144FF"/>
    <w:rsid w:val="005145E8"/>
    <w:rsid w:val="0051468F"/>
    <w:rsid w:val="005146F7"/>
    <w:rsid w:val="00514A32"/>
    <w:rsid w:val="00514D65"/>
    <w:rsid w:val="00514F13"/>
    <w:rsid w:val="00514FEC"/>
    <w:rsid w:val="00515327"/>
    <w:rsid w:val="00515494"/>
    <w:rsid w:val="0051559F"/>
    <w:rsid w:val="00515683"/>
    <w:rsid w:val="00515877"/>
    <w:rsid w:val="00515A3F"/>
    <w:rsid w:val="00515E73"/>
    <w:rsid w:val="00515EBB"/>
    <w:rsid w:val="00515ECF"/>
    <w:rsid w:val="00515FBD"/>
    <w:rsid w:val="0051600E"/>
    <w:rsid w:val="0051605F"/>
    <w:rsid w:val="00516126"/>
    <w:rsid w:val="00516300"/>
    <w:rsid w:val="005163CE"/>
    <w:rsid w:val="005165C8"/>
    <w:rsid w:val="00516652"/>
    <w:rsid w:val="0051670B"/>
    <w:rsid w:val="00516785"/>
    <w:rsid w:val="005168C9"/>
    <w:rsid w:val="005168E5"/>
    <w:rsid w:val="005169FB"/>
    <w:rsid w:val="00516AD8"/>
    <w:rsid w:val="00516AE4"/>
    <w:rsid w:val="00516C16"/>
    <w:rsid w:val="00516E62"/>
    <w:rsid w:val="005171BE"/>
    <w:rsid w:val="00517272"/>
    <w:rsid w:val="005175C1"/>
    <w:rsid w:val="00517669"/>
    <w:rsid w:val="0051795A"/>
    <w:rsid w:val="00517C2F"/>
    <w:rsid w:val="00517CA4"/>
    <w:rsid w:val="00517CCE"/>
    <w:rsid w:val="00517CE0"/>
    <w:rsid w:val="00517D85"/>
    <w:rsid w:val="00520017"/>
    <w:rsid w:val="0052002B"/>
    <w:rsid w:val="00520164"/>
    <w:rsid w:val="00520213"/>
    <w:rsid w:val="00520275"/>
    <w:rsid w:val="005202F3"/>
    <w:rsid w:val="00520497"/>
    <w:rsid w:val="00520693"/>
    <w:rsid w:val="005206D4"/>
    <w:rsid w:val="00520779"/>
    <w:rsid w:val="0052094B"/>
    <w:rsid w:val="005209FB"/>
    <w:rsid w:val="00520AE2"/>
    <w:rsid w:val="00520B30"/>
    <w:rsid w:val="00520CA0"/>
    <w:rsid w:val="00520D6E"/>
    <w:rsid w:val="00521168"/>
    <w:rsid w:val="0052123D"/>
    <w:rsid w:val="005212EC"/>
    <w:rsid w:val="005216DF"/>
    <w:rsid w:val="005216E0"/>
    <w:rsid w:val="005218F1"/>
    <w:rsid w:val="00521AD0"/>
    <w:rsid w:val="00521B51"/>
    <w:rsid w:val="00521D5A"/>
    <w:rsid w:val="00521DAE"/>
    <w:rsid w:val="00521ED6"/>
    <w:rsid w:val="00522003"/>
    <w:rsid w:val="00522163"/>
    <w:rsid w:val="005223B3"/>
    <w:rsid w:val="0052283D"/>
    <w:rsid w:val="00522860"/>
    <w:rsid w:val="0052292E"/>
    <w:rsid w:val="00522A0E"/>
    <w:rsid w:val="00522D0C"/>
    <w:rsid w:val="005230DA"/>
    <w:rsid w:val="00523292"/>
    <w:rsid w:val="005233D2"/>
    <w:rsid w:val="00523632"/>
    <w:rsid w:val="00523800"/>
    <w:rsid w:val="00523820"/>
    <w:rsid w:val="00523AC3"/>
    <w:rsid w:val="00523CCD"/>
    <w:rsid w:val="00523D37"/>
    <w:rsid w:val="00523E86"/>
    <w:rsid w:val="00524067"/>
    <w:rsid w:val="0052410E"/>
    <w:rsid w:val="0052419D"/>
    <w:rsid w:val="005241EF"/>
    <w:rsid w:val="00524583"/>
    <w:rsid w:val="00524649"/>
    <w:rsid w:val="0052486A"/>
    <w:rsid w:val="00524878"/>
    <w:rsid w:val="00524902"/>
    <w:rsid w:val="00524940"/>
    <w:rsid w:val="005249E7"/>
    <w:rsid w:val="00524A86"/>
    <w:rsid w:val="00524B06"/>
    <w:rsid w:val="00524C35"/>
    <w:rsid w:val="00524E46"/>
    <w:rsid w:val="00524EDD"/>
    <w:rsid w:val="005253D1"/>
    <w:rsid w:val="005259B2"/>
    <w:rsid w:val="00525C86"/>
    <w:rsid w:val="00525DB9"/>
    <w:rsid w:val="00525FAE"/>
    <w:rsid w:val="005260A8"/>
    <w:rsid w:val="00526167"/>
    <w:rsid w:val="005261FA"/>
    <w:rsid w:val="005261FE"/>
    <w:rsid w:val="0052620F"/>
    <w:rsid w:val="00526284"/>
    <w:rsid w:val="00526377"/>
    <w:rsid w:val="00526470"/>
    <w:rsid w:val="0052663F"/>
    <w:rsid w:val="00526C2D"/>
    <w:rsid w:val="00526CB1"/>
    <w:rsid w:val="0052739F"/>
    <w:rsid w:val="00527687"/>
    <w:rsid w:val="005277F3"/>
    <w:rsid w:val="00527CC9"/>
    <w:rsid w:val="00527D31"/>
    <w:rsid w:val="00527F9A"/>
    <w:rsid w:val="00527FBF"/>
    <w:rsid w:val="005301F8"/>
    <w:rsid w:val="0053032D"/>
    <w:rsid w:val="005303BA"/>
    <w:rsid w:val="005306C1"/>
    <w:rsid w:val="0053106B"/>
    <w:rsid w:val="0053108E"/>
    <w:rsid w:val="00531111"/>
    <w:rsid w:val="005312C8"/>
    <w:rsid w:val="005312FC"/>
    <w:rsid w:val="005317A0"/>
    <w:rsid w:val="0053186C"/>
    <w:rsid w:val="00531A4B"/>
    <w:rsid w:val="00531B67"/>
    <w:rsid w:val="00531C66"/>
    <w:rsid w:val="00531F26"/>
    <w:rsid w:val="00531F95"/>
    <w:rsid w:val="00531FA2"/>
    <w:rsid w:val="0053224B"/>
    <w:rsid w:val="00532261"/>
    <w:rsid w:val="00532326"/>
    <w:rsid w:val="0053238F"/>
    <w:rsid w:val="005324A8"/>
    <w:rsid w:val="005325C1"/>
    <w:rsid w:val="005329C8"/>
    <w:rsid w:val="005329CE"/>
    <w:rsid w:val="00532A16"/>
    <w:rsid w:val="00532AD6"/>
    <w:rsid w:val="00532C6D"/>
    <w:rsid w:val="00532E14"/>
    <w:rsid w:val="0053353F"/>
    <w:rsid w:val="005337A1"/>
    <w:rsid w:val="005337CF"/>
    <w:rsid w:val="005337D9"/>
    <w:rsid w:val="005338CB"/>
    <w:rsid w:val="005338D2"/>
    <w:rsid w:val="00533B75"/>
    <w:rsid w:val="00533D01"/>
    <w:rsid w:val="00533EF2"/>
    <w:rsid w:val="0053404B"/>
    <w:rsid w:val="0053426B"/>
    <w:rsid w:val="0053451E"/>
    <w:rsid w:val="00534802"/>
    <w:rsid w:val="00534BAF"/>
    <w:rsid w:val="00534C31"/>
    <w:rsid w:val="00534D03"/>
    <w:rsid w:val="00534F95"/>
    <w:rsid w:val="005350AC"/>
    <w:rsid w:val="00535334"/>
    <w:rsid w:val="005353B2"/>
    <w:rsid w:val="005353C1"/>
    <w:rsid w:val="0053541F"/>
    <w:rsid w:val="0053569E"/>
    <w:rsid w:val="00535842"/>
    <w:rsid w:val="00535931"/>
    <w:rsid w:val="00535A84"/>
    <w:rsid w:val="00535BC4"/>
    <w:rsid w:val="00535C8C"/>
    <w:rsid w:val="00535CA0"/>
    <w:rsid w:val="00535E0D"/>
    <w:rsid w:val="00535E5D"/>
    <w:rsid w:val="00535FE1"/>
    <w:rsid w:val="0053603D"/>
    <w:rsid w:val="0053623F"/>
    <w:rsid w:val="00536305"/>
    <w:rsid w:val="0053661A"/>
    <w:rsid w:val="005367C4"/>
    <w:rsid w:val="005369F0"/>
    <w:rsid w:val="00536A0D"/>
    <w:rsid w:val="00536B8C"/>
    <w:rsid w:val="00536CAA"/>
    <w:rsid w:val="00536E79"/>
    <w:rsid w:val="00536F23"/>
    <w:rsid w:val="00536FB5"/>
    <w:rsid w:val="0053742A"/>
    <w:rsid w:val="00537786"/>
    <w:rsid w:val="005378D3"/>
    <w:rsid w:val="00537932"/>
    <w:rsid w:val="00537B8C"/>
    <w:rsid w:val="00537C85"/>
    <w:rsid w:val="00537D06"/>
    <w:rsid w:val="00537D37"/>
    <w:rsid w:val="00537D4E"/>
    <w:rsid w:val="00537D5F"/>
    <w:rsid w:val="005401ED"/>
    <w:rsid w:val="00540667"/>
    <w:rsid w:val="005406E3"/>
    <w:rsid w:val="00540740"/>
    <w:rsid w:val="00540811"/>
    <w:rsid w:val="00540AD0"/>
    <w:rsid w:val="00540B36"/>
    <w:rsid w:val="00540DDB"/>
    <w:rsid w:val="00540E64"/>
    <w:rsid w:val="00541165"/>
    <w:rsid w:val="005412EE"/>
    <w:rsid w:val="00541332"/>
    <w:rsid w:val="00541443"/>
    <w:rsid w:val="0054145E"/>
    <w:rsid w:val="00541840"/>
    <w:rsid w:val="00541D29"/>
    <w:rsid w:val="00541EA1"/>
    <w:rsid w:val="005420DB"/>
    <w:rsid w:val="00542398"/>
    <w:rsid w:val="00542533"/>
    <w:rsid w:val="00542666"/>
    <w:rsid w:val="00542810"/>
    <w:rsid w:val="0054287D"/>
    <w:rsid w:val="00542B63"/>
    <w:rsid w:val="00542B91"/>
    <w:rsid w:val="00542D0C"/>
    <w:rsid w:val="00542E68"/>
    <w:rsid w:val="00542F27"/>
    <w:rsid w:val="00543637"/>
    <w:rsid w:val="0054365B"/>
    <w:rsid w:val="00543792"/>
    <w:rsid w:val="00543794"/>
    <w:rsid w:val="00543838"/>
    <w:rsid w:val="00543AC4"/>
    <w:rsid w:val="00543CC3"/>
    <w:rsid w:val="00543E3B"/>
    <w:rsid w:val="00543F23"/>
    <w:rsid w:val="005441D4"/>
    <w:rsid w:val="0054421D"/>
    <w:rsid w:val="00544230"/>
    <w:rsid w:val="00544429"/>
    <w:rsid w:val="0054444E"/>
    <w:rsid w:val="00544469"/>
    <w:rsid w:val="0054449D"/>
    <w:rsid w:val="0054451D"/>
    <w:rsid w:val="005445CD"/>
    <w:rsid w:val="00544908"/>
    <w:rsid w:val="00544DE3"/>
    <w:rsid w:val="00544E51"/>
    <w:rsid w:val="00545004"/>
    <w:rsid w:val="005450D8"/>
    <w:rsid w:val="005451F7"/>
    <w:rsid w:val="0054523F"/>
    <w:rsid w:val="005452F5"/>
    <w:rsid w:val="005452FF"/>
    <w:rsid w:val="005454A0"/>
    <w:rsid w:val="00545564"/>
    <w:rsid w:val="005455EB"/>
    <w:rsid w:val="00545895"/>
    <w:rsid w:val="00545C2D"/>
    <w:rsid w:val="00545D0C"/>
    <w:rsid w:val="00545D8B"/>
    <w:rsid w:val="00545E4F"/>
    <w:rsid w:val="00545E60"/>
    <w:rsid w:val="00545EFF"/>
    <w:rsid w:val="005460EF"/>
    <w:rsid w:val="005460FB"/>
    <w:rsid w:val="005463A6"/>
    <w:rsid w:val="00546499"/>
    <w:rsid w:val="00546BAB"/>
    <w:rsid w:val="00546C0D"/>
    <w:rsid w:val="00546D05"/>
    <w:rsid w:val="00546D6F"/>
    <w:rsid w:val="00547160"/>
    <w:rsid w:val="00547176"/>
    <w:rsid w:val="00547254"/>
    <w:rsid w:val="005472D9"/>
    <w:rsid w:val="005474AB"/>
    <w:rsid w:val="0054763D"/>
    <w:rsid w:val="005477CC"/>
    <w:rsid w:val="00547A73"/>
    <w:rsid w:val="00547B5A"/>
    <w:rsid w:val="00547BFF"/>
    <w:rsid w:val="00547C6C"/>
    <w:rsid w:val="00547CC7"/>
    <w:rsid w:val="00547CD4"/>
    <w:rsid w:val="00547F80"/>
    <w:rsid w:val="00547FAF"/>
    <w:rsid w:val="00550271"/>
    <w:rsid w:val="00550389"/>
    <w:rsid w:val="00550409"/>
    <w:rsid w:val="00550443"/>
    <w:rsid w:val="0055044A"/>
    <w:rsid w:val="0055044D"/>
    <w:rsid w:val="0055045E"/>
    <w:rsid w:val="0055059A"/>
    <w:rsid w:val="00550758"/>
    <w:rsid w:val="00550B3B"/>
    <w:rsid w:val="00550F04"/>
    <w:rsid w:val="005511F8"/>
    <w:rsid w:val="0055157A"/>
    <w:rsid w:val="005518BE"/>
    <w:rsid w:val="00551958"/>
    <w:rsid w:val="005519BA"/>
    <w:rsid w:val="00552251"/>
    <w:rsid w:val="005522A2"/>
    <w:rsid w:val="005522CD"/>
    <w:rsid w:val="00552639"/>
    <w:rsid w:val="005527A3"/>
    <w:rsid w:val="00552800"/>
    <w:rsid w:val="005529B3"/>
    <w:rsid w:val="005529F3"/>
    <w:rsid w:val="00552C2A"/>
    <w:rsid w:val="00552F3E"/>
    <w:rsid w:val="0055310B"/>
    <w:rsid w:val="00553281"/>
    <w:rsid w:val="00553412"/>
    <w:rsid w:val="00553562"/>
    <w:rsid w:val="0055367D"/>
    <w:rsid w:val="005539E9"/>
    <w:rsid w:val="00553F65"/>
    <w:rsid w:val="00554111"/>
    <w:rsid w:val="00554227"/>
    <w:rsid w:val="0055442A"/>
    <w:rsid w:val="005544E6"/>
    <w:rsid w:val="0055454B"/>
    <w:rsid w:val="0055455F"/>
    <w:rsid w:val="00554808"/>
    <w:rsid w:val="005548C9"/>
    <w:rsid w:val="00554BDB"/>
    <w:rsid w:val="00554CEA"/>
    <w:rsid w:val="00554D9B"/>
    <w:rsid w:val="00554E50"/>
    <w:rsid w:val="00554F16"/>
    <w:rsid w:val="00554F2E"/>
    <w:rsid w:val="00554FB0"/>
    <w:rsid w:val="00555020"/>
    <w:rsid w:val="00555088"/>
    <w:rsid w:val="005552A5"/>
    <w:rsid w:val="005553F1"/>
    <w:rsid w:val="00555647"/>
    <w:rsid w:val="00555677"/>
    <w:rsid w:val="005557F8"/>
    <w:rsid w:val="00555968"/>
    <w:rsid w:val="00555F20"/>
    <w:rsid w:val="00555FB7"/>
    <w:rsid w:val="00556011"/>
    <w:rsid w:val="005560B4"/>
    <w:rsid w:val="005563C4"/>
    <w:rsid w:val="005563DF"/>
    <w:rsid w:val="00556497"/>
    <w:rsid w:val="005566B6"/>
    <w:rsid w:val="0055673A"/>
    <w:rsid w:val="0055678B"/>
    <w:rsid w:val="005567F1"/>
    <w:rsid w:val="00556999"/>
    <w:rsid w:val="00556A14"/>
    <w:rsid w:val="00556D1D"/>
    <w:rsid w:val="00556F33"/>
    <w:rsid w:val="00557022"/>
    <w:rsid w:val="00557099"/>
    <w:rsid w:val="0055757F"/>
    <w:rsid w:val="005575C2"/>
    <w:rsid w:val="00557617"/>
    <w:rsid w:val="0055767F"/>
    <w:rsid w:val="00557B24"/>
    <w:rsid w:val="00557D4E"/>
    <w:rsid w:val="00557EB4"/>
    <w:rsid w:val="00560072"/>
    <w:rsid w:val="00560271"/>
    <w:rsid w:val="0056029D"/>
    <w:rsid w:val="00560412"/>
    <w:rsid w:val="005606A8"/>
    <w:rsid w:val="005607CF"/>
    <w:rsid w:val="00560849"/>
    <w:rsid w:val="00560869"/>
    <w:rsid w:val="00560933"/>
    <w:rsid w:val="00560EED"/>
    <w:rsid w:val="00560F30"/>
    <w:rsid w:val="00560FFE"/>
    <w:rsid w:val="00561365"/>
    <w:rsid w:val="00561371"/>
    <w:rsid w:val="00561377"/>
    <w:rsid w:val="00561408"/>
    <w:rsid w:val="00561579"/>
    <w:rsid w:val="005615D5"/>
    <w:rsid w:val="005615E3"/>
    <w:rsid w:val="0056170C"/>
    <w:rsid w:val="00561917"/>
    <w:rsid w:val="0056195D"/>
    <w:rsid w:val="00561CB0"/>
    <w:rsid w:val="00561D2B"/>
    <w:rsid w:val="00561D85"/>
    <w:rsid w:val="00562517"/>
    <w:rsid w:val="00562683"/>
    <w:rsid w:val="005628D0"/>
    <w:rsid w:val="00562BCA"/>
    <w:rsid w:val="00562F17"/>
    <w:rsid w:val="005630DB"/>
    <w:rsid w:val="00563140"/>
    <w:rsid w:val="0056323D"/>
    <w:rsid w:val="00563530"/>
    <w:rsid w:val="0056354D"/>
    <w:rsid w:val="0056374D"/>
    <w:rsid w:val="00563824"/>
    <w:rsid w:val="00563A5A"/>
    <w:rsid w:val="00563E99"/>
    <w:rsid w:val="005640A3"/>
    <w:rsid w:val="005640C3"/>
    <w:rsid w:val="005647A7"/>
    <w:rsid w:val="005647C4"/>
    <w:rsid w:val="005647FD"/>
    <w:rsid w:val="005649EC"/>
    <w:rsid w:val="00564B3F"/>
    <w:rsid w:val="00564CF9"/>
    <w:rsid w:val="00564CFB"/>
    <w:rsid w:val="00564E02"/>
    <w:rsid w:val="00564FB9"/>
    <w:rsid w:val="005651A6"/>
    <w:rsid w:val="005653A0"/>
    <w:rsid w:val="005654E4"/>
    <w:rsid w:val="0056551B"/>
    <w:rsid w:val="00565555"/>
    <w:rsid w:val="00565609"/>
    <w:rsid w:val="0056570C"/>
    <w:rsid w:val="00565711"/>
    <w:rsid w:val="0056582C"/>
    <w:rsid w:val="005659D0"/>
    <w:rsid w:val="005659FF"/>
    <w:rsid w:val="00565A0E"/>
    <w:rsid w:val="00565A57"/>
    <w:rsid w:val="00565C01"/>
    <w:rsid w:val="00565EEE"/>
    <w:rsid w:val="00565F53"/>
    <w:rsid w:val="00565FA0"/>
    <w:rsid w:val="00566066"/>
    <w:rsid w:val="00566086"/>
    <w:rsid w:val="005660EB"/>
    <w:rsid w:val="005660F5"/>
    <w:rsid w:val="00566323"/>
    <w:rsid w:val="0056644D"/>
    <w:rsid w:val="00566565"/>
    <w:rsid w:val="0056685D"/>
    <w:rsid w:val="005668EB"/>
    <w:rsid w:val="005668F7"/>
    <w:rsid w:val="0056690B"/>
    <w:rsid w:val="00566926"/>
    <w:rsid w:val="0056696E"/>
    <w:rsid w:val="00566AEB"/>
    <w:rsid w:val="00566C0A"/>
    <w:rsid w:val="00566DF9"/>
    <w:rsid w:val="00566EE1"/>
    <w:rsid w:val="005671CB"/>
    <w:rsid w:val="005673DE"/>
    <w:rsid w:val="005673F5"/>
    <w:rsid w:val="0056752E"/>
    <w:rsid w:val="00567583"/>
    <w:rsid w:val="005675BA"/>
    <w:rsid w:val="005676EE"/>
    <w:rsid w:val="00567818"/>
    <w:rsid w:val="0056787F"/>
    <w:rsid w:val="005678AC"/>
    <w:rsid w:val="005678D5"/>
    <w:rsid w:val="00567969"/>
    <w:rsid w:val="00567983"/>
    <w:rsid w:val="005679D4"/>
    <w:rsid w:val="00567D90"/>
    <w:rsid w:val="00567E8C"/>
    <w:rsid w:val="00567EA2"/>
    <w:rsid w:val="00567ED2"/>
    <w:rsid w:val="00567F14"/>
    <w:rsid w:val="00570029"/>
    <w:rsid w:val="005702BC"/>
    <w:rsid w:val="00570362"/>
    <w:rsid w:val="00570448"/>
    <w:rsid w:val="005706A1"/>
    <w:rsid w:val="005708AB"/>
    <w:rsid w:val="00570A77"/>
    <w:rsid w:val="00570A9D"/>
    <w:rsid w:val="00570B10"/>
    <w:rsid w:val="00570B88"/>
    <w:rsid w:val="00570BA1"/>
    <w:rsid w:val="00570E62"/>
    <w:rsid w:val="00570F2E"/>
    <w:rsid w:val="005712BE"/>
    <w:rsid w:val="005713DC"/>
    <w:rsid w:val="00571484"/>
    <w:rsid w:val="0057161F"/>
    <w:rsid w:val="0057167E"/>
    <w:rsid w:val="00571934"/>
    <w:rsid w:val="00571938"/>
    <w:rsid w:val="00571B26"/>
    <w:rsid w:val="00571CD1"/>
    <w:rsid w:val="00571DDB"/>
    <w:rsid w:val="00571DF1"/>
    <w:rsid w:val="00571E4C"/>
    <w:rsid w:val="00571FA3"/>
    <w:rsid w:val="00572085"/>
    <w:rsid w:val="0057210F"/>
    <w:rsid w:val="0057229F"/>
    <w:rsid w:val="005722FC"/>
    <w:rsid w:val="005723C3"/>
    <w:rsid w:val="005726C2"/>
    <w:rsid w:val="005728AC"/>
    <w:rsid w:val="005728E3"/>
    <w:rsid w:val="00572CEB"/>
    <w:rsid w:val="00572ED3"/>
    <w:rsid w:val="0057351A"/>
    <w:rsid w:val="005736AE"/>
    <w:rsid w:val="005736E0"/>
    <w:rsid w:val="00573704"/>
    <w:rsid w:val="005737AE"/>
    <w:rsid w:val="00573A7A"/>
    <w:rsid w:val="00573BCE"/>
    <w:rsid w:val="00573CC6"/>
    <w:rsid w:val="00573F70"/>
    <w:rsid w:val="005740D3"/>
    <w:rsid w:val="005743AC"/>
    <w:rsid w:val="0057469A"/>
    <w:rsid w:val="00574707"/>
    <w:rsid w:val="00574A19"/>
    <w:rsid w:val="00574BAB"/>
    <w:rsid w:val="00574C69"/>
    <w:rsid w:val="00574D16"/>
    <w:rsid w:val="00574E00"/>
    <w:rsid w:val="00574FA8"/>
    <w:rsid w:val="00575005"/>
    <w:rsid w:val="00575024"/>
    <w:rsid w:val="00575256"/>
    <w:rsid w:val="005754FF"/>
    <w:rsid w:val="00575AA0"/>
    <w:rsid w:val="00575B4F"/>
    <w:rsid w:val="00575B88"/>
    <w:rsid w:val="00575B99"/>
    <w:rsid w:val="00575FE5"/>
    <w:rsid w:val="0057640B"/>
    <w:rsid w:val="005764B3"/>
    <w:rsid w:val="005765BC"/>
    <w:rsid w:val="005766CE"/>
    <w:rsid w:val="00576759"/>
    <w:rsid w:val="005768F3"/>
    <w:rsid w:val="0057691F"/>
    <w:rsid w:val="00576A8B"/>
    <w:rsid w:val="00576A8F"/>
    <w:rsid w:val="00576C2F"/>
    <w:rsid w:val="00576FF0"/>
    <w:rsid w:val="0057717E"/>
    <w:rsid w:val="005771B6"/>
    <w:rsid w:val="00577227"/>
    <w:rsid w:val="00577241"/>
    <w:rsid w:val="00577352"/>
    <w:rsid w:val="0057740D"/>
    <w:rsid w:val="0057742F"/>
    <w:rsid w:val="0057767C"/>
    <w:rsid w:val="005776B2"/>
    <w:rsid w:val="00577B4F"/>
    <w:rsid w:val="00577D86"/>
    <w:rsid w:val="00580004"/>
    <w:rsid w:val="00580555"/>
    <w:rsid w:val="005806C6"/>
    <w:rsid w:val="005806F7"/>
    <w:rsid w:val="00580753"/>
    <w:rsid w:val="00580872"/>
    <w:rsid w:val="00580BE6"/>
    <w:rsid w:val="00580EBA"/>
    <w:rsid w:val="00581011"/>
    <w:rsid w:val="0058111E"/>
    <w:rsid w:val="00581142"/>
    <w:rsid w:val="005812C4"/>
    <w:rsid w:val="00581583"/>
    <w:rsid w:val="005817EF"/>
    <w:rsid w:val="005819E9"/>
    <w:rsid w:val="00581A43"/>
    <w:rsid w:val="00581B1B"/>
    <w:rsid w:val="00581B8B"/>
    <w:rsid w:val="00581D23"/>
    <w:rsid w:val="0058209D"/>
    <w:rsid w:val="005820CB"/>
    <w:rsid w:val="00582103"/>
    <w:rsid w:val="005823C7"/>
    <w:rsid w:val="005825B6"/>
    <w:rsid w:val="005826A6"/>
    <w:rsid w:val="00582796"/>
    <w:rsid w:val="00582878"/>
    <w:rsid w:val="005828BE"/>
    <w:rsid w:val="00582AA0"/>
    <w:rsid w:val="00582AE2"/>
    <w:rsid w:val="00582B1F"/>
    <w:rsid w:val="00582E38"/>
    <w:rsid w:val="00583468"/>
    <w:rsid w:val="005837C9"/>
    <w:rsid w:val="005838E8"/>
    <w:rsid w:val="00583A81"/>
    <w:rsid w:val="00583BAC"/>
    <w:rsid w:val="00583D91"/>
    <w:rsid w:val="005840AA"/>
    <w:rsid w:val="0058419F"/>
    <w:rsid w:val="005841CB"/>
    <w:rsid w:val="00584349"/>
    <w:rsid w:val="005846A1"/>
    <w:rsid w:val="00584817"/>
    <w:rsid w:val="00584942"/>
    <w:rsid w:val="005849DD"/>
    <w:rsid w:val="00584A11"/>
    <w:rsid w:val="00584F2B"/>
    <w:rsid w:val="00584F31"/>
    <w:rsid w:val="00584FC7"/>
    <w:rsid w:val="005850B6"/>
    <w:rsid w:val="005851DE"/>
    <w:rsid w:val="005853B9"/>
    <w:rsid w:val="005853E1"/>
    <w:rsid w:val="0058547F"/>
    <w:rsid w:val="00585744"/>
    <w:rsid w:val="005857BA"/>
    <w:rsid w:val="005857EA"/>
    <w:rsid w:val="00585AFF"/>
    <w:rsid w:val="00585CB3"/>
    <w:rsid w:val="00585E40"/>
    <w:rsid w:val="00585ED3"/>
    <w:rsid w:val="00585FD4"/>
    <w:rsid w:val="00586076"/>
    <w:rsid w:val="0058625D"/>
    <w:rsid w:val="005863DF"/>
    <w:rsid w:val="00586605"/>
    <w:rsid w:val="00586886"/>
    <w:rsid w:val="0058689D"/>
    <w:rsid w:val="005868DE"/>
    <w:rsid w:val="00586D15"/>
    <w:rsid w:val="00586E5E"/>
    <w:rsid w:val="00586F45"/>
    <w:rsid w:val="0058713F"/>
    <w:rsid w:val="0058726F"/>
    <w:rsid w:val="00587487"/>
    <w:rsid w:val="00587578"/>
    <w:rsid w:val="0058775D"/>
    <w:rsid w:val="005877AC"/>
    <w:rsid w:val="00587851"/>
    <w:rsid w:val="00587B21"/>
    <w:rsid w:val="00587C69"/>
    <w:rsid w:val="00587FE2"/>
    <w:rsid w:val="005902F0"/>
    <w:rsid w:val="0059045A"/>
    <w:rsid w:val="00590770"/>
    <w:rsid w:val="005909CD"/>
    <w:rsid w:val="00590ACB"/>
    <w:rsid w:val="00590D70"/>
    <w:rsid w:val="00590E13"/>
    <w:rsid w:val="00590F37"/>
    <w:rsid w:val="00591107"/>
    <w:rsid w:val="00591370"/>
    <w:rsid w:val="005917BB"/>
    <w:rsid w:val="005917CC"/>
    <w:rsid w:val="0059182A"/>
    <w:rsid w:val="0059193F"/>
    <w:rsid w:val="00591C10"/>
    <w:rsid w:val="00591EF3"/>
    <w:rsid w:val="00591F40"/>
    <w:rsid w:val="00592018"/>
    <w:rsid w:val="005922DA"/>
    <w:rsid w:val="0059266B"/>
    <w:rsid w:val="00592713"/>
    <w:rsid w:val="00592738"/>
    <w:rsid w:val="0059274C"/>
    <w:rsid w:val="005927CD"/>
    <w:rsid w:val="0059292F"/>
    <w:rsid w:val="00592A4C"/>
    <w:rsid w:val="00592EC9"/>
    <w:rsid w:val="00593027"/>
    <w:rsid w:val="005931B7"/>
    <w:rsid w:val="00593257"/>
    <w:rsid w:val="00593320"/>
    <w:rsid w:val="0059345B"/>
    <w:rsid w:val="005934FF"/>
    <w:rsid w:val="00593554"/>
    <w:rsid w:val="005936A6"/>
    <w:rsid w:val="005936F8"/>
    <w:rsid w:val="0059382A"/>
    <w:rsid w:val="0059389C"/>
    <w:rsid w:val="005938C9"/>
    <w:rsid w:val="00593BDF"/>
    <w:rsid w:val="00593D4C"/>
    <w:rsid w:val="00593DCB"/>
    <w:rsid w:val="00593E56"/>
    <w:rsid w:val="00593F2C"/>
    <w:rsid w:val="005941B0"/>
    <w:rsid w:val="005941BC"/>
    <w:rsid w:val="00594505"/>
    <w:rsid w:val="0059450D"/>
    <w:rsid w:val="0059475B"/>
    <w:rsid w:val="005947FB"/>
    <w:rsid w:val="00594902"/>
    <w:rsid w:val="00594A99"/>
    <w:rsid w:val="00594B62"/>
    <w:rsid w:val="00594D04"/>
    <w:rsid w:val="005951EB"/>
    <w:rsid w:val="0059533E"/>
    <w:rsid w:val="00595495"/>
    <w:rsid w:val="005957A7"/>
    <w:rsid w:val="00595BAF"/>
    <w:rsid w:val="00595F2D"/>
    <w:rsid w:val="00595FF5"/>
    <w:rsid w:val="005960CB"/>
    <w:rsid w:val="005960D1"/>
    <w:rsid w:val="00596479"/>
    <w:rsid w:val="0059647E"/>
    <w:rsid w:val="0059652A"/>
    <w:rsid w:val="0059667B"/>
    <w:rsid w:val="005966B7"/>
    <w:rsid w:val="00596851"/>
    <w:rsid w:val="00596857"/>
    <w:rsid w:val="00596863"/>
    <w:rsid w:val="005968A9"/>
    <w:rsid w:val="00596999"/>
    <w:rsid w:val="005969B0"/>
    <w:rsid w:val="00596B96"/>
    <w:rsid w:val="00596D83"/>
    <w:rsid w:val="00596EF4"/>
    <w:rsid w:val="00596FB0"/>
    <w:rsid w:val="00596FDF"/>
    <w:rsid w:val="005972B5"/>
    <w:rsid w:val="0059744C"/>
    <w:rsid w:val="00597470"/>
    <w:rsid w:val="005975B8"/>
    <w:rsid w:val="005975E1"/>
    <w:rsid w:val="00597A11"/>
    <w:rsid w:val="00597DC5"/>
    <w:rsid w:val="005A005F"/>
    <w:rsid w:val="005A01FC"/>
    <w:rsid w:val="005A02CD"/>
    <w:rsid w:val="005A0377"/>
    <w:rsid w:val="005A0378"/>
    <w:rsid w:val="005A04D8"/>
    <w:rsid w:val="005A0704"/>
    <w:rsid w:val="005A0897"/>
    <w:rsid w:val="005A08EA"/>
    <w:rsid w:val="005A09EB"/>
    <w:rsid w:val="005A0CC5"/>
    <w:rsid w:val="005A0CD0"/>
    <w:rsid w:val="005A0CDA"/>
    <w:rsid w:val="005A0FE8"/>
    <w:rsid w:val="005A1094"/>
    <w:rsid w:val="005A1144"/>
    <w:rsid w:val="005A1399"/>
    <w:rsid w:val="005A13C8"/>
    <w:rsid w:val="005A1404"/>
    <w:rsid w:val="005A148C"/>
    <w:rsid w:val="005A152E"/>
    <w:rsid w:val="005A1837"/>
    <w:rsid w:val="005A1981"/>
    <w:rsid w:val="005A1ADC"/>
    <w:rsid w:val="005A1C01"/>
    <w:rsid w:val="005A1DDA"/>
    <w:rsid w:val="005A1E2E"/>
    <w:rsid w:val="005A1F56"/>
    <w:rsid w:val="005A1F7F"/>
    <w:rsid w:val="005A20F6"/>
    <w:rsid w:val="005A2122"/>
    <w:rsid w:val="005A223B"/>
    <w:rsid w:val="005A2412"/>
    <w:rsid w:val="005A24C5"/>
    <w:rsid w:val="005A25B8"/>
    <w:rsid w:val="005A288C"/>
    <w:rsid w:val="005A28A0"/>
    <w:rsid w:val="005A2979"/>
    <w:rsid w:val="005A29D4"/>
    <w:rsid w:val="005A2B05"/>
    <w:rsid w:val="005A2D8C"/>
    <w:rsid w:val="005A2DB6"/>
    <w:rsid w:val="005A2F3D"/>
    <w:rsid w:val="005A30A6"/>
    <w:rsid w:val="005A30EF"/>
    <w:rsid w:val="005A3140"/>
    <w:rsid w:val="005A31EE"/>
    <w:rsid w:val="005A37BA"/>
    <w:rsid w:val="005A3A50"/>
    <w:rsid w:val="005A3D49"/>
    <w:rsid w:val="005A3D5B"/>
    <w:rsid w:val="005A3F67"/>
    <w:rsid w:val="005A3F7D"/>
    <w:rsid w:val="005A4074"/>
    <w:rsid w:val="005A4107"/>
    <w:rsid w:val="005A413C"/>
    <w:rsid w:val="005A4282"/>
    <w:rsid w:val="005A42DE"/>
    <w:rsid w:val="005A4550"/>
    <w:rsid w:val="005A45C7"/>
    <w:rsid w:val="005A460C"/>
    <w:rsid w:val="005A48C9"/>
    <w:rsid w:val="005A4A2D"/>
    <w:rsid w:val="005A4BD4"/>
    <w:rsid w:val="005A4D7F"/>
    <w:rsid w:val="005A4DD4"/>
    <w:rsid w:val="005A5411"/>
    <w:rsid w:val="005A541C"/>
    <w:rsid w:val="005A5474"/>
    <w:rsid w:val="005A5643"/>
    <w:rsid w:val="005A57A1"/>
    <w:rsid w:val="005A5822"/>
    <w:rsid w:val="005A5B22"/>
    <w:rsid w:val="005A5CE3"/>
    <w:rsid w:val="005A5F66"/>
    <w:rsid w:val="005A5FEB"/>
    <w:rsid w:val="005A6033"/>
    <w:rsid w:val="005A61CD"/>
    <w:rsid w:val="005A61E0"/>
    <w:rsid w:val="005A623A"/>
    <w:rsid w:val="005A62A3"/>
    <w:rsid w:val="005A6701"/>
    <w:rsid w:val="005A672F"/>
    <w:rsid w:val="005A6736"/>
    <w:rsid w:val="005A684E"/>
    <w:rsid w:val="005A691B"/>
    <w:rsid w:val="005A6937"/>
    <w:rsid w:val="005A6A5C"/>
    <w:rsid w:val="005A6D76"/>
    <w:rsid w:val="005A6D7F"/>
    <w:rsid w:val="005A6D93"/>
    <w:rsid w:val="005A6F20"/>
    <w:rsid w:val="005A701E"/>
    <w:rsid w:val="005A70C3"/>
    <w:rsid w:val="005A7183"/>
    <w:rsid w:val="005A7336"/>
    <w:rsid w:val="005A7497"/>
    <w:rsid w:val="005A75BD"/>
    <w:rsid w:val="005A7690"/>
    <w:rsid w:val="005A7896"/>
    <w:rsid w:val="005A793B"/>
    <w:rsid w:val="005A795A"/>
    <w:rsid w:val="005A7B71"/>
    <w:rsid w:val="005A7BAB"/>
    <w:rsid w:val="005A7D71"/>
    <w:rsid w:val="005A7DCC"/>
    <w:rsid w:val="005B0373"/>
    <w:rsid w:val="005B0408"/>
    <w:rsid w:val="005B0669"/>
    <w:rsid w:val="005B0869"/>
    <w:rsid w:val="005B0DE3"/>
    <w:rsid w:val="005B0DF7"/>
    <w:rsid w:val="005B0E1D"/>
    <w:rsid w:val="005B0E39"/>
    <w:rsid w:val="005B0E57"/>
    <w:rsid w:val="005B10F8"/>
    <w:rsid w:val="005B1151"/>
    <w:rsid w:val="005B1544"/>
    <w:rsid w:val="005B17B0"/>
    <w:rsid w:val="005B1813"/>
    <w:rsid w:val="005B1A5E"/>
    <w:rsid w:val="005B1FC6"/>
    <w:rsid w:val="005B2144"/>
    <w:rsid w:val="005B21B4"/>
    <w:rsid w:val="005B21E7"/>
    <w:rsid w:val="005B23D6"/>
    <w:rsid w:val="005B23E5"/>
    <w:rsid w:val="005B2513"/>
    <w:rsid w:val="005B256B"/>
    <w:rsid w:val="005B259C"/>
    <w:rsid w:val="005B25C2"/>
    <w:rsid w:val="005B2B9F"/>
    <w:rsid w:val="005B2D85"/>
    <w:rsid w:val="005B2E50"/>
    <w:rsid w:val="005B2E58"/>
    <w:rsid w:val="005B2E95"/>
    <w:rsid w:val="005B3098"/>
    <w:rsid w:val="005B31D6"/>
    <w:rsid w:val="005B343C"/>
    <w:rsid w:val="005B3511"/>
    <w:rsid w:val="005B373D"/>
    <w:rsid w:val="005B3808"/>
    <w:rsid w:val="005B3AE0"/>
    <w:rsid w:val="005B3BC5"/>
    <w:rsid w:val="005B3D55"/>
    <w:rsid w:val="005B3E49"/>
    <w:rsid w:val="005B3E5D"/>
    <w:rsid w:val="005B3F12"/>
    <w:rsid w:val="005B434A"/>
    <w:rsid w:val="005B4452"/>
    <w:rsid w:val="005B4946"/>
    <w:rsid w:val="005B497B"/>
    <w:rsid w:val="005B49CB"/>
    <w:rsid w:val="005B4A3F"/>
    <w:rsid w:val="005B4BB6"/>
    <w:rsid w:val="005B4E6E"/>
    <w:rsid w:val="005B4FD1"/>
    <w:rsid w:val="005B5031"/>
    <w:rsid w:val="005B5182"/>
    <w:rsid w:val="005B52EA"/>
    <w:rsid w:val="005B52F4"/>
    <w:rsid w:val="005B52F5"/>
    <w:rsid w:val="005B530A"/>
    <w:rsid w:val="005B5451"/>
    <w:rsid w:val="005B54B5"/>
    <w:rsid w:val="005B55F5"/>
    <w:rsid w:val="005B5747"/>
    <w:rsid w:val="005B5AD4"/>
    <w:rsid w:val="005B5E2A"/>
    <w:rsid w:val="005B5F32"/>
    <w:rsid w:val="005B6028"/>
    <w:rsid w:val="005B6092"/>
    <w:rsid w:val="005B61FB"/>
    <w:rsid w:val="005B636E"/>
    <w:rsid w:val="005B63F9"/>
    <w:rsid w:val="005B6419"/>
    <w:rsid w:val="005B660D"/>
    <w:rsid w:val="005B6617"/>
    <w:rsid w:val="005B66F5"/>
    <w:rsid w:val="005B67C6"/>
    <w:rsid w:val="005B6808"/>
    <w:rsid w:val="005B687C"/>
    <w:rsid w:val="005B6A1F"/>
    <w:rsid w:val="005B6AF3"/>
    <w:rsid w:val="005B6E26"/>
    <w:rsid w:val="005B6F93"/>
    <w:rsid w:val="005B6F9F"/>
    <w:rsid w:val="005B6FF0"/>
    <w:rsid w:val="005B7448"/>
    <w:rsid w:val="005B74F9"/>
    <w:rsid w:val="005B758F"/>
    <w:rsid w:val="005B7606"/>
    <w:rsid w:val="005B7AFC"/>
    <w:rsid w:val="005B7B65"/>
    <w:rsid w:val="005B7D7B"/>
    <w:rsid w:val="005B7E3E"/>
    <w:rsid w:val="005B7E72"/>
    <w:rsid w:val="005B7F22"/>
    <w:rsid w:val="005B7F8F"/>
    <w:rsid w:val="005B7FF5"/>
    <w:rsid w:val="005C0119"/>
    <w:rsid w:val="005C02A4"/>
    <w:rsid w:val="005C07A5"/>
    <w:rsid w:val="005C09D6"/>
    <w:rsid w:val="005C0D3F"/>
    <w:rsid w:val="005C0F66"/>
    <w:rsid w:val="005C0FC8"/>
    <w:rsid w:val="005C1046"/>
    <w:rsid w:val="005C106F"/>
    <w:rsid w:val="005C1111"/>
    <w:rsid w:val="005C1174"/>
    <w:rsid w:val="005C13F1"/>
    <w:rsid w:val="005C14E1"/>
    <w:rsid w:val="005C15C2"/>
    <w:rsid w:val="005C15E2"/>
    <w:rsid w:val="005C164C"/>
    <w:rsid w:val="005C16B6"/>
    <w:rsid w:val="005C1B68"/>
    <w:rsid w:val="005C1C81"/>
    <w:rsid w:val="005C1DF2"/>
    <w:rsid w:val="005C1ED1"/>
    <w:rsid w:val="005C1F56"/>
    <w:rsid w:val="005C1FFF"/>
    <w:rsid w:val="005C20D2"/>
    <w:rsid w:val="005C2103"/>
    <w:rsid w:val="005C2275"/>
    <w:rsid w:val="005C23ED"/>
    <w:rsid w:val="005C27FC"/>
    <w:rsid w:val="005C2BB4"/>
    <w:rsid w:val="005C32FE"/>
    <w:rsid w:val="005C3418"/>
    <w:rsid w:val="005C3441"/>
    <w:rsid w:val="005C3539"/>
    <w:rsid w:val="005C3623"/>
    <w:rsid w:val="005C378E"/>
    <w:rsid w:val="005C37EA"/>
    <w:rsid w:val="005C3914"/>
    <w:rsid w:val="005C3A7C"/>
    <w:rsid w:val="005C3AEA"/>
    <w:rsid w:val="005C3C9E"/>
    <w:rsid w:val="005C3CBC"/>
    <w:rsid w:val="005C3E1F"/>
    <w:rsid w:val="005C4063"/>
    <w:rsid w:val="005C417E"/>
    <w:rsid w:val="005C422A"/>
    <w:rsid w:val="005C449E"/>
    <w:rsid w:val="005C44BA"/>
    <w:rsid w:val="005C46DF"/>
    <w:rsid w:val="005C48C0"/>
    <w:rsid w:val="005C48CD"/>
    <w:rsid w:val="005C4A59"/>
    <w:rsid w:val="005C4B25"/>
    <w:rsid w:val="005C503A"/>
    <w:rsid w:val="005C5062"/>
    <w:rsid w:val="005C50F5"/>
    <w:rsid w:val="005C51D1"/>
    <w:rsid w:val="005C5348"/>
    <w:rsid w:val="005C53A2"/>
    <w:rsid w:val="005C53F8"/>
    <w:rsid w:val="005C57A2"/>
    <w:rsid w:val="005C57D0"/>
    <w:rsid w:val="005C58E9"/>
    <w:rsid w:val="005C5D24"/>
    <w:rsid w:val="005C5D9C"/>
    <w:rsid w:val="005C5E77"/>
    <w:rsid w:val="005C5EE7"/>
    <w:rsid w:val="005C5F25"/>
    <w:rsid w:val="005C60FE"/>
    <w:rsid w:val="005C63E3"/>
    <w:rsid w:val="005C653B"/>
    <w:rsid w:val="005C6592"/>
    <w:rsid w:val="005C68B1"/>
    <w:rsid w:val="005C69E2"/>
    <w:rsid w:val="005C6C4B"/>
    <w:rsid w:val="005C6D22"/>
    <w:rsid w:val="005C6FE9"/>
    <w:rsid w:val="005C72AD"/>
    <w:rsid w:val="005C773D"/>
    <w:rsid w:val="005C77E0"/>
    <w:rsid w:val="005C793E"/>
    <w:rsid w:val="005C7A68"/>
    <w:rsid w:val="005C7B27"/>
    <w:rsid w:val="005C7B52"/>
    <w:rsid w:val="005C7DAF"/>
    <w:rsid w:val="005D024A"/>
    <w:rsid w:val="005D02E7"/>
    <w:rsid w:val="005D038A"/>
    <w:rsid w:val="005D07D0"/>
    <w:rsid w:val="005D0995"/>
    <w:rsid w:val="005D09AF"/>
    <w:rsid w:val="005D0A4A"/>
    <w:rsid w:val="005D0E49"/>
    <w:rsid w:val="005D0F34"/>
    <w:rsid w:val="005D129C"/>
    <w:rsid w:val="005D135F"/>
    <w:rsid w:val="005D158A"/>
    <w:rsid w:val="005D15A7"/>
    <w:rsid w:val="005D167D"/>
    <w:rsid w:val="005D1745"/>
    <w:rsid w:val="005D17C0"/>
    <w:rsid w:val="005D1BB0"/>
    <w:rsid w:val="005D1D13"/>
    <w:rsid w:val="005D1FA9"/>
    <w:rsid w:val="005D1FE5"/>
    <w:rsid w:val="005D22A6"/>
    <w:rsid w:val="005D22C8"/>
    <w:rsid w:val="005D2472"/>
    <w:rsid w:val="005D2700"/>
    <w:rsid w:val="005D2741"/>
    <w:rsid w:val="005D27F6"/>
    <w:rsid w:val="005D2804"/>
    <w:rsid w:val="005D2915"/>
    <w:rsid w:val="005D2B31"/>
    <w:rsid w:val="005D2B90"/>
    <w:rsid w:val="005D2D22"/>
    <w:rsid w:val="005D2D52"/>
    <w:rsid w:val="005D2F4B"/>
    <w:rsid w:val="005D2F9B"/>
    <w:rsid w:val="005D3001"/>
    <w:rsid w:val="005D312F"/>
    <w:rsid w:val="005D31B8"/>
    <w:rsid w:val="005D33E7"/>
    <w:rsid w:val="005D3976"/>
    <w:rsid w:val="005D3AAC"/>
    <w:rsid w:val="005D3AC9"/>
    <w:rsid w:val="005D3CD4"/>
    <w:rsid w:val="005D3D56"/>
    <w:rsid w:val="005D3EAD"/>
    <w:rsid w:val="005D3F0F"/>
    <w:rsid w:val="005D4139"/>
    <w:rsid w:val="005D42B3"/>
    <w:rsid w:val="005D4454"/>
    <w:rsid w:val="005D499C"/>
    <w:rsid w:val="005D49AD"/>
    <w:rsid w:val="005D49E1"/>
    <w:rsid w:val="005D4A84"/>
    <w:rsid w:val="005D4C38"/>
    <w:rsid w:val="005D4C9B"/>
    <w:rsid w:val="005D4E57"/>
    <w:rsid w:val="005D4EED"/>
    <w:rsid w:val="005D4F5D"/>
    <w:rsid w:val="005D4F6B"/>
    <w:rsid w:val="005D4F8B"/>
    <w:rsid w:val="005D4FD4"/>
    <w:rsid w:val="005D5016"/>
    <w:rsid w:val="005D510E"/>
    <w:rsid w:val="005D5216"/>
    <w:rsid w:val="005D53D3"/>
    <w:rsid w:val="005D54F5"/>
    <w:rsid w:val="005D553C"/>
    <w:rsid w:val="005D554D"/>
    <w:rsid w:val="005D562A"/>
    <w:rsid w:val="005D57F5"/>
    <w:rsid w:val="005D5A1C"/>
    <w:rsid w:val="005D5A8F"/>
    <w:rsid w:val="005D66B1"/>
    <w:rsid w:val="005D66F4"/>
    <w:rsid w:val="005D68A7"/>
    <w:rsid w:val="005D6B7E"/>
    <w:rsid w:val="005D6CAD"/>
    <w:rsid w:val="005D6D64"/>
    <w:rsid w:val="005D7135"/>
    <w:rsid w:val="005D71FF"/>
    <w:rsid w:val="005D72E3"/>
    <w:rsid w:val="005D7869"/>
    <w:rsid w:val="005D7A51"/>
    <w:rsid w:val="005D7A91"/>
    <w:rsid w:val="005D7FA5"/>
    <w:rsid w:val="005E00C4"/>
    <w:rsid w:val="005E011F"/>
    <w:rsid w:val="005E01C2"/>
    <w:rsid w:val="005E0231"/>
    <w:rsid w:val="005E02D2"/>
    <w:rsid w:val="005E04ED"/>
    <w:rsid w:val="005E0536"/>
    <w:rsid w:val="005E0562"/>
    <w:rsid w:val="005E05AE"/>
    <w:rsid w:val="005E0613"/>
    <w:rsid w:val="005E06A0"/>
    <w:rsid w:val="005E0C3B"/>
    <w:rsid w:val="005E0E8A"/>
    <w:rsid w:val="005E0F28"/>
    <w:rsid w:val="005E0F82"/>
    <w:rsid w:val="005E0FB9"/>
    <w:rsid w:val="005E1004"/>
    <w:rsid w:val="005E10F9"/>
    <w:rsid w:val="005E1104"/>
    <w:rsid w:val="005E11EA"/>
    <w:rsid w:val="005E14F0"/>
    <w:rsid w:val="005E154A"/>
    <w:rsid w:val="005E154B"/>
    <w:rsid w:val="005E159D"/>
    <w:rsid w:val="005E16D5"/>
    <w:rsid w:val="005E1710"/>
    <w:rsid w:val="005E1779"/>
    <w:rsid w:val="005E18EC"/>
    <w:rsid w:val="005E1AB0"/>
    <w:rsid w:val="005E1ACA"/>
    <w:rsid w:val="005E1C54"/>
    <w:rsid w:val="005E1DE6"/>
    <w:rsid w:val="005E1F56"/>
    <w:rsid w:val="005E2104"/>
    <w:rsid w:val="005E2165"/>
    <w:rsid w:val="005E22DC"/>
    <w:rsid w:val="005E24AC"/>
    <w:rsid w:val="005E2629"/>
    <w:rsid w:val="005E26E5"/>
    <w:rsid w:val="005E2E38"/>
    <w:rsid w:val="005E302E"/>
    <w:rsid w:val="005E3216"/>
    <w:rsid w:val="005E362C"/>
    <w:rsid w:val="005E371A"/>
    <w:rsid w:val="005E377F"/>
    <w:rsid w:val="005E3798"/>
    <w:rsid w:val="005E3806"/>
    <w:rsid w:val="005E3883"/>
    <w:rsid w:val="005E38D1"/>
    <w:rsid w:val="005E397F"/>
    <w:rsid w:val="005E3B57"/>
    <w:rsid w:val="005E3E5A"/>
    <w:rsid w:val="005E40ED"/>
    <w:rsid w:val="005E41F9"/>
    <w:rsid w:val="005E43C3"/>
    <w:rsid w:val="005E4654"/>
    <w:rsid w:val="005E465C"/>
    <w:rsid w:val="005E4911"/>
    <w:rsid w:val="005E49DD"/>
    <w:rsid w:val="005E49DF"/>
    <w:rsid w:val="005E4B13"/>
    <w:rsid w:val="005E4BB1"/>
    <w:rsid w:val="005E4DFC"/>
    <w:rsid w:val="005E4F75"/>
    <w:rsid w:val="005E50B1"/>
    <w:rsid w:val="005E5252"/>
    <w:rsid w:val="005E5561"/>
    <w:rsid w:val="005E558C"/>
    <w:rsid w:val="005E56E0"/>
    <w:rsid w:val="005E5921"/>
    <w:rsid w:val="005E5965"/>
    <w:rsid w:val="005E5999"/>
    <w:rsid w:val="005E59B5"/>
    <w:rsid w:val="005E5B19"/>
    <w:rsid w:val="005E5F22"/>
    <w:rsid w:val="005E6013"/>
    <w:rsid w:val="005E64F1"/>
    <w:rsid w:val="005E65FB"/>
    <w:rsid w:val="005E6681"/>
    <w:rsid w:val="005E66D7"/>
    <w:rsid w:val="005E670A"/>
    <w:rsid w:val="005E6741"/>
    <w:rsid w:val="005E67E8"/>
    <w:rsid w:val="005E695F"/>
    <w:rsid w:val="005E6974"/>
    <w:rsid w:val="005E6A77"/>
    <w:rsid w:val="005E6CB6"/>
    <w:rsid w:val="005E6D5D"/>
    <w:rsid w:val="005E6E8D"/>
    <w:rsid w:val="005E6F32"/>
    <w:rsid w:val="005E6FB5"/>
    <w:rsid w:val="005E7092"/>
    <w:rsid w:val="005E7190"/>
    <w:rsid w:val="005E7579"/>
    <w:rsid w:val="005E758E"/>
    <w:rsid w:val="005E7A1D"/>
    <w:rsid w:val="005E7AA1"/>
    <w:rsid w:val="005E7BFF"/>
    <w:rsid w:val="005E7C43"/>
    <w:rsid w:val="005E7C87"/>
    <w:rsid w:val="005E7E96"/>
    <w:rsid w:val="005E7F7D"/>
    <w:rsid w:val="005E7FB7"/>
    <w:rsid w:val="005F014E"/>
    <w:rsid w:val="005F05CA"/>
    <w:rsid w:val="005F0631"/>
    <w:rsid w:val="005F07A7"/>
    <w:rsid w:val="005F09A9"/>
    <w:rsid w:val="005F09E8"/>
    <w:rsid w:val="005F0BCE"/>
    <w:rsid w:val="005F0DBF"/>
    <w:rsid w:val="005F0F09"/>
    <w:rsid w:val="005F0F9D"/>
    <w:rsid w:val="005F1408"/>
    <w:rsid w:val="005F1518"/>
    <w:rsid w:val="005F1574"/>
    <w:rsid w:val="005F1666"/>
    <w:rsid w:val="005F1875"/>
    <w:rsid w:val="005F18D9"/>
    <w:rsid w:val="005F18E4"/>
    <w:rsid w:val="005F18F8"/>
    <w:rsid w:val="005F198C"/>
    <w:rsid w:val="005F1C44"/>
    <w:rsid w:val="005F1D5A"/>
    <w:rsid w:val="005F1E4F"/>
    <w:rsid w:val="005F1FC7"/>
    <w:rsid w:val="005F2121"/>
    <w:rsid w:val="005F218E"/>
    <w:rsid w:val="005F24B1"/>
    <w:rsid w:val="005F2549"/>
    <w:rsid w:val="005F2609"/>
    <w:rsid w:val="005F2723"/>
    <w:rsid w:val="005F276E"/>
    <w:rsid w:val="005F2AAB"/>
    <w:rsid w:val="005F2C3C"/>
    <w:rsid w:val="005F2D57"/>
    <w:rsid w:val="005F2E86"/>
    <w:rsid w:val="005F34FA"/>
    <w:rsid w:val="005F3569"/>
    <w:rsid w:val="005F3682"/>
    <w:rsid w:val="005F3709"/>
    <w:rsid w:val="005F38DD"/>
    <w:rsid w:val="005F3CC7"/>
    <w:rsid w:val="005F3D82"/>
    <w:rsid w:val="005F3F70"/>
    <w:rsid w:val="005F3F97"/>
    <w:rsid w:val="005F4129"/>
    <w:rsid w:val="005F4185"/>
    <w:rsid w:val="005F449B"/>
    <w:rsid w:val="005F44C0"/>
    <w:rsid w:val="005F4509"/>
    <w:rsid w:val="005F48C2"/>
    <w:rsid w:val="005F490D"/>
    <w:rsid w:val="005F49C3"/>
    <w:rsid w:val="005F4AA1"/>
    <w:rsid w:val="005F5070"/>
    <w:rsid w:val="005F51F0"/>
    <w:rsid w:val="005F5280"/>
    <w:rsid w:val="005F52F7"/>
    <w:rsid w:val="005F5A06"/>
    <w:rsid w:val="005F5AF3"/>
    <w:rsid w:val="005F5D2A"/>
    <w:rsid w:val="005F5D4C"/>
    <w:rsid w:val="005F5E47"/>
    <w:rsid w:val="005F5FB8"/>
    <w:rsid w:val="005F5FC9"/>
    <w:rsid w:val="005F616E"/>
    <w:rsid w:val="005F658D"/>
    <w:rsid w:val="005F6715"/>
    <w:rsid w:val="005F68A4"/>
    <w:rsid w:val="005F6E5A"/>
    <w:rsid w:val="005F6EB9"/>
    <w:rsid w:val="005F6F90"/>
    <w:rsid w:val="005F70D0"/>
    <w:rsid w:val="005F7338"/>
    <w:rsid w:val="005F75C6"/>
    <w:rsid w:val="005F75DD"/>
    <w:rsid w:val="005F7663"/>
    <w:rsid w:val="005F77C4"/>
    <w:rsid w:val="005F782F"/>
    <w:rsid w:val="005F79CF"/>
    <w:rsid w:val="005F7D87"/>
    <w:rsid w:val="005F7D98"/>
    <w:rsid w:val="005F7F36"/>
    <w:rsid w:val="006000E5"/>
    <w:rsid w:val="00600592"/>
    <w:rsid w:val="00600612"/>
    <w:rsid w:val="0060064D"/>
    <w:rsid w:val="006008B4"/>
    <w:rsid w:val="0060098A"/>
    <w:rsid w:val="0060099A"/>
    <w:rsid w:val="006009E5"/>
    <w:rsid w:val="00600AD5"/>
    <w:rsid w:val="00600B43"/>
    <w:rsid w:val="00600B65"/>
    <w:rsid w:val="00600C4C"/>
    <w:rsid w:val="00600CDC"/>
    <w:rsid w:val="006013B8"/>
    <w:rsid w:val="006014D5"/>
    <w:rsid w:val="00601650"/>
    <w:rsid w:val="00601927"/>
    <w:rsid w:val="00601A42"/>
    <w:rsid w:val="00601BFB"/>
    <w:rsid w:val="00601C3A"/>
    <w:rsid w:val="00601CBA"/>
    <w:rsid w:val="00601DD7"/>
    <w:rsid w:val="006020D5"/>
    <w:rsid w:val="00602144"/>
    <w:rsid w:val="0060214B"/>
    <w:rsid w:val="006022EA"/>
    <w:rsid w:val="00602525"/>
    <w:rsid w:val="006025E2"/>
    <w:rsid w:val="00602A21"/>
    <w:rsid w:val="00602B7A"/>
    <w:rsid w:val="00602BEE"/>
    <w:rsid w:val="00602C02"/>
    <w:rsid w:val="00602D06"/>
    <w:rsid w:val="00602D1C"/>
    <w:rsid w:val="00602D97"/>
    <w:rsid w:val="00602DF6"/>
    <w:rsid w:val="00602E56"/>
    <w:rsid w:val="00602E7A"/>
    <w:rsid w:val="00603009"/>
    <w:rsid w:val="00603191"/>
    <w:rsid w:val="00603199"/>
    <w:rsid w:val="0060341F"/>
    <w:rsid w:val="006035E1"/>
    <w:rsid w:val="00603643"/>
    <w:rsid w:val="00603702"/>
    <w:rsid w:val="00603822"/>
    <w:rsid w:val="00603981"/>
    <w:rsid w:val="00603A6B"/>
    <w:rsid w:val="00603D5F"/>
    <w:rsid w:val="006040EF"/>
    <w:rsid w:val="00604150"/>
    <w:rsid w:val="00604243"/>
    <w:rsid w:val="00604608"/>
    <w:rsid w:val="0060461B"/>
    <w:rsid w:val="006047D0"/>
    <w:rsid w:val="006047E4"/>
    <w:rsid w:val="006049F4"/>
    <w:rsid w:val="00604BE4"/>
    <w:rsid w:val="00604D39"/>
    <w:rsid w:val="00604E70"/>
    <w:rsid w:val="00604E8F"/>
    <w:rsid w:val="00604EEF"/>
    <w:rsid w:val="00604F52"/>
    <w:rsid w:val="0060500F"/>
    <w:rsid w:val="00605147"/>
    <w:rsid w:val="006053F3"/>
    <w:rsid w:val="00605562"/>
    <w:rsid w:val="006057A2"/>
    <w:rsid w:val="00605935"/>
    <w:rsid w:val="00605A99"/>
    <w:rsid w:val="00605AFD"/>
    <w:rsid w:val="00605B31"/>
    <w:rsid w:val="00605B68"/>
    <w:rsid w:val="00605C95"/>
    <w:rsid w:val="00605DB1"/>
    <w:rsid w:val="00606138"/>
    <w:rsid w:val="00606218"/>
    <w:rsid w:val="006062F6"/>
    <w:rsid w:val="006062FD"/>
    <w:rsid w:val="0060636A"/>
    <w:rsid w:val="0060656D"/>
    <w:rsid w:val="0060661B"/>
    <w:rsid w:val="006068FC"/>
    <w:rsid w:val="00606C7A"/>
    <w:rsid w:val="00606D15"/>
    <w:rsid w:val="006075CF"/>
    <w:rsid w:val="006075E3"/>
    <w:rsid w:val="006075EB"/>
    <w:rsid w:val="006077A1"/>
    <w:rsid w:val="006077CC"/>
    <w:rsid w:val="006079A9"/>
    <w:rsid w:val="00607AC8"/>
    <w:rsid w:val="00607B82"/>
    <w:rsid w:val="00607BA4"/>
    <w:rsid w:val="00607BC7"/>
    <w:rsid w:val="00607C1D"/>
    <w:rsid w:val="00607C36"/>
    <w:rsid w:val="00607C57"/>
    <w:rsid w:val="00610022"/>
    <w:rsid w:val="006100F0"/>
    <w:rsid w:val="00610395"/>
    <w:rsid w:val="006105E9"/>
    <w:rsid w:val="006106E4"/>
    <w:rsid w:val="006107AF"/>
    <w:rsid w:val="00610969"/>
    <w:rsid w:val="00610A54"/>
    <w:rsid w:val="00610BED"/>
    <w:rsid w:val="00610EBC"/>
    <w:rsid w:val="00610EFE"/>
    <w:rsid w:val="00611119"/>
    <w:rsid w:val="0061164E"/>
    <w:rsid w:val="00611779"/>
    <w:rsid w:val="006117A7"/>
    <w:rsid w:val="0061186B"/>
    <w:rsid w:val="006119EE"/>
    <w:rsid w:val="00611B3B"/>
    <w:rsid w:val="00611D1C"/>
    <w:rsid w:val="00611DD8"/>
    <w:rsid w:val="00611DF4"/>
    <w:rsid w:val="0061220A"/>
    <w:rsid w:val="006123D4"/>
    <w:rsid w:val="00612400"/>
    <w:rsid w:val="006124B1"/>
    <w:rsid w:val="00612524"/>
    <w:rsid w:val="00612546"/>
    <w:rsid w:val="00612C66"/>
    <w:rsid w:val="00612CF9"/>
    <w:rsid w:val="00612D92"/>
    <w:rsid w:val="00612E42"/>
    <w:rsid w:val="0061312B"/>
    <w:rsid w:val="006131AA"/>
    <w:rsid w:val="0061341C"/>
    <w:rsid w:val="00613610"/>
    <w:rsid w:val="00613C4D"/>
    <w:rsid w:val="00613C94"/>
    <w:rsid w:val="00613C9C"/>
    <w:rsid w:val="00613FE7"/>
    <w:rsid w:val="00614101"/>
    <w:rsid w:val="0061412D"/>
    <w:rsid w:val="006141D1"/>
    <w:rsid w:val="006142E5"/>
    <w:rsid w:val="0061445B"/>
    <w:rsid w:val="0061459D"/>
    <w:rsid w:val="006145AB"/>
    <w:rsid w:val="00614774"/>
    <w:rsid w:val="0061480C"/>
    <w:rsid w:val="00614855"/>
    <w:rsid w:val="00614A07"/>
    <w:rsid w:val="00614BA2"/>
    <w:rsid w:val="00614BAE"/>
    <w:rsid w:val="00614C01"/>
    <w:rsid w:val="00614EFF"/>
    <w:rsid w:val="00615009"/>
    <w:rsid w:val="006151B6"/>
    <w:rsid w:val="006153BF"/>
    <w:rsid w:val="006154C5"/>
    <w:rsid w:val="0061558A"/>
    <w:rsid w:val="0061558F"/>
    <w:rsid w:val="006155BC"/>
    <w:rsid w:val="00615612"/>
    <w:rsid w:val="006156F0"/>
    <w:rsid w:val="006159B1"/>
    <w:rsid w:val="00615B30"/>
    <w:rsid w:val="00615D09"/>
    <w:rsid w:val="00615D94"/>
    <w:rsid w:val="00615DEB"/>
    <w:rsid w:val="00615DFB"/>
    <w:rsid w:val="006161F5"/>
    <w:rsid w:val="00616256"/>
    <w:rsid w:val="00616475"/>
    <w:rsid w:val="0061652C"/>
    <w:rsid w:val="0061653F"/>
    <w:rsid w:val="0061671E"/>
    <w:rsid w:val="00616768"/>
    <w:rsid w:val="00616940"/>
    <w:rsid w:val="0061699A"/>
    <w:rsid w:val="00616C2D"/>
    <w:rsid w:val="00616C45"/>
    <w:rsid w:val="00616E49"/>
    <w:rsid w:val="00616E88"/>
    <w:rsid w:val="00616FD1"/>
    <w:rsid w:val="00617422"/>
    <w:rsid w:val="006177D1"/>
    <w:rsid w:val="00617994"/>
    <w:rsid w:val="006179C1"/>
    <w:rsid w:val="00617B36"/>
    <w:rsid w:val="00617CAD"/>
    <w:rsid w:val="00617DFA"/>
    <w:rsid w:val="006200C0"/>
    <w:rsid w:val="006201CC"/>
    <w:rsid w:val="0062028A"/>
    <w:rsid w:val="0062030B"/>
    <w:rsid w:val="00620545"/>
    <w:rsid w:val="006207FE"/>
    <w:rsid w:val="006209C5"/>
    <w:rsid w:val="00620BD3"/>
    <w:rsid w:val="00620C10"/>
    <w:rsid w:val="00620D34"/>
    <w:rsid w:val="00620D78"/>
    <w:rsid w:val="00620E0F"/>
    <w:rsid w:val="00620E88"/>
    <w:rsid w:val="00620F1B"/>
    <w:rsid w:val="00620F40"/>
    <w:rsid w:val="00621406"/>
    <w:rsid w:val="00621521"/>
    <w:rsid w:val="0062155C"/>
    <w:rsid w:val="00621607"/>
    <w:rsid w:val="0062172A"/>
    <w:rsid w:val="00621A44"/>
    <w:rsid w:val="00621AE3"/>
    <w:rsid w:val="00621AF5"/>
    <w:rsid w:val="00621BA6"/>
    <w:rsid w:val="00621FEF"/>
    <w:rsid w:val="006220CD"/>
    <w:rsid w:val="006221AC"/>
    <w:rsid w:val="0062230D"/>
    <w:rsid w:val="00622769"/>
    <w:rsid w:val="00622C3D"/>
    <w:rsid w:val="00623386"/>
    <w:rsid w:val="006236EB"/>
    <w:rsid w:val="006236FD"/>
    <w:rsid w:val="0062377D"/>
    <w:rsid w:val="006237A5"/>
    <w:rsid w:val="00623917"/>
    <w:rsid w:val="00623AED"/>
    <w:rsid w:val="00623CDF"/>
    <w:rsid w:val="00623D24"/>
    <w:rsid w:val="00623F5E"/>
    <w:rsid w:val="00623FC7"/>
    <w:rsid w:val="00624028"/>
    <w:rsid w:val="006241FD"/>
    <w:rsid w:val="00624242"/>
    <w:rsid w:val="006242D3"/>
    <w:rsid w:val="0062443C"/>
    <w:rsid w:val="00624748"/>
    <w:rsid w:val="006247BE"/>
    <w:rsid w:val="006248D8"/>
    <w:rsid w:val="0062493E"/>
    <w:rsid w:val="00624BC1"/>
    <w:rsid w:val="00624C4B"/>
    <w:rsid w:val="00624D36"/>
    <w:rsid w:val="00624D67"/>
    <w:rsid w:val="00624D90"/>
    <w:rsid w:val="00624E4B"/>
    <w:rsid w:val="00624F33"/>
    <w:rsid w:val="00624F7A"/>
    <w:rsid w:val="0062506B"/>
    <w:rsid w:val="006251B4"/>
    <w:rsid w:val="00625345"/>
    <w:rsid w:val="00625380"/>
    <w:rsid w:val="006254D8"/>
    <w:rsid w:val="00625832"/>
    <w:rsid w:val="00625AC3"/>
    <w:rsid w:val="00625B63"/>
    <w:rsid w:val="00625B82"/>
    <w:rsid w:val="00625BA1"/>
    <w:rsid w:val="00625CAD"/>
    <w:rsid w:val="00625EC2"/>
    <w:rsid w:val="00626080"/>
    <w:rsid w:val="0062617F"/>
    <w:rsid w:val="00626240"/>
    <w:rsid w:val="00626278"/>
    <w:rsid w:val="00626334"/>
    <w:rsid w:val="0062639D"/>
    <w:rsid w:val="00626450"/>
    <w:rsid w:val="00626832"/>
    <w:rsid w:val="0062688C"/>
    <w:rsid w:val="0062698D"/>
    <w:rsid w:val="00626A94"/>
    <w:rsid w:val="00626A95"/>
    <w:rsid w:val="00626AD7"/>
    <w:rsid w:val="00626B39"/>
    <w:rsid w:val="00626B3D"/>
    <w:rsid w:val="00626BCC"/>
    <w:rsid w:val="00626F5D"/>
    <w:rsid w:val="00626F78"/>
    <w:rsid w:val="00627177"/>
    <w:rsid w:val="006272C6"/>
    <w:rsid w:val="0062738C"/>
    <w:rsid w:val="00627570"/>
    <w:rsid w:val="00627742"/>
    <w:rsid w:val="00627762"/>
    <w:rsid w:val="00627D19"/>
    <w:rsid w:val="00627F95"/>
    <w:rsid w:val="00630201"/>
    <w:rsid w:val="0063023D"/>
    <w:rsid w:val="00630465"/>
    <w:rsid w:val="00630598"/>
    <w:rsid w:val="006307A4"/>
    <w:rsid w:val="00630A56"/>
    <w:rsid w:val="00630AB9"/>
    <w:rsid w:val="00630B61"/>
    <w:rsid w:val="00630C68"/>
    <w:rsid w:val="00630C7C"/>
    <w:rsid w:val="00630DB0"/>
    <w:rsid w:val="00630E14"/>
    <w:rsid w:val="00630E3B"/>
    <w:rsid w:val="006310B4"/>
    <w:rsid w:val="006317F1"/>
    <w:rsid w:val="00631805"/>
    <w:rsid w:val="00631CAF"/>
    <w:rsid w:val="00631D88"/>
    <w:rsid w:val="0063232D"/>
    <w:rsid w:val="00632500"/>
    <w:rsid w:val="006326E0"/>
    <w:rsid w:val="00632731"/>
    <w:rsid w:val="0063273F"/>
    <w:rsid w:val="0063284F"/>
    <w:rsid w:val="00632C62"/>
    <w:rsid w:val="00632F5F"/>
    <w:rsid w:val="00633069"/>
    <w:rsid w:val="0063308E"/>
    <w:rsid w:val="00633120"/>
    <w:rsid w:val="006332A9"/>
    <w:rsid w:val="00633358"/>
    <w:rsid w:val="00633445"/>
    <w:rsid w:val="006334FC"/>
    <w:rsid w:val="00633620"/>
    <w:rsid w:val="00633655"/>
    <w:rsid w:val="006337BF"/>
    <w:rsid w:val="006337D3"/>
    <w:rsid w:val="006337EF"/>
    <w:rsid w:val="0063389F"/>
    <w:rsid w:val="00633949"/>
    <w:rsid w:val="00633A11"/>
    <w:rsid w:val="006341A9"/>
    <w:rsid w:val="0063421E"/>
    <w:rsid w:val="006343CD"/>
    <w:rsid w:val="0063457A"/>
    <w:rsid w:val="006345AC"/>
    <w:rsid w:val="00634805"/>
    <w:rsid w:val="006348E0"/>
    <w:rsid w:val="00634BA3"/>
    <w:rsid w:val="00634BED"/>
    <w:rsid w:val="00634C1B"/>
    <w:rsid w:val="0063507C"/>
    <w:rsid w:val="006352F9"/>
    <w:rsid w:val="0063593A"/>
    <w:rsid w:val="00635988"/>
    <w:rsid w:val="00635BBE"/>
    <w:rsid w:val="00635BF6"/>
    <w:rsid w:val="00635CA2"/>
    <w:rsid w:val="00635E32"/>
    <w:rsid w:val="00635FCA"/>
    <w:rsid w:val="00636033"/>
    <w:rsid w:val="00636158"/>
    <w:rsid w:val="006362CE"/>
    <w:rsid w:val="006362D1"/>
    <w:rsid w:val="00636402"/>
    <w:rsid w:val="0063644D"/>
    <w:rsid w:val="00636487"/>
    <w:rsid w:val="006365B8"/>
    <w:rsid w:val="006366B1"/>
    <w:rsid w:val="006366E3"/>
    <w:rsid w:val="006367EA"/>
    <w:rsid w:val="00636812"/>
    <w:rsid w:val="00636886"/>
    <w:rsid w:val="00636CB2"/>
    <w:rsid w:val="00636D07"/>
    <w:rsid w:val="00636D11"/>
    <w:rsid w:val="00636E60"/>
    <w:rsid w:val="00637121"/>
    <w:rsid w:val="0063779E"/>
    <w:rsid w:val="0063790E"/>
    <w:rsid w:val="00637977"/>
    <w:rsid w:val="00637B25"/>
    <w:rsid w:val="00637B43"/>
    <w:rsid w:val="00637D06"/>
    <w:rsid w:val="00637FBE"/>
    <w:rsid w:val="0064002E"/>
    <w:rsid w:val="0064011C"/>
    <w:rsid w:val="006401C1"/>
    <w:rsid w:val="0064021F"/>
    <w:rsid w:val="006402E9"/>
    <w:rsid w:val="006404FE"/>
    <w:rsid w:val="0064056C"/>
    <w:rsid w:val="00640678"/>
    <w:rsid w:val="006406DC"/>
    <w:rsid w:val="006407AA"/>
    <w:rsid w:val="006407CF"/>
    <w:rsid w:val="006407EB"/>
    <w:rsid w:val="006408C1"/>
    <w:rsid w:val="006408CC"/>
    <w:rsid w:val="00640A9C"/>
    <w:rsid w:val="00640B32"/>
    <w:rsid w:val="00640BAC"/>
    <w:rsid w:val="00640C1C"/>
    <w:rsid w:val="00640DE7"/>
    <w:rsid w:val="00641284"/>
    <w:rsid w:val="006413D4"/>
    <w:rsid w:val="00641761"/>
    <w:rsid w:val="006418AE"/>
    <w:rsid w:val="00641E2E"/>
    <w:rsid w:val="00641F68"/>
    <w:rsid w:val="00642015"/>
    <w:rsid w:val="0064204C"/>
    <w:rsid w:val="00642086"/>
    <w:rsid w:val="00642164"/>
    <w:rsid w:val="006421AC"/>
    <w:rsid w:val="006422D4"/>
    <w:rsid w:val="00642341"/>
    <w:rsid w:val="006424A8"/>
    <w:rsid w:val="006426CC"/>
    <w:rsid w:val="00642931"/>
    <w:rsid w:val="00642A76"/>
    <w:rsid w:val="00642C7A"/>
    <w:rsid w:val="00642D14"/>
    <w:rsid w:val="00642F3D"/>
    <w:rsid w:val="00642FBF"/>
    <w:rsid w:val="006430A8"/>
    <w:rsid w:val="006432FE"/>
    <w:rsid w:val="006434BB"/>
    <w:rsid w:val="006436C3"/>
    <w:rsid w:val="006438C1"/>
    <w:rsid w:val="006439AC"/>
    <w:rsid w:val="006439C0"/>
    <w:rsid w:val="00643D1B"/>
    <w:rsid w:val="00643DD0"/>
    <w:rsid w:val="00643E01"/>
    <w:rsid w:val="006440CC"/>
    <w:rsid w:val="00644163"/>
    <w:rsid w:val="006441D1"/>
    <w:rsid w:val="00644203"/>
    <w:rsid w:val="006442CA"/>
    <w:rsid w:val="006442E4"/>
    <w:rsid w:val="006442F6"/>
    <w:rsid w:val="00644335"/>
    <w:rsid w:val="0064442B"/>
    <w:rsid w:val="00644457"/>
    <w:rsid w:val="0064492B"/>
    <w:rsid w:val="0064499B"/>
    <w:rsid w:val="006449F4"/>
    <w:rsid w:val="00644B49"/>
    <w:rsid w:val="00644B6B"/>
    <w:rsid w:val="00644E5C"/>
    <w:rsid w:val="00645091"/>
    <w:rsid w:val="0064509C"/>
    <w:rsid w:val="0064517B"/>
    <w:rsid w:val="00645245"/>
    <w:rsid w:val="0064527F"/>
    <w:rsid w:val="006453BE"/>
    <w:rsid w:val="00645414"/>
    <w:rsid w:val="006454C7"/>
    <w:rsid w:val="006456BF"/>
    <w:rsid w:val="006456D7"/>
    <w:rsid w:val="00645711"/>
    <w:rsid w:val="00645877"/>
    <w:rsid w:val="0064587F"/>
    <w:rsid w:val="00645A17"/>
    <w:rsid w:val="00645AD6"/>
    <w:rsid w:val="00645DAF"/>
    <w:rsid w:val="00645F16"/>
    <w:rsid w:val="00645F66"/>
    <w:rsid w:val="00645F93"/>
    <w:rsid w:val="006460E5"/>
    <w:rsid w:val="00646253"/>
    <w:rsid w:val="00646292"/>
    <w:rsid w:val="006464AD"/>
    <w:rsid w:val="00646687"/>
    <w:rsid w:val="006466A6"/>
    <w:rsid w:val="006466D6"/>
    <w:rsid w:val="006469CC"/>
    <w:rsid w:val="00646B57"/>
    <w:rsid w:val="00646DD3"/>
    <w:rsid w:val="00646E32"/>
    <w:rsid w:val="00646F54"/>
    <w:rsid w:val="00647028"/>
    <w:rsid w:val="00647133"/>
    <w:rsid w:val="00647290"/>
    <w:rsid w:val="00647415"/>
    <w:rsid w:val="006474EE"/>
    <w:rsid w:val="006477FC"/>
    <w:rsid w:val="00647A3A"/>
    <w:rsid w:val="00647AA2"/>
    <w:rsid w:val="00647BB3"/>
    <w:rsid w:val="00647CD6"/>
    <w:rsid w:val="00647D6A"/>
    <w:rsid w:val="00647E99"/>
    <w:rsid w:val="00650094"/>
    <w:rsid w:val="00650370"/>
    <w:rsid w:val="006503A7"/>
    <w:rsid w:val="006504FD"/>
    <w:rsid w:val="006505A8"/>
    <w:rsid w:val="006505DC"/>
    <w:rsid w:val="00650817"/>
    <w:rsid w:val="00650B90"/>
    <w:rsid w:val="00650EFD"/>
    <w:rsid w:val="00651219"/>
    <w:rsid w:val="0065147F"/>
    <w:rsid w:val="00651490"/>
    <w:rsid w:val="006514B7"/>
    <w:rsid w:val="006514B8"/>
    <w:rsid w:val="006514D7"/>
    <w:rsid w:val="00651538"/>
    <w:rsid w:val="0065155B"/>
    <w:rsid w:val="0065158B"/>
    <w:rsid w:val="0065168A"/>
    <w:rsid w:val="0065173D"/>
    <w:rsid w:val="006517D5"/>
    <w:rsid w:val="006518D8"/>
    <w:rsid w:val="006518F9"/>
    <w:rsid w:val="0065199C"/>
    <w:rsid w:val="006519F0"/>
    <w:rsid w:val="00651B2C"/>
    <w:rsid w:val="00651D66"/>
    <w:rsid w:val="00651F0F"/>
    <w:rsid w:val="00651F6D"/>
    <w:rsid w:val="00651F92"/>
    <w:rsid w:val="006520C3"/>
    <w:rsid w:val="00652113"/>
    <w:rsid w:val="006523ED"/>
    <w:rsid w:val="00652413"/>
    <w:rsid w:val="00652587"/>
    <w:rsid w:val="00652605"/>
    <w:rsid w:val="006527B2"/>
    <w:rsid w:val="00652980"/>
    <w:rsid w:val="00652A0D"/>
    <w:rsid w:val="00652A1D"/>
    <w:rsid w:val="00652A60"/>
    <w:rsid w:val="00652C76"/>
    <w:rsid w:val="00652DC1"/>
    <w:rsid w:val="00652E87"/>
    <w:rsid w:val="00652F82"/>
    <w:rsid w:val="0065300A"/>
    <w:rsid w:val="00653037"/>
    <w:rsid w:val="00653059"/>
    <w:rsid w:val="00653148"/>
    <w:rsid w:val="006533CE"/>
    <w:rsid w:val="00653403"/>
    <w:rsid w:val="00653473"/>
    <w:rsid w:val="00653A7A"/>
    <w:rsid w:val="00653B2A"/>
    <w:rsid w:val="00653CCF"/>
    <w:rsid w:val="00653CD2"/>
    <w:rsid w:val="00653D4E"/>
    <w:rsid w:val="006545D1"/>
    <w:rsid w:val="006545F9"/>
    <w:rsid w:val="0065485E"/>
    <w:rsid w:val="00654A35"/>
    <w:rsid w:val="00654A7E"/>
    <w:rsid w:val="00654C41"/>
    <w:rsid w:val="00654C73"/>
    <w:rsid w:val="00654CF4"/>
    <w:rsid w:val="00654E0A"/>
    <w:rsid w:val="0065520C"/>
    <w:rsid w:val="00655438"/>
    <w:rsid w:val="006555C8"/>
    <w:rsid w:val="006556C9"/>
    <w:rsid w:val="00655878"/>
    <w:rsid w:val="006561DE"/>
    <w:rsid w:val="006563F6"/>
    <w:rsid w:val="006563FD"/>
    <w:rsid w:val="00656645"/>
    <w:rsid w:val="0065664A"/>
    <w:rsid w:val="006568CF"/>
    <w:rsid w:val="0065691D"/>
    <w:rsid w:val="00656CEE"/>
    <w:rsid w:val="00656D47"/>
    <w:rsid w:val="00656D78"/>
    <w:rsid w:val="00656ED3"/>
    <w:rsid w:val="00656F45"/>
    <w:rsid w:val="00656F60"/>
    <w:rsid w:val="006572A9"/>
    <w:rsid w:val="006574C2"/>
    <w:rsid w:val="00657CB0"/>
    <w:rsid w:val="00657D25"/>
    <w:rsid w:val="00657DDE"/>
    <w:rsid w:val="00657E88"/>
    <w:rsid w:val="00657F21"/>
    <w:rsid w:val="00657F47"/>
    <w:rsid w:val="00657FE0"/>
    <w:rsid w:val="00660090"/>
    <w:rsid w:val="0066015C"/>
    <w:rsid w:val="0066031C"/>
    <w:rsid w:val="006604B7"/>
    <w:rsid w:val="00660863"/>
    <w:rsid w:val="00660929"/>
    <w:rsid w:val="00660B7A"/>
    <w:rsid w:val="00660C63"/>
    <w:rsid w:val="0066135E"/>
    <w:rsid w:val="0066194B"/>
    <w:rsid w:val="006619F8"/>
    <w:rsid w:val="00661A1E"/>
    <w:rsid w:val="00661A6E"/>
    <w:rsid w:val="00661B39"/>
    <w:rsid w:val="00661FE3"/>
    <w:rsid w:val="00662108"/>
    <w:rsid w:val="006621D1"/>
    <w:rsid w:val="0066261C"/>
    <w:rsid w:val="006628AB"/>
    <w:rsid w:val="00662AB1"/>
    <w:rsid w:val="00662B5F"/>
    <w:rsid w:val="00662EB1"/>
    <w:rsid w:val="00662EE1"/>
    <w:rsid w:val="006630ED"/>
    <w:rsid w:val="0066334A"/>
    <w:rsid w:val="0066335D"/>
    <w:rsid w:val="00663605"/>
    <w:rsid w:val="00663777"/>
    <w:rsid w:val="00663786"/>
    <w:rsid w:val="00663A5D"/>
    <w:rsid w:val="00663B9F"/>
    <w:rsid w:val="00663E69"/>
    <w:rsid w:val="00663FFA"/>
    <w:rsid w:val="006642AD"/>
    <w:rsid w:val="006646C1"/>
    <w:rsid w:val="006649A1"/>
    <w:rsid w:val="00664B4B"/>
    <w:rsid w:val="00664BBD"/>
    <w:rsid w:val="00664C44"/>
    <w:rsid w:val="00664C61"/>
    <w:rsid w:val="00664DBA"/>
    <w:rsid w:val="00665226"/>
    <w:rsid w:val="00665305"/>
    <w:rsid w:val="00665396"/>
    <w:rsid w:val="006657BF"/>
    <w:rsid w:val="00665849"/>
    <w:rsid w:val="00665910"/>
    <w:rsid w:val="00665B21"/>
    <w:rsid w:val="00665F38"/>
    <w:rsid w:val="00665F88"/>
    <w:rsid w:val="00665FE6"/>
    <w:rsid w:val="0066609A"/>
    <w:rsid w:val="00666145"/>
    <w:rsid w:val="00666196"/>
    <w:rsid w:val="0066622D"/>
    <w:rsid w:val="00666262"/>
    <w:rsid w:val="0066631A"/>
    <w:rsid w:val="00666390"/>
    <w:rsid w:val="00666777"/>
    <w:rsid w:val="006668F9"/>
    <w:rsid w:val="006669E4"/>
    <w:rsid w:val="00666BF9"/>
    <w:rsid w:val="00666EAB"/>
    <w:rsid w:val="00666EC4"/>
    <w:rsid w:val="00666FFC"/>
    <w:rsid w:val="00667001"/>
    <w:rsid w:val="0066700B"/>
    <w:rsid w:val="00667081"/>
    <w:rsid w:val="00667254"/>
    <w:rsid w:val="006673A4"/>
    <w:rsid w:val="006673FF"/>
    <w:rsid w:val="00667B36"/>
    <w:rsid w:val="00667BD1"/>
    <w:rsid w:val="00667BF9"/>
    <w:rsid w:val="00667C7F"/>
    <w:rsid w:val="00667E02"/>
    <w:rsid w:val="00667E29"/>
    <w:rsid w:val="006700BD"/>
    <w:rsid w:val="00670108"/>
    <w:rsid w:val="006701DD"/>
    <w:rsid w:val="006702CA"/>
    <w:rsid w:val="00670793"/>
    <w:rsid w:val="006707D8"/>
    <w:rsid w:val="00670979"/>
    <w:rsid w:val="00670A06"/>
    <w:rsid w:val="00670A66"/>
    <w:rsid w:val="00670B1D"/>
    <w:rsid w:val="00670BB5"/>
    <w:rsid w:val="00670CFE"/>
    <w:rsid w:val="006715D6"/>
    <w:rsid w:val="0067165B"/>
    <w:rsid w:val="006716E2"/>
    <w:rsid w:val="006717A5"/>
    <w:rsid w:val="00671BB2"/>
    <w:rsid w:val="00671E41"/>
    <w:rsid w:val="00671EF6"/>
    <w:rsid w:val="00671F53"/>
    <w:rsid w:val="00671FA9"/>
    <w:rsid w:val="00672075"/>
    <w:rsid w:val="00672094"/>
    <w:rsid w:val="00672120"/>
    <w:rsid w:val="0067224B"/>
    <w:rsid w:val="00672831"/>
    <w:rsid w:val="006728B8"/>
    <w:rsid w:val="00672949"/>
    <w:rsid w:val="00672976"/>
    <w:rsid w:val="0067297D"/>
    <w:rsid w:val="00672AD5"/>
    <w:rsid w:val="00672AE1"/>
    <w:rsid w:val="00672B1C"/>
    <w:rsid w:val="00672B5D"/>
    <w:rsid w:val="00672BB9"/>
    <w:rsid w:val="00672F47"/>
    <w:rsid w:val="00672F9C"/>
    <w:rsid w:val="006730A0"/>
    <w:rsid w:val="006730A3"/>
    <w:rsid w:val="00673281"/>
    <w:rsid w:val="00673373"/>
    <w:rsid w:val="00673388"/>
    <w:rsid w:val="006733E2"/>
    <w:rsid w:val="0067351D"/>
    <w:rsid w:val="006736C5"/>
    <w:rsid w:val="006737CC"/>
    <w:rsid w:val="0067396B"/>
    <w:rsid w:val="006739A0"/>
    <w:rsid w:val="00673A2B"/>
    <w:rsid w:val="00673A3B"/>
    <w:rsid w:val="00673ADD"/>
    <w:rsid w:val="00673E43"/>
    <w:rsid w:val="00673F2E"/>
    <w:rsid w:val="00673F38"/>
    <w:rsid w:val="00674157"/>
    <w:rsid w:val="0067419A"/>
    <w:rsid w:val="00674282"/>
    <w:rsid w:val="00674314"/>
    <w:rsid w:val="006744F1"/>
    <w:rsid w:val="00674503"/>
    <w:rsid w:val="006745CC"/>
    <w:rsid w:val="00674612"/>
    <w:rsid w:val="006747B4"/>
    <w:rsid w:val="00674873"/>
    <w:rsid w:val="006749AD"/>
    <w:rsid w:val="00674B0E"/>
    <w:rsid w:val="00674C1B"/>
    <w:rsid w:val="00674C78"/>
    <w:rsid w:val="00675285"/>
    <w:rsid w:val="0067546F"/>
    <w:rsid w:val="006754EC"/>
    <w:rsid w:val="00675517"/>
    <w:rsid w:val="00675667"/>
    <w:rsid w:val="0067569C"/>
    <w:rsid w:val="00675973"/>
    <w:rsid w:val="00675A49"/>
    <w:rsid w:val="00675CBE"/>
    <w:rsid w:val="00675CD4"/>
    <w:rsid w:val="00675D22"/>
    <w:rsid w:val="00675D73"/>
    <w:rsid w:val="00675DF7"/>
    <w:rsid w:val="00675DFE"/>
    <w:rsid w:val="00675F4F"/>
    <w:rsid w:val="0067601B"/>
    <w:rsid w:val="006760C0"/>
    <w:rsid w:val="006760CA"/>
    <w:rsid w:val="00676102"/>
    <w:rsid w:val="0067622C"/>
    <w:rsid w:val="006765EC"/>
    <w:rsid w:val="006768E3"/>
    <w:rsid w:val="00676AEF"/>
    <w:rsid w:val="00676D3D"/>
    <w:rsid w:val="00677064"/>
    <w:rsid w:val="006770A9"/>
    <w:rsid w:val="00677641"/>
    <w:rsid w:val="006776C8"/>
    <w:rsid w:val="006777E8"/>
    <w:rsid w:val="006777F1"/>
    <w:rsid w:val="0067783D"/>
    <w:rsid w:val="00677986"/>
    <w:rsid w:val="00677C93"/>
    <w:rsid w:val="00677D21"/>
    <w:rsid w:val="00680174"/>
    <w:rsid w:val="006801F8"/>
    <w:rsid w:val="0068024C"/>
    <w:rsid w:val="00680321"/>
    <w:rsid w:val="00680371"/>
    <w:rsid w:val="0068046C"/>
    <w:rsid w:val="00680682"/>
    <w:rsid w:val="00680B36"/>
    <w:rsid w:val="006810CB"/>
    <w:rsid w:val="006811B4"/>
    <w:rsid w:val="006811C5"/>
    <w:rsid w:val="006811E0"/>
    <w:rsid w:val="006812A6"/>
    <w:rsid w:val="006812C8"/>
    <w:rsid w:val="00681303"/>
    <w:rsid w:val="00681537"/>
    <w:rsid w:val="00681683"/>
    <w:rsid w:val="00681821"/>
    <w:rsid w:val="006819C3"/>
    <w:rsid w:val="00681ABC"/>
    <w:rsid w:val="00681BB3"/>
    <w:rsid w:val="00681CC2"/>
    <w:rsid w:val="00681D11"/>
    <w:rsid w:val="00681DF6"/>
    <w:rsid w:val="00681DFD"/>
    <w:rsid w:val="00681E30"/>
    <w:rsid w:val="00681F77"/>
    <w:rsid w:val="006821F3"/>
    <w:rsid w:val="0068223C"/>
    <w:rsid w:val="00682249"/>
    <w:rsid w:val="0068239B"/>
    <w:rsid w:val="006825C9"/>
    <w:rsid w:val="00682717"/>
    <w:rsid w:val="00682934"/>
    <w:rsid w:val="00682AF9"/>
    <w:rsid w:val="00682CAC"/>
    <w:rsid w:val="00682D11"/>
    <w:rsid w:val="00682FE9"/>
    <w:rsid w:val="00683001"/>
    <w:rsid w:val="00683044"/>
    <w:rsid w:val="006831B6"/>
    <w:rsid w:val="00683429"/>
    <w:rsid w:val="006838A1"/>
    <w:rsid w:val="0068395C"/>
    <w:rsid w:val="00683C1C"/>
    <w:rsid w:val="00683C89"/>
    <w:rsid w:val="00683C8D"/>
    <w:rsid w:val="00683D20"/>
    <w:rsid w:val="00683D23"/>
    <w:rsid w:val="00683D35"/>
    <w:rsid w:val="00683D72"/>
    <w:rsid w:val="00683E4C"/>
    <w:rsid w:val="00683F6D"/>
    <w:rsid w:val="00683FBC"/>
    <w:rsid w:val="0068423B"/>
    <w:rsid w:val="006842DC"/>
    <w:rsid w:val="006845AF"/>
    <w:rsid w:val="006845E3"/>
    <w:rsid w:val="0068464F"/>
    <w:rsid w:val="00684656"/>
    <w:rsid w:val="006847A5"/>
    <w:rsid w:val="006848BB"/>
    <w:rsid w:val="006848CB"/>
    <w:rsid w:val="0068498C"/>
    <w:rsid w:val="00684E2F"/>
    <w:rsid w:val="006851A9"/>
    <w:rsid w:val="00685884"/>
    <w:rsid w:val="00685CF7"/>
    <w:rsid w:val="00685DBA"/>
    <w:rsid w:val="00685E08"/>
    <w:rsid w:val="00686165"/>
    <w:rsid w:val="006861F4"/>
    <w:rsid w:val="006862C0"/>
    <w:rsid w:val="006862DB"/>
    <w:rsid w:val="00686603"/>
    <w:rsid w:val="00686746"/>
    <w:rsid w:val="00686A68"/>
    <w:rsid w:val="00686AA2"/>
    <w:rsid w:val="00686AD6"/>
    <w:rsid w:val="00686B58"/>
    <w:rsid w:val="00686B86"/>
    <w:rsid w:val="00686C0D"/>
    <w:rsid w:val="00686D69"/>
    <w:rsid w:val="00686FD5"/>
    <w:rsid w:val="00686FF7"/>
    <w:rsid w:val="00687198"/>
    <w:rsid w:val="006871DB"/>
    <w:rsid w:val="00687247"/>
    <w:rsid w:val="00687291"/>
    <w:rsid w:val="006874BB"/>
    <w:rsid w:val="00687668"/>
    <w:rsid w:val="00687A08"/>
    <w:rsid w:val="006901B8"/>
    <w:rsid w:val="006902C2"/>
    <w:rsid w:val="00690344"/>
    <w:rsid w:val="00690558"/>
    <w:rsid w:val="0069059E"/>
    <w:rsid w:val="0069098C"/>
    <w:rsid w:val="00690AC4"/>
    <w:rsid w:val="00690B50"/>
    <w:rsid w:val="00690D6C"/>
    <w:rsid w:val="00690F25"/>
    <w:rsid w:val="00690F9F"/>
    <w:rsid w:val="006910D1"/>
    <w:rsid w:val="0069113C"/>
    <w:rsid w:val="00691297"/>
    <w:rsid w:val="006913B2"/>
    <w:rsid w:val="00691494"/>
    <w:rsid w:val="00691546"/>
    <w:rsid w:val="00691584"/>
    <w:rsid w:val="00691966"/>
    <w:rsid w:val="00691C02"/>
    <w:rsid w:val="00691CB5"/>
    <w:rsid w:val="00691E7C"/>
    <w:rsid w:val="00692114"/>
    <w:rsid w:val="00692381"/>
    <w:rsid w:val="00692395"/>
    <w:rsid w:val="006923DF"/>
    <w:rsid w:val="00692600"/>
    <w:rsid w:val="00692711"/>
    <w:rsid w:val="0069284F"/>
    <w:rsid w:val="0069289C"/>
    <w:rsid w:val="00692B8C"/>
    <w:rsid w:val="00692B9D"/>
    <w:rsid w:val="00692C51"/>
    <w:rsid w:val="00692CD2"/>
    <w:rsid w:val="00692CE2"/>
    <w:rsid w:val="00692EC1"/>
    <w:rsid w:val="00692F82"/>
    <w:rsid w:val="0069320E"/>
    <w:rsid w:val="00693582"/>
    <w:rsid w:val="006935C3"/>
    <w:rsid w:val="006939EC"/>
    <w:rsid w:val="00693A0B"/>
    <w:rsid w:val="00693A26"/>
    <w:rsid w:val="00693BF9"/>
    <w:rsid w:val="00693C5F"/>
    <w:rsid w:val="00693D10"/>
    <w:rsid w:val="00693D1B"/>
    <w:rsid w:val="00693E02"/>
    <w:rsid w:val="00693FFB"/>
    <w:rsid w:val="006940AB"/>
    <w:rsid w:val="006941F7"/>
    <w:rsid w:val="006944CD"/>
    <w:rsid w:val="006944EE"/>
    <w:rsid w:val="0069452D"/>
    <w:rsid w:val="00694749"/>
    <w:rsid w:val="006947DA"/>
    <w:rsid w:val="00694843"/>
    <w:rsid w:val="0069488F"/>
    <w:rsid w:val="006949F9"/>
    <w:rsid w:val="00694C92"/>
    <w:rsid w:val="00694DCF"/>
    <w:rsid w:val="00694F70"/>
    <w:rsid w:val="00695176"/>
    <w:rsid w:val="006951FF"/>
    <w:rsid w:val="006953E7"/>
    <w:rsid w:val="0069573D"/>
    <w:rsid w:val="0069575B"/>
    <w:rsid w:val="00695788"/>
    <w:rsid w:val="00695805"/>
    <w:rsid w:val="0069588B"/>
    <w:rsid w:val="006958D0"/>
    <w:rsid w:val="00695C11"/>
    <w:rsid w:val="00695C6C"/>
    <w:rsid w:val="00695E00"/>
    <w:rsid w:val="00695E5A"/>
    <w:rsid w:val="0069610B"/>
    <w:rsid w:val="006967B5"/>
    <w:rsid w:val="006969D5"/>
    <w:rsid w:val="00696A53"/>
    <w:rsid w:val="00696A67"/>
    <w:rsid w:val="00696D93"/>
    <w:rsid w:val="00696E5B"/>
    <w:rsid w:val="006970F9"/>
    <w:rsid w:val="00697149"/>
    <w:rsid w:val="0069724D"/>
    <w:rsid w:val="00697359"/>
    <w:rsid w:val="00697A0B"/>
    <w:rsid w:val="00697B03"/>
    <w:rsid w:val="00697BAE"/>
    <w:rsid w:val="00697DFA"/>
    <w:rsid w:val="00697E7F"/>
    <w:rsid w:val="006A011B"/>
    <w:rsid w:val="006A0276"/>
    <w:rsid w:val="006A0351"/>
    <w:rsid w:val="006A0428"/>
    <w:rsid w:val="006A076C"/>
    <w:rsid w:val="006A0935"/>
    <w:rsid w:val="006A09D0"/>
    <w:rsid w:val="006A0ABB"/>
    <w:rsid w:val="006A0AFF"/>
    <w:rsid w:val="006A0BD4"/>
    <w:rsid w:val="006A0C57"/>
    <w:rsid w:val="006A13B4"/>
    <w:rsid w:val="006A1475"/>
    <w:rsid w:val="006A18A3"/>
    <w:rsid w:val="006A1A21"/>
    <w:rsid w:val="006A1EDA"/>
    <w:rsid w:val="006A207C"/>
    <w:rsid w:val="006A23A4"/>
    <w:rsid w:val="006A2424"/>
    <w:rsid w:val="006A2768"/>
    <w:rsid w:val="006A2988"/>
    <w:rsid w:val="006A2C9D"/>
    <w:rsid w:val="006A2D0F"/>
    <w:rsid w:val="006A2D60"/>
    <w:rsid w:val="006A2EDE"/>
    <w:rsid w:val="006A2F9E"/>
    <w:rsid w:val="006A2FA3"/>
    <w:rsid w:val="006A3046"/>
    <w:rsid w:val="006A30A5"/>
    <w:rsid w:val="006A31AF"/>
    <w:rsid w:val="006A3634"/>
    <w:rsid w:val="006A3700"/>
    <w:rsid w:val="006A3747"/>
    <w:rsid w:val="006A37F5"/>
    <w:rsid w:val="006A388D"/>
    <w:rsid w:val="006A389B"/>
    <w:rsid w:val="006A38B8"/>
    <w:rsid w:val="006A3925"/>
    <w:rsid w:val="006A3AD2"/>
    <w:rsid w:val="006A3AD3"/>
    <w:rsid w:val="006A3B12"/>
    <w:rsid w:val="006A3FF9"/>
    <w:rsid w:val="006A4013"/>
    <w:rsid w:val="006A4129"/>
    <w:rsid w:val="006A412E"/>
    <w:rsid w:val="006A4402"/>
    <w:rsid w:val="006A457C"/>
    <w:rsid w:val="006A4601"/>
    <w:rsid w:val="006A47A6"/>
    <w:rsid w:val="006A4D9E"/>
    <w:rsid w:val="006A4E9B"/>
    <w:rsid w:val="006A4EA5"/>
    <w:rsid w:val="006A4F2C"/>
    <w:rsid w:val="006A4FC6"/>
    <w:rsid w:val="006A522B"/>
    <w:rsid w:val="006A535E"/>
    <w:rsid w:val="006A5363"/>
    <w:rsid w:val="006A54A5"/>
    <w:rsid w:val="006A5693"/>
    <w:rsid w:val="006A57E5"/>
    <w:rsid w:val="006A5BFD"/>
    <w:rsid w:val="006A5CE6"/>
    <w:rsid w:val="006A5DF2"/>
    <w:rsid w:val="006A5FDF"/>
    <w:rsid w:val="006A62AB"/>
    <w:rsid w:val="006A62D8"/>
    <w:rsid w:val="006A635C"/>
    <w:rsid w:val="006A63B7"/>
    <w:rsid w:val="006A678F"/>
    <w:rsid w:val="006A67AE"/>
    <w:rsid w:val="006A67CE"/>
    <w:rsid w:val="006A6C16"/>
    <w:rsid w:val="006A6DEA"/>
    <w:rsid w:val="006A72AB"/>
    <w:rsid w:val="006A74F5"/>
    <w:rsid w:val="006A7660"/>
    <w:rsid w:val="006A7909"/>
    <w:rsid w:val="006A7D09"/>
    <w:rsid w:val="006A7F37"/>
    <w:rsid w:val="006B0178"/>
    <w:rsid w:val="006B03F6"/>
    <w:rsid w:val="006B06B4"/>
    <w:rsid w:val="006B07B2"/>
    <w:rsid w:val="006B07DA"/>
    <w:rsid w:val="006B0833"/>
    <w:rsid w:val="006B09B1"/>
    <w:rsid w:val="006B0AA2"/>
    <w:rsid w:val="006B0BE3"/>
    <w:rsid w:val="006B0E41"/>
    <w:rsid w:val="006B105F"/>
    <w:rsid w:val="006B106D"/>
    <w:rsid w:val="006B10EC"/>
    <w:rsid w:val="006B13D8"/>
    <w:rsid w:val="006B1426"/>
    <w:rsid w:val="006B1434"/>
    <w:rsid w:val="006B1582"/>
    <w:rsid w:val="006B186C"/>
    <w:rsid w:val="006B1994"/>
    <w:rsid w:val="006B2121"/>
    <w:rsid w:val="006B2248"/>
    <w:rsid w:val="006B24B1"/>
    <w:rsid w:val="006B2527"/>
    <w:rsid w:val="006B25AC"/>
    <w:rsid w:val="006B262F"/>
    <w:rsid w:val="006B26C1"/>
    <w:rsid w:val="006B26F2"/>
    <w:rsid w:val="006B2742"/>
    <w:rsid w:val="006B294A"/>
    <w:rsid w:val="006B2D63"/>
    <w:rsid w:val="006B2EA9"/>
    <w:rsid w:val="006B2EBF"/>
    <w:rsid w:val="006B2F0F"/>
    <w:rsid w:val="006B2F7E"/>
    <w:rsid w:val="006B2FFE"/>
    <w:rsid w:val="006B307C"/>
    <w:rsid w:val="006B31A2"/>
    <w:rsid w:val="006B31AF"/>
    <w:rsid w:val="006B331D"/>
    <w:rsid w:val="006B35D3"/>
    <w:rsid w:val="006B38FF"/>
    <w:rsid w:val="006B3A29"/>
    <w:rsid w:val="006B3D84"/>
    <w:rsid w:val="006B3EF2"/>
    <w:rsid w:val="006B3F15"/>
    <w:rsid w:val="006B3F24"/>
    <w:rsid w:val="006B3F30"/>
    <w:rsid w:val="006B3FBA"/>
    <w:rsid w:val="006B3FF6"/>
    <w:rsid w:val="006B403D"/>
    <w:rsid w:val="006B40B5"/>
    <w:rsid w:val="006B415A"/>
    <w:rsid w:val="006B41FF"/>
    <w:rsid w:val="006B4302"/>
    <w:rsid w:val="006B44BE"/>
    <w:rsid w:val="006B452B"/>
    <w:rsid w:val="006B46D4"/>
    <w:rsid w:val="006B479A"/>
    <w:rsid w:val="006B4841"/>
    <w:rsid w:val="006B49FC"/>
    <w:rsid w:val="006B4BBB"/>
    <w:rsid w:val="006B4BD9"/>
    <w:rsid w:val="006B4C57"/>
    <w:rsid w:val="006B4D68"/>
    <w:rsid w:val="006B51D2"/>
    <w:rsid w:val="006B5365"/>
    <w:rsid w:val="006B5474"/>
    <w:rsid w:val="006B591C"/>
    <w:rsid w:val="006B6075"/>
    <w:rsid w:val="006B63AD"/>
    <w:rsid w:val="006B63BA"/>
    <w:rsid w:val="006B64BF"/>
    <w:rsid w:val="006B6579"/>
    <w:rsid w:val="006B65E9"/>
    <w:rsid w:val="006B679C"/>
    <w:rsid w:val="006B6971"/>
    <w:rsid w:val="006B69AE"/>
    <w:rsid w:val="006B6F56"/>
    <w:rsid w:val="006B7108"/>
    <w:rsid w:val="006B7152"/>
    <w:rsid w:val="006B728A"/>
    <w:rsid w:val="006B74C7"/>
    <w:rsid w:val="006B767E"/>
    <w:rsid w:val="006B77EC"/>
    <w:rsid w:val="006B7AE3"/>
    <w:rsid w:val="006B7B72"/>
    <w:rsid w:val="006B7BF2"/>
    <w:rsid w:val="006B7C72"/>
    <w:rsid w:val="006B7EA7"/>
    <w:rsid w:val="006C02DA"/>
    <w:rsid w:val="006C044E"/>
    <w:rsid w:val="006C05B5"/>
    <w:rsid w:val="006C0A7F"/>
    <w:rsid w:val="006C0AB5"/>
    <w:rsid w:val="006C0ADE"/>
    <w:rsid w:val="006C0B9A"/>
    <w:rsid w:val="006C0CAD"/>
    <w:rsid w:val="006C0CCB"/>
    <w:rsid w:val="006C0EE8"/>
    <w:rsid w:val="006C1037"/>
    <w:rsid w:val="006C11BE"/>
    <w:rsid w:val="006C1290"/>
    <w:rsid w:val="006C12CC"/>
    <w:rsid w:val="006C13FF"/>
    <w:rsid w:val="006C16BA"/>
    <w:rsid w:val="006C1892"/>
    <w:rsid w:val="006C18C7"/>
    <w:rsid w:val="006C1901"/>
    <w:rsid w:val="006C1A97"/>
    <w:rsid w:val="006C1AFB"/>
    <w:rsid w:val="006C1CBF"/>
    <w:rsid w:val="006C1D29"/>
    <w:rsid w:val="006C1DF3"/>
    <w:rsid w:val="006C1E1C"/>
    <w:rsid w:val="006C1E2F"/>
    <w:rsid w:val="006C2274"/>
    <w:rsid w:val="006C2487"/>
    <w:rsid w:val="006C2488"/>
    <w:rsid w:val="006C2496"/>
    <w:rsid w:val="006C2507"/>
    <w:rsid w:val="006C2629"/>
    <w:rsid w:val="006C2649"/>
    <w:rsid w:val="006C26D2"/>
    <w:rsid w:val="006C2C6D"/>
    <w:rsid w:val="006C2DA8"/>
    <w:rsid w:val="006C315F"/>
    <w:rsid w:val="006C32D1"/>
    <w:rsid w:val="006C3326"/>
    <w:rsid w:val="006C3486"/>
    <w:rsid w:val="006C34DE"/>
    <w:rsid w:val="006C3615"/>
    <w:rsid w:val="006C3AA1"/>
    <w:rsid w:val="006C3ADF"/>
    <w:rsid w:val="006C3B04"/>
    <w:rsid w:val="006C3B4A"/>
    <w:rsid w:val="006C3E1D"/>
    <w:rsid w:val="006C401C"/>
    <w:rsid w:val="006C41F6"/>
    <w:rsid w:val="006C4256"/>
    <w:rsid w:val="006C4303"/>
    <w:rsid w:val="006C43C5"/>
    <w:rsid w:val="006C44A3"/>
    <w:rsid w:val="006C453B"/>
    <w:rsid w:val="006C454D"/>
    <w:rsid w:val="006C455E"/>
    <w:rsid w:val="006C4572"/>
    <w:rsid w:val="006C457E"/>
    <w:rsid w:val="006C4A45"/>
    <w:rsid w:val="006C4AC3"/>
    <w:rsid w:val="006C4C96"/>
    <w:rsid w:val="006C4F1E"/>
    <w:rsid w:val="006C5317"/>
    <w:rsid w:val="006C537D"/>
    <w:rsid w:val="006C56BA"/>
    <w:rsid w:val="006C5769"/>
    <w:rsid w:val="006C5794"/>
    <w:rsid w:val="006C5B73"/>
    <w:rsid w:val="006C5C64"/>
    <w:rsid w:val="006C5C90"/>
    <w:rsid w:val="006C5F9E"/>
    <w:rsid w:val="006C5FFD"/>
    <w:rsid w:val="006C6063"/>
    <w:rsid w:val="006C6428"/>
    <w:rsid w:val="006C645D"/>
    <w:rsid w:val="006C656D"/>
    <w:rsid w:val="006C66C8"/>
    <w:rsid w:val="006C6A8F"/>
    <w:rsid w:val="006C6AD9"/>
    <w:rsid w:val="006C6ADC"/>
    <w:rsid w:val="006C6CBC"/>
    <w:rsid w:val="006C6D38"/>
    <w:rsid w:val="006C6E9C"/>
    <w:rsid w:val="006C6EAC"/>
    <w:rsid w:val="006C6F91"/>
    <w:rsid w:val="006C70BF"/>
    <w:rsid w:val="006C72A9"/>
    <w:rsid w:val="006C7348"/>
    <w:rsid w:val="006C758D"/>
    <w:rsid w:val="006C77F2"/>
    <w:rsid w:val="006D019A"/>
    <w:rsid w:val="006D023B"/>
    <w:rsid w:val="006D04A9"/>
    <w:rsid w:val="006D085D"/>
    <w:rsid w:val="006D0951"/>
    <w:rsid w:val="006D0DA6"/>
    <w:rsid w:val="006D0EA4"/>
    <w:rsid w:val="006D1080"/>
    <w:rsid w:val="006D1104"/>
    <w:rsid w:val="006D1395"/>
    <w:rsid w:val="006D14FB"/>
    <w:rsid w:val="006D15AA"/>
    <w:rsid w:val="006D1890"/>
    <w:rsid w:val="006D1997"/>
    <w:rsid w:val="006D19C4"/>
    <w:rsid w:val="006D1A9B"/>
    <w:rsid w:val="006D1B04"/>
    <w:rsid w:val="006D1D30"/>
    <w:rsid w:val="006D1E47"/>
    <w:rsid w:val="006D1FCB"/>
    <w:rsid w:val="006D21F6"/>
    <w:rsid w:val="006D220D"/>
    <w:rsid w:val="006D2289"/>
    <w:rsid w:val="006D2340"/>
    <w:rsid w:val="006D241E"/>
    <w:rsid w:val="006D24EC"/>
    <w:rsid w:val="006D2547"/>
    <w:rsid w:val="006D286B"/>
    <w:rsid w:val="006D2884"/>
    <w:rsid w:val="006D2934"/>
    <w:rsid w:val="006D2960"/>
    <w:rsid w:val="006D2B8B"/>
    <w:rsid w:val="006D2C7B"/>
    <w:rsid w:val="006D2C8B"/>
    <w:rsid w:val="006D2D87"/>
    <w:rsid w:val="006D3143"/>
    <w:rsid w:val="006D31A1"/>
    <w:rsid w:val="006D31D1"/>
    <w:rsid w:val="006D336E"/>
    <w:rsid w:val="006D3633"/>
    <w:rsid w:val="006D371C"/>
    <w:rsid w:val="006D3C0D"/>
    <w:rsid w:val="006D3E2A"/>
    <w:rsid w:val="006D3E52"/>
    <w:rsid w:val="006D400D"/>
    <w:rsid w:val="006D41CA"/>
    <w:rsid w:val="006D439D"/>
    <w:rsid w:val="006D4449"/>
    <w:rsid w:val="006D4527"/>
    <w:rsid w:val="006D4533"/>
    <w:rsid w:val="006D45CE"/>
    <w:rsid w:val="006D4918"/>
    <w:rsid w:val="006D4937"/>
    <w:rsid w:val="006D4A7B"/>
    <w:rsid w:val="006D4BD3"/>
    <w:rsid w:val="006D4CE9"/>
    <w:rsid w:val="006D4DA7"/>
    <w:rsid w:val="006D4F97"/>
    <w:rsid w:val="006D5045"/>
    <w:rsid w:val="006D52E1"/>
    <w:rsid w:val="006D5479"/>
    <w:rsid w:val="006D54E4"/>
    <w:rsid w:val="006D556E"/>
    <w:rsid w:val="006D5AD0"/>
    <w:rsid w:val="006D5BD9"/>
    <w:rsid w:val="006D5EF5"/>
    <w:rsid w:val="006D614B"/>
    <w:rsid w:val="006D623B"/>
    <w:rsid w:val="006D6250"/>
    <w:rsid w:val="006D63A7"/>
    <w:rsid w:val="006D63F5"/>
    <w:rsid w:val="006D641F"/>
    <w:rsid w:val="006D660B"/>
    <w:rsid w:val="006D66B3"/>
    <w:rsid w:val="006D6C7C"/>
    <w:rsid w:val="006D6C98"/>
    <w:rsid w:val="006D6CD4"/>
    <w:rsid w:val="006D6D80"/>
    <w:rsid w:val="006D7102"/>
    <w:rsid w:val="006D714B"/>
    <w:rsid w:val="006D71BF"/>
    <w:rsid w:val="006D7344"/>
    <w:rsid w:val="006D73E1"/>
    <w:rsid w:val="006D7555"/>
    <w:rsid w:val="006D781D"/>
    <w:rsid w:val="006D7867"/>
    <w:rsid w:val="006D7A6B"/>
    <w:rsid w:val="006D7BB5"/>
    <w:rsid w:val="006D7DD1"/>
    <w:rsid w:val="006D7E1D"/>
    <w:rsid w:val="006D7E5E"/>
    <w:rsid w:val="006D7FDD"/>
    <w:rsid w:val="006E036F"/>
    <w:rsid w:val="006E044F"/>
    <w:rsid w:val="006E0457"/>
    <w:rsid w:val="006E0494"/>
    <w:rsid w:val="006E092E"/>
    <w:rsid w:val="006E098F"/>
    <w:rsid w:val="006E0AD0"/>
    <w:rsid w:val="006E0C4D"/>
    <w:rsid w:val="006E0C5B"/>
    <w:rsid w:val="006E0D9B"/>
    <w:rsid w:val="006E0DB1"/>
    <w:rsid w:val="006E0E8C"/>
    <w:rsid w:val="006E0F5A"/>
    <w:rsid w:val="006E105E"/>
    <w:rsid w:val="006E10B3"/>
    <w:rsid w:val="006E11D1"/>
    <w:rsid w:val="006E12B4"/>
    <w:rsid w:val="006E14D4"/>
    <w:rsid w:val="006E171C"/>
    <w:rsid w:val="006E17A5"/>
    <w:rsid w:val="006E18A2"/>
    <w:rsid w:val="006E195C"/>
    <w:rsid w:val="006E19BC"/>
    <w:rsid w:val="006E1A81"/>
    <w:rsid w:val="006E1C19"/>
    <w:rsid w:val="006E1DBA"/>
    <w:rsid w:val="006E1DDF"/>
    <w:rsid w:val="006E1E0A"/>
    <w:rsid w:val="006E2120"/>
    <w:rsid w:val="006E24EC"/>
    <w:rsid w:val="006E2601"/>
    <w:rsid w:val="006E296C"/>
    <w:rsid w:val="006E29AB"/>
    <w:rsid w:val="006E2C11"/>
    <w:rsid w:val="006E2C37"/>
    <w:rsid w:val="006E2D2A"/>
    <w:rsid w:val="006E302F"/>
    <w:rsid w:val="006E30D3"/>
    <w:rsid w:val="006E322C"/>
    <w:rsid w:val="006E3404"/>
    <w:rsid w:val="006E37E4"/>
    <w:rsid w:val="006E39B7"/>
    <w:rsid w:val="006E39E9"/>
    <w:rsid w:val="006E3C64"/>
    <w:rsid w:val="006E3C65"/>
    <w:rsid w:val="006E3CC3"/>
    <w:rsid w:val="006E3DEA"/>
    <w:rsid w:val="006E4122"/>
    <w:rsid w:val="006E42B8"/>
    <w:rsid w:val="006E4351"/>
    <w:rsid w:val="006E4824"/>
    <w:rsid w:val="006E4A9E"/>
    <w:rsid w:val="006E4BBE"/>
    <w:rsid w:val="006E4D66"/>
    <w:rsid w:val="006E4E26"/>
    <w:rsid w:val="006E4ED6"/>
    <w:rsid w:val="006E4F03"/>
    <w:rsid w:val="006E4FFD"/>
    <w:rsid w:val="006E540E"/>
    <w:rsid w:val="006E5513"/>
    <w:rsid w:val="006E555F"/>
    <w:rsid w:val="006E5765"/>
    <w:rsid w:val="006E5990"/>
    <w:rsid w:val="006E5A1B"/>
    <w:rsid w:val="006E5B4D"/>
    <w:rsid w:val="006E5BB1"/>
    <w:rsid w:val="006E5D8D"/>
    <w:rsid w:val="006E5F39"/>
    <w:rsid w:val="006E5FBE"/>
    <w:rsid w:val="006E6154"/>
    <w:rsid w:val="006E6584"/>
    <w:rsid w:val="006E6808"/>
    <w:rsid w:val="006E69BA"/>
    <w:rsid w:val="006E69E9"/>
    <w:rsid w:val="006E6A08"/>
    <w:rsid w:val="006E6C84"/>
    <w:rsid w:val="006E6DA9"/>
    <w:rsid w:val="006E6E2D"/>
    <w:rsid w:val="006E6FAD"/>
    <w:rsid w:val="006E72A0"/>
    <w:rsid w:val="006E75D0"/>
    <w:rsid w:val="006E7794"/>
    <w:rsid w:val="006E7802"/>
    <w:rsid w:val="006E789C"/>
    <w:rsid w:val="006E7A1E"/>
    <w:rsid w:val="006E7B7C"/>
    <w:rsid w:val="006E7F0F"/>
    <w:rsid w:val="006E7FC1"/>
    <w:rsid w:val="006F034D"/>
    <w:rsid w:val="006F0624"/>
    <w:rsid w:val="006F06C1"/>
    <w:rsid w:val="006F06E7"/>
    <w:rsid w:val="006F071F"/>
    <w:rsid w:val="006F097B"/>
    <w:rsid w:val="006F0A53"/>
    <w:rsid w:val="006F0A81"/>
    <w:rsid w:val="006F0AA4"/>
    <w:rsid w:val="006F0AF7"/>
    <w:rsid w:val="006F0AF8"/>
    <w:rsid w:val="006F0B18"/>
    <w:rsid w:val="006F0B78"/>
    <w:rsid w:val="006F0D7F"/>
    <w:rsid w:val="006F0DD2"/>
    <w:rsid w:val="006F0E02"/>
    <w:rsid w:val="006F1338"/>
    <w:rsid w:val="006F1393"/>
    <w:rsid w:val="006F13AD"/>
    <w:rsid w:val="006F1551"/>
    <w:rsid w:val="006F1633"/>
    <w:rsid w:val="006F16AD"/>
    <w:rsid w:val="006F18B4"/>
    <w:rsid w:val="006F1A8F"/>
    <w:rsid w:val="006F1BF8"/>
    <w:rsid w:val="006F1D39"/>
    <w:rsid w:val="006F1EF2"/>
    <w:rsid w:val="006F2183"/>
    <w:rsid w:val="006F22BE"/>
    <w:rsid w:val="006F23C4"/>
    <w:rsid w:val="006F2472"/>
    <w:rsid w:val="006F267F"/>
    <w:rsid w:val="006F268D"/>
    <w:rsid w:val="006F2797"/>
    <w:rsid w:val="006F2ADB"/>
    <w:rsid w:val="006F2BC2"/>
    <w:rsid w:val="006F31EC"/>
    <w:rsid w:val="006F3654"/>
    <w:rsid w:val="006F381D"/>
    <w:rsid w:val="006F3B1A"/>
    <w:rsid w:val="006F3B8B"/>
    <w:rsid w:val="006F3C04"/>
    <w:rsid w:val="006F3E01"/>
    <w:rsid w:val="006F3E18"/>
    <w:rsid w:val="006F42A4"/>
    <w:rsid w:val="006F4337"/>
    <w:rsid w:val="006F4624"/>
    <w:rsid w:val="006F4FB7"/>
    <w:rsid w:val="006F5034"/>
    <w:rsid w:val="006F514C"/>
    <w:rsid w:val="006F5211"/>
    <w:rsid w:val="006F525E"/>
    <w:rsid w:val="006F5369"/>
    <w:rsid w:val="006F553E"/>
    <w:rsid w:val="006F55F9"/>
    <w:rsid w:val="006F582D"/>
    <w:rsid w:val="006F593C"/>
    <w:rsid w:val="006F5B82"/>
    <w:rsid w:val="006F5C6F"/>
    <w:rsid w:val="006F601C"/>
    <w:rsid w:val="006F6384"/>
    <w:rsid w:val="006F651A"/>
    <w:rsid w:val="006F6830"/>
    <w:rsid w:val="006F6EBB"/>
    <w:rsid w:val="006F6EC4"/>
    <w:rsid w:val="006F700E"/>
    <w:rsid w:val="006F74D5"/>
    <w:rsid w:val="006F74E7"/>
    <w:rsid w:val="006F7534"/>
    <w:rsid w:val="006F754F"/>
    <w:rsid w:val="006F7574"/>
    <w:rsid w:val="006F79CA"/>
    <w:rsid w:val="006F79E1"/>
    <w:rsid w:val="006F7EA1"/>
    <w:rsid w:val="00700158"/>
    <w:rsid w:val="007001FD"/>
    <w:rsid w:val="007002D3"/>
    <w:rsid w:val="0070045F"/>
    <w:rsid w:val="00700481"/>
    <w:rsid w:val="00700874"/>
    <w:rsid w:val="00700999"/>
    <w:rsid w:val="007009C2"/>
    <w:rsid w:val="00700AB0"/>
    <w:rsid w:val="00700C4E"/>
    <w:rsid w:val="00700D02"/>
    <w:rsid w:val="00700FA2"/>
    <w:rsid w:val="007010E0"/>
    <w:rsid w:val="00701255"/>
    <w:rsid w:val="0070198C"/>
    <w:rsid w:val="00701B95"/>
    <w:rsid w:val="00701BC7"/>
    <w:rsid w:val="00701C28"/>
    <w:rsid w:val="00701C9D"/>
    <w:rsid w:val="00701CC8"/>
    <w:rsid w:val="00701D39"/>
    <w:rsid w:val="007021A6"/>
    <w:rsid w:val="0070235C"/>
    <w:rsid w:val="007023D8"/>
    <w:rsid w:val="007025C7"/>
    <w:rsid w:val="007026F3"/>
    <w:rsid w:val="00702992"/>
    <w:rsid w:val="007029AD"/>
    <w:rsid w:val="00702D4B"/>
    <w:rsid w:val="00702F74"/>
    <w:rsid w:val="0070312D"/>
    <w:rsid w:val="00703179"/>
    <w:rsid w:val="007031EE"/>
    <w:rsid w:val="00703239"/>
    <w:rsid w:val="007033CB"/>
    <w:rsid w:val="007033DE"/>
    <w:rsid w:val="00703450"/>
    <w:rsid w:val="0070353A"/>
    <w:rsid w:val="00703589"/>
    <w:rsid w:val="007035A2"/>
    <w:rsid w:val="0070385F"/>
    <w:rsid w:val="00703AA6"/>
    <w:rsid w:val="00703AD0"/>
    <w:rsid w:val="00703BDE"/>
    <w:rsid w:val="00703D32"/>
    <w:rsid w:val="00703DC3"/>
    <w:rsid w:val="00703ED7"/>
    <w:rsid w:val="00703F92"/>
    <w:rsid w:val="00703FE6"/>
    <w:rsid w:val="0070401D"/>
    <w:rsid w:val="00704186"/>
    <w:rsid w:val="00704229"/>
    <w:rsid w:val="0070422D"/>
    <w:rsid w:val="00704243"/>
    <w:rsid w:val="007042E4"/>
    <w:rsid w:val="0070460F"/>
    <w:rsid w:val="007046E2"/>
    <w:rsid w:val="00704A58"/>
    <w:rsid w:val="00704A84"/>
    <w:rsid w:val="00704CDB"/>
    <w:rsid w:val="00704CEE"/>
    <w:rsid w:val="00704DBC"/>
    <w:rsid w:val="00704E32"/>
    <w:rsid w:val="00704E52"/>
    <w:rsid w:val="00704EC0"/>
    <w:rsid w:val="00705087"/>
    <w:rsid w:val="00705345"/>
    <w:rsid w:val="007054BD"/>
    <w:rsid w:val="00705500"/>
    <w:rsid w:val="00705563"/>
    <w:rsid w:val="00705716"/>
    <w:rsid w:val="00705BE2"/>
    <w:rsid w:val="00705C21"/>
    <w:rsid w:val="00705C97"/>
    <w:rsid w:val="00705E86"/>
    <w:rsid w:val="00705FCF"/>
    <w:rsid w:val="00706011"/>
    <w:rsid w:val="007061BF"/>
    <w:rsid w:val="00706200"/>
    <w:rsid w:val="00706459"/>
    <w:rsid w:val="007064BF"/>
    <w:rsid w:val="00706509"/>
    <w:rsid w:val="00706574"/>
    <w:rsid w:val="007066EF"/>
    <w:rsid w:val="00706BB0"/>
    <w:rsid w:val="00706C27"/>
    <w:rsid w:val="00706CCE"/>
    <w:rsid w:val="00706D57"/>
    <w:rsid w:val="00706DBC"/>
    <w:rsid w:val="00706E8E"/>
    <w:rsid w:val="00706EF3"/>
    <w:rsid w:val="007071AC"/>
    <w:rsid w:val="0070737C"/>
    <w:rsid w:val="0070758B"/>
    <w:rsid w:val="007075F2"/>
    <w:rsid w:val="0070764D"/>
    <w:rsid w:val="00707686"/>
    <w:rsid w:val="00707998"/>
    <w:rsid w:val="00707A93"/>
    <w:rsid w:val="00707B8E"/>
    <w:rsid w:val="00707C02"/>
    <w:rsid w:val="00710149"/>
    <w:rsid w:val="0071014D"/>
    <w:rsid w:val="007101D4"/>
    <w:rsid w:val="00710294"/>
    <w:rsid w:val="007102A4"/>
    <w:rsid w:val="007103F4"/>
    <w:rsid w:val="00710468"/>
    <w:rsid w:val="00710B68"/>
    <w:rsid w:val="00710BC1"/>
    <w:rsid w:val="00710D4C"/>
    <w:rsid w:val="00710DBA"/>
    <w:rsid w:val="00710EDB"/>
    <w:rsid w:val="0071104F"/>
    <w:rsid w:val="0071120A"/>
    <w:rsid w:val="00711286"/>
    <w:rsid w:val="00711562"/>
    <w:rsid w:val="00711656"/>
    <w:rsid w:val="00711D83"/>
    <w:rsid w:val="00711DF4"/>
    <w:rsid w:val="00711E6F"/>
    <w:rsid w:val="00711EF4"/>
    <w:rsid w:val="0071202C"/>
    <w:rsid w:val="00712051"/>
    <w:rsid w:val="007120C2"/>
    <w:rsid w:val="0071212B"/>
    <w:rsid w:val="0071274C"/>
    <w:rsid w:val="007129B0"/>
    <w:rsid w:val="00712A17"/>
    <w:rsid w:val="00712C78"/>
    <w:rsid w:val="00712F69"/>
    <w:rsid w:val="00713029"/>
    <w:rsid w:val="00713088"/>
    <w:rsid w:val="007131D6"/>
    <w:rsid w:val="007132F6"/>
    <w:rsid w:val="00713515"/>
    <w:rsid w:val="0071360D"/>
    <w:rsid w:val="0071360F"/>
    <w:rsid w:val="00713679"/>
    <w:rsid w:val="00713718"/>
    <w:rsid w:val="00713AA0"/>
    <w:rsid w:val="00713BF0"/>
    <w:rsid w:val="00713C80"/>
    <w:rsid w:val="00713D97"/>
    <w:rsid w:val="00713F12"/>
    <w:rsid w:val="00713F5E"/>
    <w:rsid w:val="00713F6C"/>
    <w:rsid w:val="00714086"/>
    <w:rsid w:val="00714207"/>
    <w:rsid w:val="00714D0D"/>
    <w:rsid w:val="00714E38"/>
    <w:rsid w:val="00714E69"/>
    <w:rsid w:val="00714F65"/>
    <w:rsid w:val="00714FC3"/>
    <w:rsid w:val="007150CC"/>
    <w:rsid w:val="00715393"/>
    <w:rsid w:val="007153C7"/>
    <w:rsid w:val="0071541D"/>
    <w:rsid w:val="007154C4"/>
    <w:rsid w:val="0071569C"/>
    <w:rsid w:val="00715867"/>
    <w:rsid w:val="00715B42"/>
    <w:rsid w:val="00715DFC"/>
    <w:rsid w:val="00715E9A"/>
    <w:rsid w:val="0071604B"/>
    <w:rsid w:val="00716A06"/>
    <w:rsid w:val="00716B2A"/>
    <w:rsid w:val="00716B52"/>
    <w:rsid w:val="00716DDF"/>
    <w:rsid w:val="00716E1A"/>
    <w:rsid w:val="00716E2D"/>
    <w:rsid w:val="00717028"/>
    <w:rsid w:val="007171B2"/>
    <w:rsid w:val="00717261"/>
    <w:rsid w:val="0071730E"/>
    <w:rsid w:val="007173F6"/>
    <w:rsid w:val="00717464"/>
    <w:rsid w:val="007174DB"/>
    <w:rsid w:val="0071752E"/>
    <w:rsid w:val="007175B1"/>
    <w:rsid w:val="007175F9"/>
    <w:rsid w:val="00717672"/>
    <w:rsid w:val="0071776D"/>
    <w:rsid w:val="0071793C"/>
    <w:rsid w:val="007179B9"/>
    <w:rsid w:val="00717B7B"/>
    <w:rsid w:val="00717EA1"/>
    <w:rsid w:val="00717F65"/>
    <w:rsid w:val="00720053"/>
    <w:rsid w:val="00720085"/>
    <w:rsid w:val="007200E2"/>
    <w:rsid w:val="0072012F"/>
    <w:rsid w:val="0072016D"/>
    <w:rsid w:val="00720195"/>
    <w:rsid w:val="00720288"/>
    <w:rsid w:val="0072074E"/>
    <w:rsid w:val="0072097B"/>
    <w:rsid w:val="00720CD8"/>
    <w:rsid w:val="00720DB3"/>
    <w:rsid w:val="00720EE6"/>
    <w:rsid w:val="00720F7D"/>
    <w:rsid w:val="00721016"/>
    <w:rsid w:val="007210F6"/>
    <w:rsid w:val="0072129B"/>
    <w:rsid w:val="007214F9"/>
    <w:rsid w:val="00721570"/>
    <w:rsid w:val="007217E6"/>
    <w:rsid w:val="00721848"/>
    <w:rsid w:val="007218B3"/>
    <w:rsid w:val="007218BB"/>
    <w:rsid w:val="00721A1E"/>
    <w:rsid w:val="00721A58"/>
    <w:rsid w:val="00721B4D"/>
    <w:rsid w:val="00721C5F"/>
    <w:rsid w:val="00721CD6"/>
    <w:rsid w:val="00721D8D"/>
    <w:rsid w:val="00721DC6"/>
    <w:rsid w:val="00721F9A"/>
    <w:rsid w:val="007222C1"/>
    <w:rsid w:val="007222DB"/>
    <w:rsid w:val="00722419"/>
    <w:rsid w:val="00722584"/>
    <w:rsid w:val="007225A2"/>
    <w:rsid w:val="007225E1"/>
    <w:rsid w:val="007226D4"/>
    <w:rsid w:val="00722704"/>
    <w:rsid w:val="00722710"/>
    <w:rsid w:val="00722786"/>
    <w:rsid w:val="007227B1"/>
    <w:rsid w:val="00722883"/>
    <w:rsid w:val="00722A29"/>
    <w:rsid w:val="00722B53"/>
    <w:rsid w:val="00722E4B"/>
    <w:rsid w:val="00722E82"/>
    <w:rsid w:val="00722F74"/>
    <w:rsid w:val="0072301D"/>
    <w:rsid w:val="007230BA"/>
    <w:rsid w:val="007230C5"/>
    <w:rsid w:val="007231A4"/>
    <w:rsid w:val="007231AA"/>
    <w:rsid w:val="007236BE"/>
    <w:rsid w:val="00723975"/>
    <w:rsid w:val="00723D22"/>
    <w:rsid w:val="00723E03"/>
    <w:rsid w:val="00723F00"/>
    <w:rsid w:val="00723F2E"/>
    <w:rsid w:val="007242E5"/>
    <w:rsid w:val="007246A3"/>
    <w:rsid w:val="007247B7"/>
    <w:rsid w:val="0072498C"/>
    <w:rsid w:val="00724A9E"/>
    <w:rsid w:val="00724E31"/>
    <w:rsid w:val="00724ED4"/>
    <w:rsid w:val="00724F19"/>
    <w:rsid w:val="00725078"/>
    <w:rsid w:val="007250BA"/>
    <w:rsid w:val="00725370"/>
    <w:rsid w:val="007256B5"/>
    <w:rsid w:val="00725808"/>
    <w:rsid w:val="0072589D"/>
    <w:rsid w:val="00725A2D"/>
    <w:rsid w:val="00725B0D"/>
    <w:rsid w:val="00725DDF"/>
    <w:rsid w:val="00725E15"/>
    <w:rsid w:val="007260D8"/>
    <w:rsid w:val="00726124"/>
    <w:rsid w:val="00726377"/>
    <w:rsid w:val="007264C9"/>
    <w:rsid w:val="00726738"/>
    <w:rsid w:val="00726BF0"/>
    <w:rsid w:val="00726E71"/>
    <w:rsid w:val="00726EDF"/>
    <w:rsid w:val="00727164"/>
    <w:rsid w:val="007271B7"/>
    <w:rsid w:val="007274AE"/>
    <w:rsid w:val="007274FF"/>
    <w:rsid w:val="00727766"/>
    <w:rsid w:val="00727785"/>
    <w:rsid w:val="00727823"/>
    <w:rsid w:val="00727B97"/>
    <w:rsid w:val="00727B98"/>
    <w:rsid w:val="00727E1B"/>
    <w:rsid w:val="00727EA6"/>
    <w:rsid w:val="00727F90"/>
    <w:rsid w:val="00727FF2"/>
    <w:rsid w:val="007301CF"/>
    <w:rsid w:val="0073037A"/>
    <w:rsid w:val="00730518"/>
    <w:rsid w:val="0073054C"/>
    <w:rsid w:val="007305FA"/>
    <w:rsid w:val="00730792"/>
    <w:rsid w:val="00730862"/>
    <w:rsid w:val="00730C9F"/>
    <w:rsid w:val="00730E14"/>
    <w:rsid w:val="00730E41"/>
    <w:rsid w:val="00730E64"/>
    <w:rsid w:val="00730EF0"/>
    <w:rsid w:val="00730EF8"/>
    <w:rsid w:val="00731053"/>
    <w:rsid w:val="007311F5"/>
    <w:rsid w:val="007314F8"/>
    <w:rsid w:val="00731566"/>
    <w:rsid w:val="007315D0"/>
    <w:rsid w:val="007316D8"/>
    <w:rsid w:val="007317A7"/>
    <w:rsid w:val="007317EF"/>
    <w:rsid w:val="007318BA"/>
    <w:rsid w:val="00731A32"/>
    <w:rsid w:val="00731AE5"/>
    <w:rsid w:val="00731B07"/>
    <w:rsid w:val="00731B15"/>
    <w:rsid w:val="00731B80"/>
    <w:rsid w:val="00731D00"/>
    <w:rsid w:val="00731E89"/>
    <w:rsid w:val="007320E8"/>
    <w:rsid w:val="0073227C"/>
    <w:rsid w:val="00732507"/>
    <w:rsid w:val="007325EB"/>
    <w:rsid w:val="00732642"/>
    <w:rsid w:val="007326AB"/>
    <w:rsid w:val="0073271D"/>
    <w:rsid w:val="00732780"/>
    <w:rsid w:val="00732B23"/>
    <w:rsid w:val="00732B92"/>
    <w:rsid w:val="00732C38"/>
    <w:rsid w:val="00732C64"/>
    <w:rsid w:val="00732DD9"/>
    <w:rsid w:val="00733020"/>
    <w:rsid w:val="007330C3"/>
    <w:rsid w:val="007334C4"/>
    <w:rsid w:val="0073352B"/>
    <w:rsid w:val="00733954"/>
    <w:rsid w:val="00733D22"/>
    <w:rsid w:val="00733D5C"/>
    <w:rsid w:val="00733D91"/>
    <w:rsid w:val="00733E0C"/>
    <w:rsid w:val="007340AB"/>
    <w:rsid w:val="00734152"/>
    <w:rsid w:val="00734262"/>
    <w:rsid w:val="0073448E"/>
    <w:rsid w:val="00734727"/>
    <w:rsid w:val="00734907"/>
    <w:rsid w:val="00734933"/>
    <w:rsid w:val="00734940"/>
    <w:rsid w:val="00734956"/>
    <w:rsid w:val="00734B7E"/>
    <w:rsid w:val="00734B8A"/>
    <w:rsid w:val="00734BBD"/>
    <w:rsid w:val="00734BF4"/>
    <w:rsid w:val="00734E6F"/>
    <w:rsid w:val="0073517D"/>
    <w:rsid w:val="00735263"/>
    <w:rsid w:val="007355DF"/>
    <w:rsid w:val="00735870"/>
    <w:rsid w:val="0073591C"/>
    <w:rsid w:val="007359A7"/>
    <w:rsid w:val="00735D76"/>
    <w:rsid w:val="00735FB5"/>
    <w:rsid w:val="00736473"/>
    <w:rsid w:val="00736566"/>
    <w:rsid w:val="0073669F"/>
    <w:rsid w:val="00736813"/>
    <w:rsid w:val="00736B9F"/>
    <w:rsid w:val="00736BFF"/>
    <w:rsid w:val="00737052"/>
    <w:rsid w:val="0073714A"/>
    <w:rsid w:val="0073719C"/>
    <w:rsid w:val="00737519"/>
    <w:rsid w:val="0073759A"/>
    <w:rsid w:val="007376C4"/>
    <w:rsid w:val="0073774A"/>
    <w:rsid w:val="007377E0"/>
    <w:rsid w:val="00737802"/>
    <w:rsid w:val="007379A7"/>
    <w:rsid w:val="007379FF"/>
    <w:rsid w:val="00737CC9"/>
    <w:rsid w:val="00737EF7"/>
    <w:rsid w:val="007403F3"/>
    <w:rsid w:val="007406EC"/>
    <w:rsid w:val="0074079B"/>
    <w:rsid w:val="007407ED"/>
    <w:rsid w:val="0074084D"/>
    <w:rsid w:val="00740894"/>
    <w:rsid w:val="007409DF"/>
    <w:rsid w:val="00740A0E"/>
    <w:rsid w:val="00740AD3"/>
    <w:rsid w:val="00740BB8"/>
    <w:rsid w:val="00740BE1"/>
    <w:rsid w:val="00740C3B"/>
    <w:rsid w:val="00740D66"/>
    <w:rsid w:val="00740DC2"/>
    <w:rsid w:val="00740E23"/>
    <w:rsid w:val="00740EC0"/>
    <w:rsid w:val="0074102C"/>
    <w:rsid w:val="0074129F"/>
    <w:rsid w:val="00741598"/>
    <w:rsid w:val="007417D3"/>
    <w:rsid w:val="007417D6"/>
    <w:rsid w:val="007419B9"/>
    <w:rsid w:val="007419D3"/>
    <w:rsid w:val="00741AD0"/>
    <w:rsid w:val="00741ECB"/>
    <w:rsid w:val="00742003"/>
    <w:rsid w:val="0074211C"/>
    <w:rsid w:val="0074230D"/>
    <w:rsid w:val="00742366"/>
    <w:rsid w:val="0074245C"/>
    <w:rsid w:val="00742579"/>
    <w:rsid w:val="007425F8"/>
    <w:rsid w:val="0074281D"/>
    <w:rsid w:val="00742E48"/>
    <w:rsid w:val="00742FE2"/>
    <w:rsid w:val="00743066"/>
    <w:rsid w:val="007432FC"/>
    <w:rsid w:val="0074340F"/>
    <w:rsid w:val="00743538"/>
    <w:rsid w:val="0074358A"/>
    <w:rsid w:val="007436FA"/>
    <w:rsid w:val="00743714"/>
    <w:rsid w:val="00743892"/>
    <w:rsid w:val="007439AC"/>
    <w:rsid w:val="00743BD4"/>
    <w:rsid w:val="00743E64"/>
    <w:rsid w:val="00743EA2"/>
    <w:rsid w:val="007441AE"/>
    <w:rsid w:val="007441F5"/>
    <w:rsid w:val="00744202"/>
    <w:rsid w:val="007442E0"/>
    <w:rsid w:val="00744302"/>
    <w:rsid w:val="0074440C"/>
    <w:rsid w:val="00744484"/>
    <w:rsid w:val="0074496F"/>
    <w:rsid w:val="00744AFB"/>
    <w:rsid w:val="00744B00"/>
    <w:rsid w:val="00744C88"/>
    <w:rsid w:val="00744DA0"/>
    <w:rsid w:val="0074510E"/>
    <w:rsid w:val="00745126"/>
    <w:rsid w:val="007451DC"/>
    <w:rsid w:val="00745227"/>
    <w:rsid w:val="00745B52"/>
    <w:rsid w:val="00745CEF"/>
    <w:rsid w:val="00745EB2"/>
    <w:rsid w:val="00745F2B"/>
    <w:rsid w:val="00745F37"/>
    <w:rsid w:val="00745F95"/>
    <w:rsid w:val="00745FA9"/>
    <w:rsid w:val="00746150"/>
    <w:rsid w:val="00746606"/>
    <w:rsid w:val="00746ACD"/>
    <w:rsid w:val="00746B41"/>
    <w:rsid w:val="00746B7A"/>
    <w:rsid w:val="00746DF4"/>
    <w:rsid w:val="00746DFE"/>
    <w:rsid w:val="00746EB3"/>
    <w:rsid w:val="007470A8"/>
    <w:rsid w:val="00747498"/>
    <w:rsid w:val="0074749A"/>
    <w:rsid w:val="00747832"/>
    <w:rsid w:val="00747903"/>
    <w:rsid w:val="0074793D"/>
    <w:rsid w:val="00747987"/>
    <w:rsid w:val="00747AF9"/>
    <w:rsid w:val="00747E5A"/>
    <w:rsid w:val="007503AF"/>
    <w:rsid w:val="0075048E"/>
    <w:rsid w:val="007505CD"/>
    <w:rsid w:val="00750650"/>
    <w:rsid w:val="007507B1"/>
    <w:rsid w:val="00750865"/>
    <w:rsid w:val="00750918"/>
    <w:rsid w:val="007509DD"/>
    <w:rsid w:val="00750AAA"/>
    <w:rsid w:val="00750BB8"/>
    <w:rsid w:val="00750D44"/>
    <w:rsid w:val="00750D47"/>
    <w:rsid w:val="00750DB6"/>
    <w:rsid w:val="00750EDC"/>
    <w:rsid w:val="00750FA6"/>
    <w:rsid w:val="007511F8"/>
    <w:rsid w:val="00751222"/>
    <w:rsid w:val="007514ED"/>
    <w:rsid w:val="00751522"/>
    <w:rsid w:val="00751530"/>
    <w:rsid w:val="0075181C"/>
    <w:rsid w:val="00751870"/>
    <w:rsid w:val="0075193D"/>
    <w:rsid w:val="00751965"/>
    <w:rsid w:val="00751CE9"/>
    <w:rsid w:val="00751E2D"/>
    <w:rsid w:val="00751FF9"/>
    <w:rsid w:val="007520A2"/>
    <w:rsid w:val="00752135"/>
    <w:rsid w:val="00752628"/>
    <w:rsid w:val="007526D0"/>
    <w:rsid w:val="00752CC2"/>
    <w:rsid w:val="00752D0A"/>
    <w:rsid w:val="00752D7A"/>
    <w:rsid w:val="00752E14"/>
    <w:rsid w:val="00752EC5"/>
    <w:rsid w:val="00753064"/>
    <w:rsid w:val="007530C1"/>
    <w:rsid w:val="00753312"/>
    <w:rsid w:val="00753322"/>
    <w:rsid w:val="007533AA"/>
    <w:rsid w:val="00753538"/>
    <w:rsid w:val="00753683"/>
    <w:rsid w:val="00753755"/>
    <w:rsid w:val="0075377A"/>
    <w:rsid w:val="007539D5"/>
    <w:rsid w:val="00753B22"/>
    <w:rsid w:val="00753DA7"/>
    <w:rsid w:val="00753E9B"/>
    <w:rsid w:val="00753FD5"/>
    <w:rsid w:val="007541CE"/>
    <w:rsid w:val="00754365"/>
    <w:rsid w:val="0075473F"/>
    <w:rsid w:val="00754936"/>
    <w:rsid w:val="0075497A"/>
    <w:rsid w:val="00754A11"/>
    <w:rsid w:val="00754A16"/>
    <w:rsid w:val="00754A1A"/>
    <w:rsid w:val="00754D56"/>
    <w:rsid w:val="00754E8F"/>
    <w:rsid w:val="00754F2E"/>
    <w:rsid w:val="00754F42"/>
    <w:rsid w:val="00754F4B"/>
    <w:rsid w:val="0075508A"/>
    <w:rsid w:val="00755261"/>
    <w:rsid w:val="007552A2"/>
    <w:rsid w:val="0075544E"/>
    <w:rsid w:val="00755508"/>
    <w:rsid w:val="007556A8"/>
    <w:rsid w:val="007556DB"/>
    <w:rsid w:val="00755708"/>
    <w:rsid w:val="00755A3B"/>
    <w:rsid w:val="00755D99"/>
    <w:rsid w:val="007560FC"/>
    <w:rsid w:val="00756654"/>
    <w:rsid w:val="007566B0"/>
    <w:rsid w:val="007568FE"/>
    <w:rsid w:val="00756C47"/>
    <w:rsid w:val="00756C62"/>
    <w:rsid w:val="00756CFA"/>
    <w:rsid w:val="00756F76"/>
    <w:rsid w:val="00756FAA"/>
    <w:rsid w:val="0075728D"/>
    <w:rsid w:val="007572E2"/>
    <w:rsid w:val="00757415"/>
    <w:rsid w:val="0075744C"/>
    <w:rsid w:val="0075747B"/>
    <w:rsid w:val="0075765F"/>
    <w:rsid w:val="00757676"/>
    <w:rsid w:val="0075772C"/>
    <w:rsid w:val="00757757"/>
    <w:rsid w:val="00760257"/>
    <w:rsid w:val="00760608"/>
    <w:rsid w:val="007606CD"/>
    <w:rsid w:val="00760AA4"/>
    <w:rsid w:val="00760D0E"/>
    <w:rsid w:val="00760E2D"/>
    <w:rsid w:val="00760E31"/>
    <w:rsid w:val="00760F2E"/>
    <w:rsid w:val="007610CC"/>
    <w:rsid w:val="0076114A"/>
    <w:rsid w:val="00761182"/>
    <w:rsid w:val="00761195"/>
    <w:rsid w:val="00761292"/>
    <w:rsid w:val="007613B3"/>
    <w:rsid w:val="0076164D"/>
    <w:rsid w:val="00761657"/>
    <w:rsid w:val="00761758"/>
    <w:rsid w:val="0076175D"/>
    <w:rsid w:val="00761847"/>
    <w:rsid w:val="007618E9"/>
    <w:rsid w:val="00761B4C"/>
    <w:rsid w:val="00761C72"/>
    <w:rsid w:val="00761C8D"/>
    <w:rsid w:val="00761DB1"/>
    <w:rsid w:val="00761E1A"/>
    <w:rsid w:val="00761E3F"/>
    <w:rsid w:val="00761E90"/>
    <w:rsid w:val="00761F34"/>
    <w:rsid w:val="00762040"/>
    <w:rsid w:val="007624A1"/>
    <w:rsid w:val="0076254C"/>
    <w:rsid w:val="00762567"/>
    <w:rsid w:val="00762622"/>
    <w:rsid w:val="007626E7"/>
    <w:rsid w:val="00762779"/>
    <w:rsid w:val="00762975"/>
    <w:rsid w:val="00762C06"/>
    <w:rsid w:val="00763017"/>
    <w:rsid w:val="007632C8"/>
    <w:rsid w:val="007632CE"/>
    <w:rsid w:val="00763300"/>
    <w:rsid w:val="00763355"/>
    <w:rsid w:val="00763474"/>
    <w:rsid w:val="0076351C"/>
    <w:rsid w:val="0076392D"/>
    <w:rsid w:val="00763B81"/>
    <w:rsid w:val="00763BAB"/>
    <w:rsid w:val="00763BFF"/>
    <w:rsid w:val="00763C1E"/>
    <w:rsid w:val="00763CB8"/>
    <w:rsid w:val="00763E94"/>
    <w:rsid w:val="00763FC8"/>
    <w:rsid w:val="0076445E"/>
    <w:rsid w:val="007645D0"/>
    <w:rsid w:val="00764624"/>
    <w:rsid w:val="007648DA"/>
    <w:rsid w:val="00764D72"/>
    <w:rsid w:val="00764DDB"/>
    <w:rsid w:val="007652F3"/>
    <w:rsid w:val="00765470"/>
    <w:rsid w:val="00765558"/>
    <w:rsid w:val="00765777"/>
    <w:rsid w:val="007657AD"/>
    <w:rsid w:val="0076589F"/>
    <w:rsid w:val="007658C9"/>
    <w:rsid w:val="00765914"/>
    <w:rsid w:val="00765A58"/>
    <w:rsid w:val="00765AAA"/>
    <w:rsid w:val="00765BCD"/>
    <w:rsid w:val="00765BD2"/>
    <w:rsid w:val="0076615D"/>
    <w:rsid w:val="00766184"/>
    <w:rsid w:val="00766304"/>
    <w:rsid w:val="0076644B"/>
    <w:rsid w:val="007664D8"/>
    <w:rsid w:val="00766541"/>
    <w:rsid w:val="007665A3"/>
    <w:rsid w:val="007665F7"/>
    <w:rsid w:val="00766705"/>
    <w:rsid w:val="007667AF"/>
    <w:rsid w:val="007667E6"/>
    <w:rsid w:val="0076685E"/>
    <w:rsid w:val="00766A04"/>
    <w:rsid w:val="00766A63"/>
    <w:rsid w:val="00766CDB"/>
    <w:rsid w:val="00766D6A"/>
    <w:rsid w:val="00766EDC"/>
    <w:rsid w:val="00766F9D"/>
    <w:rsid w:val="00767174"/>
    <w:rsid w:val="007671A0"/>
    <w:rsid w:val="0076728A"/>
    <w:rsid w:val="00767450"/>
    <w:rsid w:val="007674A6"/>
    <w:rsid w:val="00767548"/>
    <w:rsid w:val="0076765F"/>
    <w:rsid w:val="0076766E"/>
    <w:rsid w:val="00767957"/>
    <w:rsid w:val="00767C6E"/>
    <w:rsid w:val="00767D9A"/>
    <w:rsid w:val="00767EB0"/>
    <w:rsid w:val="007700C3"/>
    <w:rsid w:val="00770467"/>
    <w:rsid w:val="00770471"/>
    <w:rsid w:val="00770582"/>
    <w:rsid w:val="00770609"/>
    <w:rsid w:val="00770628"/>
    <w:rsid w:val="0077079E"/>
    <w:rsid w:val="007707D0"/>
    <w:rsid w:val="0077080A"/>
    <w:rsid w:val="0077080E"/>
    <w:rsid w:val="00770A86"/>
    <w:rsid w:val="00770BD3"/>
    <w:rsid w:val="00770E49"/>
    <w:rsid w:val="00770FD2"/>
    <w:rsid w:val="00771006"/>
    <w:rsid w:val="00771066"/>
    <w:rsid w:val="007712BA"/>
    <w:rsid w:val="0077139E"/>
    <w:rsid w:val="0077177D"/>
    <w:rsid w:val="0077179F"/>
    <w:rsid w:val="007717EA"/>
    <w:rsid w:val="007717FC"/>
    <w:rsid w:val="00771813"/>
    <w:rsid w:val="007718CD"/>
    <w:rsid w:val="00771AC3"/>
    <w:rsid w:val="00771B2B"/>
    <w:rsid w:val="00771F48"/>
    <w:rsid w:val="00772082"/>
    <w:rsid w:val="007722B0"/>
    <w:rsid w:val="007722D3"/>
    <w:rsid w:val="00772329"/>
    <w:rsid w:val="007724D0"/>
    <w:rsid w:val="007725FF"/>
    <w:rsid w:val="00772622"/>
    <w:rsid w:val="0077281D"/>
    <w:rsid w:val="007728CD"/>
    <w:rsid w:val="007728D1"/>
    <w:rsid w:val="00772A60"/>
    <w:rsid w:val="00772B66"/>
    <w:rsid w:val="00772EEB"/>
    <w:rsid w:val="00772F3B"/>
    <w:rsid w:val="00772FBB"/>
    <w:rsid w:val="00772FF8"/>
    <w:rsid w:val="00773078"/>
    <w:rsid w:val="00773200"/>
    <w:rsid w:val="0077334D"/>
    <w:rsid w:val="00773360"/>
    <w:rsid w:val="00773509"/>
    <w:rsid w:val="00773690"/>
    <w:rsid w:val="0077369F"/>
    <w:rsid w:val="007737D2"/>
    <w:rsid w:val="00773AE7"/>
    <w:rsid w:val="00773D71"/>
    <w:rsid w:val="00773E70"/>
    <w:rsid w:val="00774087"/>
    <w:rsid w:val="0077420A"/>
    <w:rsid w:val="0077435C"/>
    <w:rsid w:val="00774420"/>
    <w:rsid w:val="00774546"/>
    <w:rsid w:val="00774566"/>
    <w:rsid w:val="0077459E"/>
    <w:rsid w:val="0077469F"/>
    <w:rsid w:val="007748A9"/>
    <w:rsid w:val="00774DA0"/>
    <w:rsid w:val="00774DBC"/>
    <w:rsid w:val="00774FC0"/>
    <w:rsid w:val="007752AE"/>
    <w:rsid w:val="0077539E"/>
    <w:rsid w:val="007753DE"/>
    <w:rsid w:val="00775437"/>
    <w:rsid w:val="007757CB"/>
    <w:rsid w:val="007757FF"/>
    <w:rsid w:val="00775856"/>
    <w:rsid w:val="00775E04"/>
    <w:rsid w:val="00776142"/>
    <w:rsid w:val="007761BF"/>
    <w:rsid w:val="00776278"/>
    <w:rsid w:val="0077632D"/>
    <w:rsid w:val="0077633E"/>
    <w:rsid w:val="007764B6"/>
    <w:rsid w:val="00776550"/>
    <w:rsid w:val="00776613"/>
    <w:rsid w:val="0077683C"/>
    <w:rsid w:val="00776A9D"/>
    <w:rsid w:val="00776AEA"/>
    <w:rsid w:val="00776AF1"/>
    <w:rsid w:val="00776B70"/>
    <w:rsid w:val="00776C22"/>
    <w:rsid w:val="00776D59"/>
    <w:rsid w:val="00776D75"/>
    <w:rsid w:val="00776E92"/>
    <w:rsid w:val="0077736F"/>
    <w:rsid w:val="007773CA"/>
    <w:rsid w:val="00777537"/>
    <w:rsid w:val="00777554"/>
    <w:rsid w:val="007776BF"/>
    <w:rsid w:val="00777933"/>
    <w:rsid w:val="0077797A"/>
    <w:rsid w:val="00777A9C"/>
    <w:rsid w:val="00777BDF"/>
    <w:rsid w:val="00777BE3"/>
    <w:rsid w:val="00777C97"/>
    <w:rsid w:val="00777CC3"/>
    <w:rsid w:val="00777D7C"/>
    <w:rsid w:val="00777EC9"/>
    <w:rsid w:val="00777F70"/>
    <w:rsid w:val="0078002E"/>
    <w:rsid w:val="00780227"/>
    <w:rsid w:val="0078031C"/>
    <w:rsid w:val="0078031D"/>
    <w:rsid w:val="007803F4"/>
    <w:rsid w:val="007804EA"/>
    <w:rsid w:val="007805B8"/>
    <w:rsid w:val="0078096E"/>
    <w:rsid w:val="00780A5F"/>
    <w:rsid w:val="00780A79"/>
    <w:rsid w:val="00780ACD"/>
    <w:rsid w:val="00780C03"/>
    <w:rsid w:val="00780C39"/>
    <w:rsid w:val="00780D13"/>
    <w:rsid w:val="00780EAA"/>
    <w:rsid w:val="007810A0"/>
    <w:rsid w:val="00781168"/>
    <w:rsid w:val="007811C4"/>
    <w:rsid w:val="0078125C"/>
    <w:rsid w:val="007812D4"/>
    <w:rsid w:val="007813BC"/>
    <w:rsid w:val="0078140F"/>
    <w:rsid w:val="00781617"/>
    <w:rsid w:val="007816AC"/>
    <w:rsid w:val="007817A3"/>
    <w:rsid w:val="00781956"/>
    <w:rsid w:val="007819D5"/>
    <w:rsid w:val="00781AFC"/>
    <w:rsid w:val="00781CB2"/>
    <w:rsid w:val="00781CD0"/>
    <w:rsid w:val="00781D8A"/>
    <w:rsid w:val="00781D8D"/>
    <w:rsid w:val="00781EFE"/>
    <w:rsid w:val="00781FCF"/>
    <w:rsid w:val="0078209F"/>
    <w:rsid w:val="007822C8"/>
    <w:rsid w:val="007822D3"/>
    <w:rsid w:val="0078239A"/>
    <w:rsid w:val="0078239F"/>
    <w:rsid w:val="0078257B"/>
    <w:rsid w:val="007825E7"/>
    <w:rsid w:val="00782716"/>
    <w:rsid w:val="00782AA1"/>
    <w:rsid w:val="00782C0B"/>
    <w:rsid w:val="00782D1A"/>
    <w:rsid w:val="0078305B"/>
    <w:rsid w:val="00783191"/>
    <w:rsid w:val="00783338"/>
    <w:rsid w:val="0078337D"/>
    <w:rsid w:val="007836B9"/>
    <w:rsid w:val="00783978"/>
    <w:rsid w:val="007839DF"/>
    <w:rsid w:val="007839E9"/>
    <w:rsid w:val="00783AC4"/>
    <w:rsid w:val="00783AD3"/>
    <w:rsid w:val="00783C6C"/>
    <w:rsid w:val="00783C7C"/>
    <w:rsid w:val="00783CF9"/>
    <w:rsid w:val="00783D75"/>
    <w:rsid w:val="00783E46"/>
    <w:rsid w:val="00783E53"/>
    <w:rsid w:val="00783F6D"/>
    <w:rsid w:val="007842A4"/>
    <w:rsid w:val="00784315"/>
    <w:rsid w:val="007846A3"/>
    <w:rsid w:val="00784A25"/>
    <w:rsid w:val="00784B10"/>
    <w:rsid w:val="00784BD9"/>
    <w:rsid w:val="00784C0A"/>
    <w:rsid w:val="00784D4F"/>
    <w:rsid w:val="00784EB7"/>
    <w:rsid w:val="0078526F"/>
    <w:rsid w:val="007853A3"/>
    <w:rsid w:val="00785A2F"/>
    <w:rsid w:val="00785AFE"/>
    <w:rsid w:val="00785B50"/>
    <w:rsid w:val="00785B8E"/>
    <w:rsid w:val="00785D02"/>
    <w:rsid w:val="007861BE"/>
    <w:rsid w:val="007861DB"/>
    <w:rsid w:val="0078622D"/>
    <w:rsid w:val="007862BD"/>
    <w:rsid w:val="007862D3"/>
    <w:rsid w:val="00786427"/>
    <w:rsid w:val="0078680E"/>
    <w:rsid w:val="0078687C"/>
    <w:rsid w:val="00786B9C"/>
    <w:rsid w:val="00786C36"/>
    <w:rsid w:val="00787194"/>
    <w:rsid w:val="00787291"/>
    <w:rsid w:val="0078740C"/>
    <w:rsid w:val="00787537"/>
    <w:rsid w:val="00787761"/>
    <w:rsid w:val="00787969"/>
    <w:rsid w:val="007879A4"/>
    <w:rsid w:val="00787A72"/>
    <w:rsid w:val="00787B9C"/>
    <w:rsid w:val="00787DBD"/>
    <w:rsid w:val="00787F90"/>
    <w:rsid w:val="00790012"/>
    <w:rsid w:val="00790192"/>
    <w:rsid w:val="00790228"/>
    <w:rsid w:val="007902B6"/>
    <w:rsid w:val="007902DD"/>
    <w:rsid w:val="00790811"/>
    <w:rsid w:val="007908E0"/>
    <w:rsid w:val="0079097E"/>
    <w:rsid w:val="007909F2"/>
    <w:rsid w:val="00790E18"/>
    <w:rsid w:val="007912F8"/>
    <w:rsid w:val="00791571"/>
    <w:rsid w:val="00791770"/>
    <w:rsid w:val="0079190B"/>
    <w:rsid w:val="00791C4A"/>
    <w:rsid w:val="00791CA3"/>
    <w:rsid w:val="00791F50"/>
    <w:rsid w:val="00791FDB"/>
    <w:rsid w:val="00792014"/>
    <w:rsid w:val="007922C1"/>
    <w:rsid w:val="00792448"/>
    <w:rsid w:val="007924A3"/>
    <w:rsid w:val="00792588"/>
    <w:rsid w:val="007925AC"/>
    <w:rsid w:val="00792744"/>
    <w:rsid w:val="00792A07"/>
    <w:rsid w:val="00792A5E"/>
    <w:rsid w:val="00792A80"/>
    <w:rsid w:val="00792D7B"/>
    <w:rsid w:val="00792D8E"/>
    <w:rsid w:val="0079322E"/>
    <w:rsid w:val="007933EA"/>
    <w:rsid w:val="0079394B"/>
    <w:rsid w:val="00793963"/>
    <w:rsid w:val="00793C5D"/>
    <w:rsid w:val="00793D54"/>
    <w:rsid w:val="00793D6A"/>
    <w:rsid w:val="00793DB1"/>
    <w:rsid w:val="00793E27"/>
    <w:rsid w:val="00793F17"/>
    <w:rsid w:val="0079404A"/>
    <w:rsid w:val="0079429F"/>
    <w:rsid w:val="0079439B"/>
    <w:rsid w:val="00794501"/>
    <w:rsid w:val="00794550"/>
    <w:rsid w:val="00794576"/>
    <w:rsid w:val="00794630"/>
    <w:rsid w:val="00794A26"/>
    <w:rsid w:val="00794AAD"/>
    <w:rsid w:val="00794AD2"/>
    <w:rsid w:val="00794B40"/>
    <w:rsid w:val="00794BA9"/>
    <w:rsid w:val="00794BDD"/>
    <w:rsid w:val="00794D60"/>
    <w:rsid w:val="00795570"/>
    <w:rsid w:val="0079569C"/>
    <w:rsid w:val="00795879"/>
    <w:rsid w:val="007958CB"/>
    <w:rsid w:val="007958E5"/>
    <w:rsid w:val="00795B4E"/>
    <w:rsid w:val="00795CA4"/>
    <w:rsid w:val="00795EEE"/>
    <w:rsid w:val="00795FA5"/>
    <w:rsid w:val="0079628C"/>
    <w:rsid w:val="007962FF"/>
    <w:rsid w:val="00796381"/>
    <w:rsid w:val="00796426"/>
    <w:rsid w:val="00796442"/>
    <w:rsid w:val="00796538"/>
    <w:rsid w:val="00796591"/>
    <w:rsid w:val="00796733"/>
    <w:rsid w:val="007967A2"/>
    <w:rsid w:val="00796828"/>
    <w:rsid w:val="00796AF2"/>
    <w:rsid w:val="00796E26"/>
    <w:rsid w:val="00796EBE"/>
    <w:rsid w:val="00796FE6"/>
    <w:rsid w:val="00797026"/>
    <w:rsid w:val="00797225"/>
    <w:rsid w:val="00797334"/>
    <w:rsid w:val="007975C1"/>
    <w:rsid w:val="0079764A"/>
    <w:rsid w:val="00797DEE"/>
    <w:rsid w:val="00797EE2"/>
    <w:rsid w:val="007A0037"/>
    <w:rsid w:val="007A0381"/>
    <w:rsid w:val="007A056B"/>
    <w:rsid w:val="007A0726"/>
    <w:rsid w:val="007A07C9"/>
    <w:rsid w:val="007A0890"/>
    <w:rsid w:val="007A0B6B"/>
    <w:rsid w:val="007A0C48"/>
    <w:rsid w:val="007A1079"/>
    <w:rsid w:val="007A114A"/>
    <w:rsid w:val="007A14C5"/>
    <w:rsid w:val="007A1506"/>
    <w:rsid w:val="007A1802"/>
    <w:rsid w:val="007A182A"/>
    <w:rsid w:val="007A1862"/>
    <w:rsid w:val="007A18C2"/>
    <w:rsid w:val="007A18F0"/>
    <w:rsid w:val="007A1C16"/>
    <w:rsid w:val="007A1DCD"/>
    <w:rsid w:val="007A1E84"/>
    <w:rsid w:val="007A1E98"/>
    <w:rsid w:val="007A201B"/>
    <w:rsid w:val="007A2087"/>
    <w:rsid w:val="007A22EC"/>
    <w:rsid w:val="007A2859"/>
    <w:rsid w:val="007A2C93"/>
    <w:rsid w:val="007A2E83"/>
    <w:rsid w:val="007A2F57"/>
    <w:rsid w:val="007A2FD7"/>
    <w:rsid w:val="007A2FD9"/>
    <w:rsid w:val="007A3228"/>
    <w:rsid w:val="007A32A9"/>
    <w:rsid w:val="007A3434"/>
    <w:rsid w:val="007A35F5"/>
    <w:rsid w:val="007A38CD"/>
    <w:rsid w:val="007A3A93"/>
    <w:rsid w:val="007A3AE1"/>
    <w:rsid w:val="007A3BCA"/>
    <w:rsid w:val="007A3D0B"/>
    <w:rsid w:val="007A3EAA"/>
    <w:rsid w:val="007A4146"/>
    <w:rsid w:val="007A423A"/>
    <w:rsid w:val="007A42CE"/>
    <w:rsid w:val="007A4367"/>
    <w:rsid w:val="007A43A0"/>
    <w:rsid w:val="007A47C0"/>
    <w:rsid w:val="007A4823"/>
    <w:rsid w:val="007A49D0"/>
    <w:rsid w:val="007A4AEB"/>
    <w:rsid w:val="007A4C3B"/>
    <w:rsid w:val="007A4DF2"/>
    <w:rsid w:val="007A4FBD"/>
    <w:rsid w:val="007A566E"/>
    <w:rsid w:val="007A56D8"/>
    <w:rsid w:val="007A5715"/>
    <w:rsid w:val="007A5732"/>
    <w:rsid w:val="007A58DF"/>
    <w:rsid w:val="007A5A94"/>
    <w:rsid w:val="007A5C0B"/>
    <w:rsid w:val="007A5F0A"/>
    <w:rsid w:val="007A612C"/>
    <w:rsid w:val="007A6308"/>
    <w:rsid w:val="007A651E"/>
    <w:rsid w:val="007A65F1"/>
    <w:rsid w:val="007A6612"/>
    <w:rsid w:val="007A6975"/>
    <w:rsid w:val="007A69D9"/>
    <w:rsid w:val="007A6A2A"/>
    <w:rsid w:val="007A6BF5"/>
    <w:rsid w:val="007A6DE6"/>
    <w:rsid w:val="007A6F36"/>
    <w:rsid w:val="007A738D"/>
    <w:rsid w:val="007A73B4"/>
    <w:rsid w:val="007A74A1"/>
    <w:rsid w:val="007A7632"/>
    <w:rsid w:val="007A76D9"/>
    <w:rsid w:val="007A77D7"/>
    <w:rsid w:val="007A7802"/>
    <w:rsid w:val="007A7971"/>
    <w:rsid w:val="007A7994"/>
    <w:rsid w:val="007A7999"/>
    <w:rsid w:val="007A79CD"/>
    <w:rsid w:val="007A79E8"/>
    <w:rsid w:val="007A7B8B"/>
    <w:rsid w:val="007A7C57"/>
    <w:rsid w:val="007A7CEC"/>
    <w:rsid w:val="007A7DC9"/>
    <w:rsid w:val="007A7EF0"/>
    <w:rsid w:val="007B0A2D"/>
    <w:rsid w:val="007B0CC4"/>
    <w:rsid w:val="007B0D1E"/>
    <w:rsid w:val="007B0F7C"/>
    <w:rsid w:val="007B10F5"/>
    <w:rsid w:val="007B1154"/>
    <w:rsid w:val="007B11FE"/>
    <w:rsid w:val="007B1273"/>
    <w:rsid w:val="007B1356"/>
    <w:rsid w:val="007B1389"/>
    <w:rsid w:val="007B14A9"/>
    <w:rsid w:val="007B1857"/>
    <w:rsid w:val="007B18BD"/>
    <w:rsid w:val="007B1A7B"/>
    <w:rsid w:val="007B1A7C"/>
    <w:rsid w:val="007B1AB7"/>
    <w:rsid w:val="007B1CA5"/>
    <w:rsid w:val="007B1DC0"/>
    <w:rsid w:val="007B1F7A"/>
    <w:rsid w:val="007B2077"/>
    <w:rsid w:val="007B21C9"/>
    <w:rsid w:val="007B2347"/>
    <w:rsid w:val="007B2469"/>
    <w:rsid w:val="007B25D2"/>
    <w:rsid w:val="007B2677"/>
    <w:rsid w:val="007B285E"/>
    <w:rsid w:val="007B2A2D"/>
    <w:rsid w:val="007B2A39"/>
    <w:rsid w:val="007B2A89"/>
    <w:rsid w:val="007B2B4D"/>
    <w:rsid w:val="007B2C45"/>
    <w:rsid w:val="007B2CAD"/>
    <w:rsid w:val="007B2EA6"/>
    <w:rsid w:val="007B2F6B"/>
    <w:rsid w:val="007B3037"/>
    <w:rsid w:val="007B3207"/>
    <w:rsid w:val="007B3480"/>
    <w:rsid w:val="007B34A2"/>
    <w:rsid w:val="007B3554"/>
    <w:rsid w:val="007B3668"/>
    <w:rsid w:val="007B3887"/>
    <w:rsid w:val="007B3940"/>
    <w:rsid w:val="007B3A34"/>
    <w:rsid w:val="007B3BBE"/>
    <w:rsid w:val="007B3C49"/>
    <w:rsid w:val="007B3D51"/>
    <w:rsid w:val="007B3E10"/>
    <w:rsid w:val="007B3F73"/>
    <w:rsid w:val="007B3FEB"/>
    <w:rsid w:val="007B40C1"/>
    <w:rsid w:val="007B41FC"/>
    <w:rsid w:val="007B426D"/>
    <w:rsid w:val="007B4426"/>
    <w:rsid w:val="007B448B"/>
    <w:rsid w:val="007B44BB"/>
    <w:rsid w:val="007B4556"/>
    <w:rsid w:val="007B4673"/>
    <w:rsid w:val="007B4733"/>
    <w:rsid w:val="007B4C82"/>
    <w:rsid w:val="007B4D68"/>
    <w:rsid w:val="007B4D7B"/>
    <w:rsid w:val="007B4E1C"/>
    <w:rsid w:val="007B4F79"/>
    <w:rsid w:val="007B5228"/>
    <w:rsid w:val="007B53BD"/>
    <w:rsid w:val="007B54C0"/>
    <w:rsid w:val="007B5924"/>
    <w:rsid w:val="007B5A39"/>
    <w:rsid w:val="007B5AF3"/>
    <w:rsid w:val="007B5C05"/>
    <w:rsid w:val="007B5C32"/>
    <w:rsid w:val="007B5D5E"/>
    <w:rsid w:val="007B60CF"/>
    <w:rsid w:val="007B6203"/>
    <w:rsid w:val="007B674F"/>
    <w:rsid w:val="007B67CD"/>
    <w:rsid w:val="007B68D3"/>
    <w:rsid w:val="007B6B28"/>
    <w:rsid w:val="007B6B4F"/>
    <w:rsid w:val="007B6B59"/>
    <w:rsid w:val="007B6C68"/>
    <w:rsid w:val="007B6DB7"/>
    <w:rsid w:val="007B6E40"/>
    <w:rsid w:val="007B6F6A"/>
    <w:rsid w:val="007B705D"/>
    <w:rsid w:val="007B7061"/>
    <w:rsid w:val="007B7199"/>
    <w:rsid w:val="007B724F"/>
    <w:rsid w:val="007B727A"/>
    <w:rsid w:val="007B73C7"/>
    <w:rsid w:val="007B7675"/>
    <w:rsid w:val="007B7680"/>
    <w:rsid w:val="007B76AB"/>
    <w:rsid w:val="007B7747"/>
    <w:rsid w:val="007B7853"/>
    <w:rsid w:val="007B7892"/>
    <w:rsid w:val="007B7A58"/>
    <w:rsid w:val="007B7D81"/>
    <w:rsid w:val="007B7DA5"/>
    <w:rsid w:val="007B7ED1"/>
    <w:rsid w:val="007C0112"/>
    <w:rsid w:val="007C0247"/>
    <w:rsid w:val="007C0381"/>
    <w:rsid w:val="007C0444"/>
    <w:rsid w:val="007C0601"/>
    <w:rsid w:val="007C062E"/>
    <w:rsid w:val="007C06F5"/>
    <w:rsid w:val="007C0944"/>
    <w:rsid w:val="007C0CA3"/>
    <w:rsid w:val="007C0CD0"/>
    <w:rsid w:val="007C0DA3"/>
    <w:rsid w:val="007C0DE3"/>
    <w:rsid w:val="007C0EE7"/>
    <w:rsid w:val="007C1126"/>
    <w:rsid w:val="007C12C0"/>
    <w:rsid w:val="007C1381"/>
    <w:rsid w:val="007C1497"/>
    <w:rsid w:val="007C178A"/>
    <w:rsid w:val="007C1860"/>
    <w:rsid w:val="007C1B6F"/>
    <w:rsid w:val="007C1EC8"/>
    <w:rsid w:val="007C1ECA"/>
    <w:rsid w:val="007C1EE2"/>
    <w:rsid w:val="007C1FDB"/>
    <w:rsid w:val="007C213C"/>
    <w:rsid w:val="007C2170"/>
    <w:rsid w:val="007C22ED"/>
    <w:rsid w:val="007C232F"/>
    <w:rsid w:val="007C25C7"/>
    <w:rsid w:val="007C262A"/>
    <w:rsid w:val="007C265B"/>
    <w:rsid w:val="007C27EE"/>
    <w:rsid w:val="007C28FA"/>
    <w:rsid w:val="007C29E5"/>
    <w:rsid w:val="007C2C50"/>
    <w:rsid w:val="007C2E9C"/>
    <w:rsid w:val="007C2F8A"/>
    <w:rsid w:val="007C2FCE"/>
    <w:rsid w:val="007C3112"/>
    <w:rsid w:val="007C3130"/>
    <w:rsid w:val="007C35C5"/>
    <w:rsid w:val="007C3618"/>
    <w:rsid w:val="007C3660"/>
    <w:rsid w:val="007C37A8"/>
    <w:rsid w:val="007C3949"/>
    <w:rsid w:val="007C3D35"/>
    <w:rsid w:val="007C3D99"/>
    <w:rsid w:val="007C4147"/>
    <w:rsid w:val="007C4198"/>
    <w:rsid w:val="007C41EC"/>
    <w:rsid w:val="007C4324"/>
    <w:rsid w:val="007C454E"/>
    <w:rsid w:val="007C481F"/>
    <w:rsid w:val="007C48F7"/>
    <w:rsid w:val="007C49F0"/>
    <w:rsid w:val="007C4BE6"/>
    <w:rsid w:val="007C4E7C"/>
    <w:rsid w:val="007C4F12"/>
    <w:rsid w:val="007C4F1C"/>
    <w:rsid w:val="007C502D"/>
    <w:rsid w:val="007C50C0"/>
    <w:rsid w:val="007C5263"/>
    <w:rsid w:val="007C52E6"/>
    <w:rsid w:val="007C5330"/>
    <w:rsid w:val="007C53E3"/>
    <w:rsid w:val="007C546C"/>
    <w:rsid w:val="007C5721"/>
    <w:rsid w:val="007C587E"/>
    <w:rsid w:val="007C5BAA"/>
    <w:rsid w:val="007C5CEB"/>
    <w:rsid w:val="007C5E4B"/>
    <w:rsid w:val="007C5F07"/>
    <w:rsid w:val="007C5F39"/>
    <w:rsid w:val="007C5F7A"/>
    <w:rsid w:val="007C618C"/>
    <w:rsid w:val="007C64B8"/>
    <w:rsid w:val="007C65CA"/>
    <w:rsid w:val="007C6648"/>
    <w:rsid w:val="007C6831"/>
    <w:rsid w:val="007C69A9"/>
    <w:rsid w:val="007C6B20"/>
    <w:rsid w:val="007C6C21"/>
    <w:rsid w:val="007C6C91"/>
    <w:rsid w:val="007C6CAD"/>
    <w:rsid w:val="007C6D27"/>
    <w:rsid w:val="007C6DDF"/>
    <w:rsid w:val="007C6F78"/>
    <w:rsid w:val="007C70B0"/>
    <w:rsid w:val="007C712D"/>
    <w:rsid w:val="007C7154"/>
    <w:rsid w:val="007C7234"/>
    <w:rsid w:val="007C724C"/>
    <w:rsid w:val="007C72D9"/>
    <w:rsid w:val="007C7378"/>
    <w:rsid w:val="007C73D9"/>
    <w:rsid w:val="007C746F"/>
    <w:rsid w:val="007C7531"/>
    <w:rsid w:val="007C7534"/>
    <w:rsid w:val="007C7597"/>
    <w:rsid w:val="007C7719"/>
    <w:rsid w:val="007C7889"/>
    <w:rsid w:val="007C7A02"/>
    <w:rsid w:val="007C7A37"/>
    <w:rsid w:val="007D0046"/>
    <w:rsid w:val="007D0093"/>
    <w:rsid w:val="007D0188"/>
    <w:rsid w:val="007D0459"/>
    <w:rsid w:val="007D06FC"/>
    <w:rsid w:val="007D0848"/>
    <w:rsid w:val="007D0865"/>
    <w:rsid w:val="007D0AFB"/>
    <w:rsid w:val="007D0B4B"/>
    <w:rsid w:val="007D0F33"/>
    <w:rsid w:val="007D121D"/>
    <w:rsid w:val="007D13B8"/>
    <w:rsid w:val="007D1D39"/>
    <w:rsid w:val="007D1D88"/>
    <w:rsid w:val="007D1D97"/>
    <w:rsid w:val="007D2197"/>
    <w:rsid w:val="007D2271"/>
    <w:rsid w:val="007D249F"/>
    <w:rsid w:val="007D271F"/>
    <w:rsid w:val="007D27AB"/>
    <w:rsid w:val="007D2DF4"/>
    <w:rsid w:val="007D303F"/>
    <w:rsid w:val="007D32FB"/>
    <w:rsid w:val="007D35F4"/>
    <w:rsid w:val="007D38C3"/>
    <w:rsid w:val="007D3978"/>
    <w:rsid w:val="007D39B0"/>
    <w:rsid w:val="007D39B9"/>
    <w:rsid w:val="007D39F6"/>
    <w:rsid w:val="007D39FF"/>
    <w:rsid w:val="007D3C1A"/>
    <w:rsid w:val="007D3CF6"/>
    <w:rsid w:val="007D3DD5"/>
    <w:rsid w:val="007D3E3B"/>
    <w:rsid w:val="007D3EEA"/>
    <w:rsid w:val="007D3FB2"/>
    <w:rsid w:val="007D3FD6"/>
    <w:rsid w:val="007D4059"/>
    <w:rsid w:val="007D4322"/>
    <w:rsid w:val="007D4338"/>
    <w:rsid w:val="007D4350"/>
    <w:rsid w:val="007D4384"/>
    <w:rsid w:val="007D4444"/>
    <w:rsid w:val="007D445D"/>
    <w:rsid w:val="007D4468"/>
    <w:rsid w:val="007D458D"/>
    <w:rsid w:val="007D4631"/>
    <w:rsid w:val="007D4893"/>
    <w:rsid w:val="007D4D33"/>
    <w:rsid w:val="007D4E38"/>
    <w:rsid w:val="007D4EEE"/>
    <w:rsid w:val="007D4F7D"/>
    <w:rsid w:val="007D5168"/>
    <w:rsid w:val="007D5197"/>
    <w:rsid w:val="007D51B1"/>
    <w:rsid w:val="007D5211"/>
    <w:rsid w:val="007D53C7"/>
    <w:rsid w:val="007D53CB"/>
    <w:rsid w:val="007D557A"/>
    <w:rsid w:val="007D56B6"/>
    <w:rsid w:val="007D570F"/>
    <w:rsid w:val="007D5881"/>
    <w:rsid w:val="007D592B"/>
    <w:rsid w:val="007D5AA6"/>
    <w:rsid w:val="007D5ADC"/>
    <w:rsid w:val="007D5B84"/>
    <w:rsid w:val="007D5BCC"/>
    <w:rsid w:val="007D5C2E"/>
    <w:rsid w:val="007D5CE1"/>
    <w:rsid w:val="007D5DEE"/>
    <w:rsid w:val="007D5E4F"/>
    <w:rsid w:val="007D602F"/>
    <w:rsid w:val="007D616C"/>
    <w:rsid w:val="007D632B"/>
    <w:rsid w:val="007D64EA"/>
    <w:rsid w:val="007D654A"/>
    <w:rsid w:val="007D65A9"/>
    <w:rsid w:val="007D65F5"/>
    <w:rsid w:val="007D6716"/>
    <w:rsid w:val="007D6763"/>
    <w:rsid w:val="007D6A4B"/>
    <w:rsid w:val="007D6C6A"/>
    <w:rsid w:val="007D6D3C"/>
    <w:rsid w:val="007D6D92"/>
    <w:rsid w:val="007D7056"/>
    <w:rsid w:val="007D7071"/>
    <w:rsid w:val="007D712F"/>
    <w:rsid w:val="007D7266"/>
    <w:rsid w:val="007D72BC"/>
    <w:rsid w:val="007D73AF"/>
    <w:rsid w:val="007D75E3"/>
    <w:rsid w:val="007D7685"/>
    <w:rsid w:val="007D7732"/>
    <w:rsid w:val="007D7762"/>
    <w:rsid w:val="007D7A4F"/>
    <w:rsid w:val="007D7A91"/>
    <w:rsid w:val="007D7B29"/>
    <w:rsid w:val="007D7E79"/>
    <w:rsid w:val="007D7EE7"/>
    <w:rsid w:val="007E04DC"/>
    <w:rsid w:val="007E0632"/>
    <w:rsid w:val="007E0744"/>
    <w:rsid w:val="007E09AF"/>
    <w:rsid w:val="007E0BC5"/>
    <w:rsid w:val="007E0E3E"/>
    <w:rsid w:val="007E0EB0"/>
    <w:rsid w:val="007E0EE1"/>
    <w:rsid w:val="007E0F1B"/>
    <w:rsid w:val="007E1010"/>
    <w:rsid w:val="007E1143"/>
    <w:rsid w:val="007E11C5"/>
    <w:rsid w:val="007E14BD"/>
    <w:rsid w:val="007E1643"/>
    <w:rsid w:val="007E1ABC"/>
    <w:rsid w:val="007E1BC1"/>
    <w:rsid w:val="007E1DF6"/>
    <w:rsid w:val="007E1F23"/>
    <w:rsid w:val="007E1FE4"/>
    <w:rsid w:val="007E1FEC"/>
    <w:rsid w:val="007E2000"/>
    <w:rsid w:val="007E2005"/>
    <w:rsid w:val="007E2097"/>
    <w:rsid w:val="007E20CB"/>
    <w:rsid w:val="007E21B3"/>
    <w:rsid w:val="007E2329"/>
    <w:rsid w:val="007E23A3"/>
    <w:rsid w:val="007E2964"/>
    <w:rsid w:val="007E2BEA"/>
    <w:rsid w:val="007E2CAC"/>
    <w:rsid w:val="007E2D38"/>
    <w:rsid w:val="007E2D8E"/>
    <w:rsid w:val="007E2E24"/>
    <w:rsid w:val="007E2F5C"/>
    <w:rsid w:val="007E307F"/>
    <w:rsid w:val="007E308B"/>
    <w:rsid w:val="007E30B1"/>
    <w:rsid w:val="007E3169"/>
    <w:rsid w:val="007E3243"/>
    <w:rsid w:val="007E33A2"/>
    <w:rsid w:val="007E3463"/>
    <w:rsid w:val="007E347E"/>
    <w:rsid w:val="007E3535"/>
    <w:rsid w:val="007E3649"/>
    <w:rsid w:val="007E36A7"/>
    <w:rsid w:val="007E3775"/>
    <w:rsid w:val="007E3968"/>
    <w:rsid w:val="007E3B31"/>
    <w:rsid w:val="007E3B45"/>
    <w:rsid w:val="007E3CBB"/>
    <w:rsid w:val="007E3F37"/>
    <w:rsid w:val="007E3FC0"/>
    <w:rsid w:val="007E4022"/>
    <w:rsid w:val="007E4115"/>
    <w:rsid w:val="007E4135"/>
    <w:rsid w:val="007E4253"/>
    <w:rsid w:val="007E4515"/>
    <w:rsid w:val="007E4D6B"/>
    <w:rsid w:val="007E4F32"/>
    <w:rsid w:val="007E507F"/>
    <w:rsid w:val="007E515B"/>
    <w:rsid w:val="007E54B3"/>
    <w:rsid w:val="007E561E"/>
    <w:rsid w:val="007E57F8"/>
    <w:rsid w:val="007E5826"/>
    <w:rsid w:val="007E5C4D"/>
    <w:rsid w:val="007E6261"/>
    <w:rsid w:val="007E62E0"/>
    <w:rsid w:val="007E6456"/>
    <w:rsid w:val="007E64DB"/>
    <w:rsid w:val="007E6A17"/>
    <w:rsid w:val="007E6F84"/>
    <w:rsid w:val="007E6FF8"/>
    <w:rsid w:val="007E7332"/>
    <w:rsid w:val="007E7418"/>
    <w:rsid w:val="007E74A2"/>
    <w:rsid w:val="007E750E"/>
    <w:rsid w:val="007E77CB"/>
    <w:rsid w:val="007E780C"/>
    <w:rsid w:val="007E788F"/>
    <w:rsid w:val="007E7A7A"/>
    <w:rsid w:val="007E7E2A"/>
    <w:rsid w:val="007E7F13"/>
    <w:rsid w:val="007E7F60"/>
    <w:rsid w:val="007F0096"/>
    <w:rsid w:val="007F00C6"/>
    <w:rsid w:val="007F03FA"/>
    <w:rsid w:val="007F0518"/>
    <w:rsid w:val="007F06A8"/>
    <w:rsid w:val="007F0716"/>
    <w:rsid w:val="007F09AA"/>
    <w:rsid w:val="007F0C53"/>
    <w:rsid w:val="007F0CEC"/>
    <w:rsid w:val="007F1022"/>
    <w:rsid w:val="007F1388"/>
    <w:rsid w:val="007F13CF"/>
    <w:rsid w:val="007F15EE"/>
    <w:rsid w:val="007F1629"/>
    <w:rsid w:val="007F17EF"/>
    <w:rsid w:val="007F18F2"/>
    <w:rsid w:val="007F19EC"/>
    <w:rsid w:val="007F1A3B"/>
    <w:rsid w:val="007F1C24"/>
    <w:rsid w:val="007F1E14"/>
    <w:rsid w:val="007F20AE"/>
    <w:rsid w:val="007F217A"/>
    <w:rsid w:val="007F2191"/>
    <w:rsid w:val="007F21B4"/>
    <w:rsid w:val="007F23EA"/>
    <w:rsid w:val="007F247E"/>
    <w:rsid w:val="007F2686"/>
    <w:rsid w:val="007F268C"/>
    <w:rsid w:val="007F2762"/>
    <w:rsid w:val="007F27C4"/>
    <w:rsid w:val="007F2A62"/>
    <w:rsid w:val="007F2B88"/>
    <w:rsid w:val="007F2C2E"/>
    <w:rsid w:val="007F2C53"/>
    <w:rsid w:val="007F3194"/>
    <w:rsid w:val="007F31A5"/>
    <w:rsid w:val="007F33D7"/>
    <w:rsid w:val="007F351A"/>
    <w:rsid w:val="007F35C4"/>
    <w:rsid w:val="007F36A6"/>
    <w:rsid w:val="007F36B4"/>
    <w:rsid w:val="007F36C2"/>
    <w:rsid w:val="007F374D"/>
    <w:rsid w:val="007F3985"/>
    <w:rsid w:val="007F3A8A"/>
    <w:rsid w:val="007F3BCF"/>
    <w:rsid w:val="007F3D04"/>
    <w:rsid w:val="007F3D68"/>
    <w:rsid w:val="007F3F92"/>
    <w:rsid w:val="007F40D5"/>
    <w:rsid w:val="007F4264"/>
    <w:rsid w:val="007F42FD"/>
    <w:rsid w:val="007F43A7"/>
    <w:rsid w:val="007F4515"/>
    <w:rsid w:val="007F4624"/>
    <w:rsid w:val="007F4968"/>
    <w:rsid w:val="007F4C0D"/>
    <w:rsid w:val="007F4C28"/>
    <w:rsid w:val="007F4C54"/>
    <w:rsid w:val="007F4C6D"/>
    <w:rsid w:val="007F4CC6"/>
    <w:rsid w:val="007F4D2E"/>
    <w:rsid w:val="007F4DB6"/>
    <w:rsid w:val="007F4DDD"/>
    <w:rsid w:val="007F4F69"/>
    <w:rsid w:val="007F50DA"/>
    <w:rsid w:val="007F5243"/>
    <w:rsid w:val="007F531B"/>
    <w:rsid w:val="007F547C"/>
    <w:rsid w:val="007F54E4"/>
    <w:rsid w:val="007F55ED"/>
    <w:rsid w:val="007F5661"/>
    <w:rsid w:val="007F5691"/>
    <w:rsid w:val="007F574F"/>
    <w:rsid w:val="007F5852"/>
    <w:rsid w:val="007F5988"/>
    <w:rsid w:val="007F5AA7"/>
    <w:rsid w:val="007F5ADA"/>
    <w:rsid w:val="007F5F1B"/>
    <w:rsid w:val="007F609E"/>
    <w:rsid w:val="007F60AA"/>
    <w:rsid w:val="007F60DA"/>
    <w:rsid w:val="007F652C"/>
    <w:rsid w:val="007F6580"/>
    <w:rsid w:val="007F6722"/>
    <w:rsid w:val="007F68A3"/>
    <w:rsid w:val="007F6966"/>
    <w:rsid w:val="007F6978"/>
    <w:rsid w:val="007F6D15"/>
    <w:rsid w:val="007F6D64"/>
    <w:rsid w:val="007F6DF7"/>
    <w:rsid w:val="007F7211"/>
    <w:rsid w:val="007F762F"/>
    <w:rsid w:val="007F79F2"/>
    <w:rsid w:val="007F7A20"/>
    <w:rsid w:val="007F7A37"/>
    <w:rsid w:val="007F7C01"/>
    <w:rsid w:val="007F7C1E"/>
    <w:rsid w:val="007F7C8B"/>
    <w:rsid w:val="0080001A"/>
    <w:rsid w:val="0080019E"/>
    <w:rsid w:val="00800366"/>
    <w:rsid w:val="008003A9"/>
    <w:rsid w:val="0080042E"/>
    <w:rsid w:val="00800477"/>
    <w:rsid w:val="008004AD"/>
    <w:rsid w:val="00800595"/>
    <w:rsid w:val="008005E2"/>
    <w:rsid w:val="0080079F"/>
    <w:rsid w:val="00800904"/>
    <w:rsid w:val="00800BE9"/>
    <w:rsid w:val="00800DFF"/>
    <w:rsid w:val="00800EA3"/>
    <w:rsid w:val="00801186"/>
    <w:rsid w:val="0080118D"/>
    <w:rsid w:val="008011A3"/>
    <w:rsid w:val="008011BE"/>
    <w:rsid w:val="00801303"/>
    <w:rsid w:val="008017EC"/>
    <w:rsid w:val="0080196D"/>
    <w:rsid w:val="00801A08"/>
    <w:rsid w:val="00801A74"/>
    <w:rsid w:val="00801C08"/>
    <w:rsid w:val="00801CEE"/>
    <w:rsid w:val="00801D62"/>
    <w:rsid w:val="00801E00"/>
    <w:rsid w:val="00801E8C"/>
    <w:rsid w:val="00801F0C"/>
    <w:rsid w:val="00802054"/>
    <w:rsid w:val="0080214E"/>
    <w:rsid w:val="00802699"/>
    <w:rsid w:val="008027CD"/>
    <w:rsid w:val="008029BC"/>
    <w:rsid w:val="00802A0A"/>
    <w:rsid w:val="00802AD0"/>
    <w:rsid w:val="00802BE0"/>
    <w:rsid w:val="00802C0E"/>
    <w:rsid w:val="00802CDE"/>
    <w:rsid w:val="00802D21"/>
    <w:rsid w:val="00802DA1"/>
    <w:rsid w:val="00802F05"/>
    <w:rsid w:val="008031E1"/>
    <w:rsid w:val="008034D6"/>
    <w:rsid w:val="00803616"/>
    <w:rsid w:val="0080363E"/>
    <w:rsid w:val="008036BB"/>
    <w:rsid w:val="0080379E"/>
    <w:rsid w:val="008038BA"/>
    <w:rsid w:val="00803A3A"/>
    <w:rsid w:val="00803E72"/>
    <w:rsid w:val="0080416D"/>
    <w:rsid w:val="008043C8"/>
    <w:rsid w:val="008046CF"/>
    <w:rsid w:val="00804751"/>
    <w:rsid w:val="00804852"/>
    <w:rsid w:val="008048EC"/>
    <w:rsid w:val="00804A8B"/>
    <w:rsid w:val="00804CC5"/>
    <w:rsid w:val="00804CDE"/>
    <w:rsid w:val="00804E9C"/>
    <w:rsid w:val="0080531D"/>
    <w:rsid w:val="0080536B"/>
    <w:rsid w:val="008055E6"/>
    <w:rsid w:val="008055EE"/>
    <w:rsid w:val="00805C29"/>
    <w:rsid w:val="00805C77"/>
    <w:rsid w:val="00805CF0"/>
    <w:rsid w:val="00805DF7"/>
    <w:rsid w:val="00806132"/>
    <w:rsid w:val="00806290"/>
    <w:rsid w:val="008062C3"/>
    <w:rsid w:val="00806345"/>
    <w:rsid w:val="00806429"/>
    <w:rsid w:val="00806668"/>
    <w:rsid w:val="0080690D"/>
    <w:rsid w:val="00806AD5"/>
    <w:rsid w:val="00806B99"/>
    <w:rsid w:val="00806CF1"/>
    <w:rsid w:val="00806DC6"/>
    <w:rsid w:val="00806DE0"/>
    <w:rsid w:val="00806DEE"/>
    <w:rsid w:val="00806EC1"/>
    <w:rsid w:val="0080729A"/>
    <w:rsid w:val="008072B6"/>
    <w:rsid w:val="0080789C"/>
    <w:rsid w:val="008078F1"/>
    <w:rsid w:val="00807972"/>
    <w:rsid w:val="00807ADF"/>
    <w:rsid w:val="00807D87"/>
    <w:rsid w:val="00807F26"/>
    <w:rsid w:val="00807F54"/>
    <w:rsid w:val="008100BB"/>
    <w:rsid w:val="00810447"/>
    <w:rsid w:val="00810452"/>
    <w:rsid w:val="00810465"/>
    <w:rsid w:val="008106DA"/>
    <w:rsid w:val="0081076E"/>
    <w:rsid w:val="0081107A"/>
    <w:rsid w:val="00811605"/>
    <w:rsid w:val="00811685"/>
    <w:rsid w:val="0081183F"/>
    <w:rsid w:val="00811870"/>
    <w:rsid w:val="00811943"/>
    <w:rsid w:val="00811A93"/>
    <w:rsid w:val="00811BCE"/>
    <w:rsid w:val="00811CBB"/>
    <w:rsid w:val="00811CFC"/>
    <w:rsid w:val="00811EB0"/>
    <w:rsid w:val="00811FDE"/>
    <w:rsid w:val="00812434"/>
    <w:rsid w:val="008124B5"/>
    <w:rsid w:val="008127A9"/>
    <w:rsid w:val="00812855"/>
    <w:rsid w:val="00812899"/>
    <w:rsid w:val="008128DF"/>
    <w:rsid w:val="00812962"/>
    <w:rsid w:val="00812B0E"/>
    <w:rsid w:val="00812C81"/>
    <w:rsid w:val="00812CC1"/>
    <w:rsid w:val="00812E1E"/>
    <w:rsid w:val="00813328"/>
    <w:rsid w:val="00813570"/>
    <w:rsid w:val="0081362E"/>
    <w:rsid w:val="00813CF6"/>
    <w:rsid w:val="008142B7"/>
    <w:rsid w:val="00814313"/>
    <w:rsid w:val="008144F2"/>
    <w:rsid w:val="00814624"/>
    <w:rsid w:val="00814753"/>
    <w:rsid w:val="0081476B"/>
    <w:rsid w:val="00814820"/>
    <w:rsid w:val="008148D2"/>
    <w:rsid w:val="00814A6E"/>
    <w:rsid w:val="00814AB4"/>
    <w:rsid w:val="00814B38"/>
    <w:rsid w:val="00814CBA"/>
    <w:rsid w:val="00814E74"/>
    <w:rsid w:val="00815159"/>
    <w:rsid w:val="00815283"/>
    <w:rsid w:val="00815305"/>
    <w:rsid w:val="00815308"/>
    <w:rsid w:val="008153A4"/>
    <w:rsid w:val="008153D5"/>
    <w:rsid w:val="008156BC"/>
    <w:rsid w:val="008156E3"/>
    <w:rsid w:val="00815910"/>
    <w:rsid w:val="008159B1"/>
    <w:rsid w:val="00815B75"/>
    <w:rsid w:val="00815C81"/>
    <w:rsid w:val="00815C99"/>
    <w:rsid w:val="00815EDB"/>
    <w:rsid w:val="00815EF0"/>
    <w:rsid w:val="00815EFA"/>
    <w:rsid w:val="00815FEA"/>
    <w:rsid w:val="00816036"/>
    <w:rsid w:val="008160F3"/>
    <w:rsid w:val="008163BF"/>
    <w:rsid w:val="008164CF"/>
    <w:rsid w:val="0081653A"/>
    <w:rsid w:val="00816727"/>
    <w:rsid w:val="00816749"/>
    <w:rsid w:val="008167D7"/>
    <w:rsid w:val="00816821"/>
    <w:rsid w:val="0081696B"/>
    <w:rsid w:val="00816C0A"/>
    <w:rsid w:val="0081704A"/>
    <w:rsid w:val="00817207"/>
    <w:rsid w:val="0081749D"/>
    <w:rsid w:val="008174FF"/>
    <w:rsid w:val="00817585"/>
    <w:rsid w:val="00817589"/>
    <w:rsid w:val="008175FD"/>
    <w:rsid w:val="00817992"/>
    <w:rsid w:val="00817A5F"/>
    <w:rsid w:val="00817B2A"/>
    <w:rsid w:val="00817B7B"/>
    <w:rsid w:val="00817CED"/>
    <w:rsid w:val="008200A5"/>
    <w:rsid w:val="00820279"/>
    <w:rsid w:val="00820324"/>
    <w:rsid w:val="008204D1"/>
    <w:rsid w:val="00820575"/>
    <w:rsid w:val="0082087E"/>
    <w:rsid w:val="0082089D"/>
    <w:rsid w:val="00820966"/>
    <w:rsid w:val="00820D00"/>
    <w:rsid w:val="00820E7F"/>
    <w:rsid w:val="00821490"/>
    <w:rsid w:val="00821A6C"/>
    <w:rsid w:val="00821B19"/>
    <w:rsid w:val="00821C55"/>
    <w:rsid w:val="00822021"/>
    <w:rsid w:val="0082217F"/>
    <w:rsid w:val="0082226C"/>
    <w:rsid w:val="008222E9"/>
    <w:rsid w:val="00822514"/>
    <w:rsid w:val="008226CF"/>
    <w:rsid w:val="0082272D"/>
    <w:rsid w:val="008227D8"/>
    <w:rsid w:val="0082290D"/>
    <w:rsid w:val="00822BFB"/>
    <w:rsid w:val="00822C3A"/>
    <w:rsid w:val="00822CE0"/>
    <w:rsid w:val="00822F7A"/>
    <w:rsid w:val="00823035"/>
    <w:rsid w:val="008232E9"/>
    <w:rsid w:val="0082334D"/>
    <w:rsid w:val="0082334E"/>
    <w:rsid w:val="0082348D"/>
    <w:rsid w:val="008234F7"/>
    <w:rsid w:val="008236CB"/>
    <w:rsid w:val="00823B29"/>
    <w:rsid w:val="00823D81"/>
    <w:rsid w:val="00824126"/>
    <w:rsid w:val="00824294"/>
    <w:rsid w:val="008242C2"/>
    <w:rsid w:val="00824590"/>
    <w:rsid w:val="00824638"/>
    <w:rsid w:val="00824721"/>
    <w:rsid w:val="00824885"/>
    <w:rsid w:val="00824C94"/>
    <w:rsid w:val="00824DBE"/>
    <w:rsid w:val="0082519E"/>
    <w:rsid w:val="008252BD"/>
    <w:rsid w:val="008255AC"/>
    <w:rsid w:val="00825661"/>
    <w:rsid w:val="008259A5"/>
    <w:rsid w:val="00825A66"/>
    <w:rsid w:val="00825AFC"/>
    <w:rsid w:val="00825B03"/>
    <w:rsid w:val="00825EC5"/>
    <w:rsid w:val="00825EF2"/>
    <w:rsid w:val="00826107"/>
    <w:rsid w:val="008262D2"/>
    <w:rsid w:val="008262E3"/>
    <w:rsid w:val="0082666A"/>
    <w:rsid w:val="00826723"/>
    <w:rsid w:val="00826768"/>
    <w:rsid w:val="00826794"/>
    <w:rsid w:val="008269A2"/>
    <w:rsid w:val="00826A71"/>
    <w:rsid w:val="00826B0B"/>
    <w:rsid w:val="00826BE4"/>
    <w:rsid w:val="00826D37"/>
    <w:rsid w:val="00826D72"/>
    <w:rsid w:val="00826D74"/>
    <w:rsid w:val="00826E0F"/>
    <w:rsid w:val="008274A2"/>
    <w:rsid w:val="008274B0"/>
    <w:rsid w:val="00827664"/>
    <w:rsid w:val="00827B0D"/>
    <w:rsid w:val="00827BEE"/>
    <w:rsid w:val="00827C1B"/>
    <w:rsid w:val="00827E90"/>
    <w:rsid w:val="00827FAF"/>
    <w:rsid w:val="0083022E"/>
    <w:rsid w:val="0083043C"/>
    <w:rsid w:val="00830648"/>
    <w:rsid w:val="00830867"/>
    <w:rsid w:val="0083096B"/>
    <w:rsid w:val="00830BF6"/>
    <w:rsid w:val="00830E28"/>
    <w:rsid w:val="00830F0A"/>
    <w:rsid w:val="00830F43"/>
    <w:rsid w:val="0083104D"/>
    <w:rsid w:val="008311A3"/>
    <w:rsid w:val="008311B8"/>
    <w:rsid w:val="0083125A"/>
    <w:rsid w:val="008312F5"/>
    <w:rsid w:val="00831389"/>
    <w:rsid w:val="008314CA"/>
    <w:rsid w:val="00831922"/>
    <w:rsid w:val="00831BC4"/>
    <w:rsid w:val="00831D14"/>
    <w:rsid w:val="00831E0B"/>
    <w:rsid w:val="00831F69"/>
    <w:rsid w:val="00832389"/>
    <w:rsid w:val="00832519"/>
    <w:rsid w:val="00832628"/>
    <w:rsid w:val="00832662"/>
    <w:rsid w:val="0083269B"/>
    <w:rsid w:val="00832801"/>
    <w:rsid w:val="00832972"/>
    <w:rsid w:val="00832976"/>
    <w:rsid w:val="00832ACF"/>
    <w:rsid w:val="00832C5F"/>
    <w:rsid w:val="00832E35"/>
    <w:rsid w:val="00832F78"/>
    <w:rsid w:val="00832FCF"/>
    <w:rsid w:val="00833108"/>
    <w:rsid w:val="00833309"/>
    <w:rsid w:val="00833347"/>
    <w:rsid w:val="008336CC"/>
    <w:rsid w:val="0083373D"/>
    <w:rsid w:val="008337A4"/>
    <w:rsid w:val="00833985"/>
    <w:rsid w:val="00833A5B"/>
    <w:rsid w:val="00833D44"/>
    <w:rsid w:val="00833E16"/>
    <w:rsid w:val="00833EE9"/>
    <w:rsid w:val="0083403F"/>
    <w:rsid w:val="008340E0"/>
    <w:rsid w:val="00834243"/>
    <w:rsid w:val="00834244"/>
    <w:rsid w:val="00834336"/>
    <w:rsid w:val="00834349"/>
    <w:rsid w:val="0083438C"/>
    <w:rsid w:val="00834453"/>
    <w:rsid w:val="008344A3"/>
    <w:rsid w:val="00834527"/>
    <w:rsid w:val="00834800"/>
    <w:rsid w:val="00834B32"/>
    <w:rsid w:val="00834BB6"/>
    <w:rsid w:val="00834BF4"/>
    <w:rsid w:val="00834CC0"/>
    <w:rsid w:val="00834E95"/>
    <w:rsid w:val="00834ED1"/>
    <w:rsid w:val="00834EF9"/>
    <w:rsid w:val="00834F3E"/>
    <w:rsid w:val="0083502B"/>
    <w:rsid w:val="008350AA"/>
    <w:rsid w:val="008359B3"/>
    <w:rsid w:val="00835B4B"/>
    <w:rsid w:val="00835D70"/>
    <w:rsid w:val="00835DFE"/>
    <w:rsid w:val="00835FBC"/>
    <w:rsid w:val="00835FCC"/>
    <w:rsid w:val="00836013"/>
    <w:rsid w:val="008360E1"/>
    <w:rsid w:val="0083619F"/>
    <w:rsid w:val="00836393"/>
    <w:rsid w:val="00836490"/>
    <w:rsid w:val="00836493"/>
    <w:rsid w:val="00836789"/>
    <w:rsid w:val="008367A1"/>
    <w:rsid w:val="00836835"/>
    <w:rsid w:val="00836AAF"/>
    <w:rsid w:val="00836D8C"/>
    <w:rsid w:val="00836E55"/>
    <w:rsid w:val="00836F4A"/>
    <w:rsid w:val="00837193"/>
    <w:rsid w:val="008373F2"/>
    <w:rsid w:val="008374C4"/>
    <w:rsid w:val="0083763E"/>
    <w:rsid w:val="00837732"/>
    <w:rsid w:val="00837F0F"/>
    <w:rsid w:val="00840348"/>
    <w:rsid w:val="008405C2"/>
    <w:rsid w:val="00840691"/>
    <w:rsid w:val="00840773"/>
    <w:rsid w:val="008407BF"/>
    <w:rsid w:val="00840872"/>
    <w:rsid w:val="0084089D"/>
    <w:rsid w:val="0084098C"/>
    <w:rsid w:val="008409A0"/>
    <w:rsid w:val="00840B48"/>
    <w:rsid w:val="00840B76"/>
    <w:rsid w:val="00840CD9"/>
    <w:rsid w:val="00840D38"/>
    <w:rsid w:val="00840FFB"/>
    <w:rsid w:val="00841127"/>
    <w:rsid w:val="00841131"/>
    <w:rsid w:val="008413D5"/>
    <w:rsid w:val="0084140B"/>
    <w:rsid w:val="00841510"/>
    <w:rsid w:val="0084159A"/>
    <w:rsid w:val="008415D3"/>
    <w:rsid w:val="008415EA"/>
    <w:rsid w:val="008415F0"/>
    <w:rsid w:val="0084171D"/>
    <w:rsid w:val="008418B7"/>
    <w:rsid w:val="00841996"/>
    <w:rsid w:val="00841A15"/>
    <w:rsid w:val="00841A2C"/>
    <w:rsid w:val="00841A6D"/>
    <w:rsid w:val="00841A74"/>
    <w:rsid w:val="00841B20"/>
    <w:rsid w:val="00841E0D"/>
    <w:rsid w:val="00841E3C"/>
    <w:rsid w:val="00841FB3"/>
    <w:rsid w:val="008421B4"/>
    <w:rsid w:val="00842283"/>
    <w:rsid w:val="00842686"/>
    <w:rsid w:val="008426FD"/>
    <w:rsid w:val="008427D9"/>
    <w:rsid w:val="008429D1"/>
    <w:rsid w:val="00842A51"/>
    <w:rsid w:val="00842A53"/>
    <w:rsid w:val="00842C9F"/>
    <w:rsid w:val="0084302A"/>
    <w:rsid w:val="0084363D"/>
    <w:rsid w:val="00843657"/>
    <w:rsid w:val="00843BE0"/>
    <w:rsid w:val="00843F0B"/>
    <w:rsid w:val="00843FDA"/>
    <w:rsid w:val="0084462B"/>
    <w:rsid w:val="00844654"/>
    <w:rsid w:val="00844794"/>
    <w:rsid w:val="0084488E"/>
    <w:rsid w:val="008448DF"/>
    <w:rsid w:val="00844977"/>
    <w:rsid w:val="008449FB"/>
    <w:rsid w:val="00844A48"/>
    <w:rsid w:val="00844B3E"/>
    <w:rsid w:val="00844C75"/>
    <w:rsid w:val="00844E85"/>
    <w:rsid w:val="008454F2"/>
    <w:rsid w:val="0084564A"/>
    <w:rsid w:val="00845735"/>
    <w:rsid w:val="008458AA"/>
    <w:rsid w:val="008459D1"/>
    <w:rsid w:val="00845B3C"/>
    <w:rsid w:val="00845D55"/>
    <w:rsid w:val="00845E0C"/>
    <w:rsid w:val="00845F24"/>
    <w:rsid w:val="00846186"/>
    <w:rsid w:val="00846321"/>
    <w:rsid w:val="008463FB"/>
    <w:rsid w:val="008464A6"/>
    <w:rsid w:val="008465E3"/>
    <w:rsid w:val="008465E4"/>
    <w:rsid w:val="0084663C"/>
    <w:rsid w:val="00846933"/>
    <w:rsid w:val="00846B32"/>
    <w:rsid w:val="00846BD9"/>
    <w:rsid w:val="00846BFC"/>
    <w:rsid w:val="00846C7B"/>
    <w:rsid w:val="00846F26"/>
    <w:rsid w:val="00846FDB"/>
    <w:rsid w:val="00847175"/>
    <w:rsid w:val="00847216"/>
    <w:rsid w:val="00847280"/>
    <w:rsid w:val="00847C0D"/>
    <w:rsid w:val="00847C9B"/>
    <w:rsid w:val="00847C9C"/>
    <w:rsid w:val="00847CBF"/>
    <w:rsid w:val="00847D8A"/>
    <w:rsid w:val="00847EF1"/>
    <w:rsid w:val="00850126"/>
    <w:rsid w:val="008501E2"/>
    <w:rsid w:val="0085037E"/>
    <w:rsid w:val="00850510"/>
    <w:rsid w:val="00850748"/>
    <w:rsid w:val="00850986"/>
    <w:rsid w:val="00850A99"/>
    <w:rsid w:val="00850C17"/>
    <w:rsid w:val="00850C26"/>
    <w:rsid w:val="00850E57"/>
    <w:rsid w:val="008512EE"/>
    <w:rsid w:val="00851319"/>
    <w:rsid w:val="00851547"/>
    <w:rsid w:val="008515A7"/>
    <w:rsid w:val="00851759"/>
    <w:rsid w:val="008517D3"/>
    <w:rsid w:val="008517EA"/>
    <w:rsid w:val="008518AD"/>
    <w:rsid w:val="008519CB"/>
    <w:rsid w:val="00851AE3"/>
    <w:rsid w:val="00851C2C"/>
    <w:rsid w:val="00851E23"/>
    <w:rsid w:val="00851E41"/>
    <w:rsid w:val="00851EF4"/>
    <w:rsid w:val="00851F22"/>
    <w:rsid w:val="00851F89"/>
    <w:rsid w:val="008520D9"/>
    <w:rsid w:val="008520FA"/>
    <w:rsid w:val="0085213C"/>
    <w:rsid w:val="00852151"/>
    <w:rsid w:val="00852326"/>
    <w:rsid w:val="00852349"/>
    <w:rsid w:val="008524A1"/>
    <w:rsid w:val="0085257E"/>
    <w:rsid w:val="00852717"/>
    <w:rsid w:val="0085276F"/>
    <w:rsid w:val="008527AF"/>
    <w:rsid w:val="00852979"/>
    <w:rsid w:val="00852989"/>
    <w:rsid w:val="00852992"/>
    <w:rsid w:val="00852DE5"/>
    <w:rsid w:val="00852EA1"/>
    <w:rsid w:val="008532DE"/>
    <w:rsid w:val="00853382"/>
    <w:rsid w:val="008534F0"/>
    <w:rsid w:val="0085350D"/>
    <w:rsid w:val="00853602"/>
    <w:rsid w:val="008536F7"/>
    <w:rsid w:val="00853974"/>
    <w:rsid w:val="00853AB3"/>
    <w:rsid w:val="00853AEC"/>
    <w:rsid w:val="00853AF2"/>
    <w:rsid w:val="00853C26"/>
    <w:rsid w:val="00853D28"/>
    <w:rsid w:val="00853D84"/>
    <w:rsid w:val="0085417F"/>
    <w:rsid w:val="008542CF"/>
    <w:rsid w:val="008542D8"/>
    <w:rsid w:val="0085438B"/>
    <w:rsid w:val="008543D4"/>
    <w:rsid w:val="00854668"/>
    <w:rsid w:val="00854699"/>
    <w:rsid w:val="008548EA"/>
    <w:rsid w:val="00854937"/>
    <w:rsid w:val="0085495A"/>
    <w:rsid w:val="00854AB0"/>
    <w:rsid w:val="00854AB9"/>
    <w:rsid w:val="00854BEA"/>
    <w:rsid w:val="00854E00"/>
    <w:rsid w:val="00854E0F"/>
    <w:rsid w:val="00855074"/>
    <w:rsid w:val="008551B3"/>
    <w:rsid w:val="008553B9"/>
    <w:rsid w:val="008553E6"/>
    <w:rsid w:val="00855404"/>
    <w:rsid w:val="00855504"/>
    <w:rsid w:val="00855590"/>
    <w:rsid w:val="008556DD"/>
    <w:rsid w:val="0085594E"/>
    <w:rsid w:val="00855C2F"/>
    <w:rsid w:val="00855CBF"/>
    <w:rsid w:val="00855FD8"/>
    <w:rsid w:val="008562F6"/>
    <w:rsid w:val="0085635D"/>
    <w:rsid w:val="00856626"/>
    <w:rsid w:val="0085682E"/>
    <w:rsid w:val="00856A15"/>
    <w:rsid w:val="00856AEF"/>
    <w:rsid w:val="00856B54"/>
    <w:rsid w:val="00856D16"/>
    <w:rsid w:val="00856F2F"/>
    <w:rsid w:val="0085708C"/>
    <w:rsid w:val="008570D5"/>
    <w:rsid w:val="0085722D"/>
    <w:rsid w:val="0085725F"/>
    <w:rsid w:val="008575B0"/>
    <w:rsid w:val="008575C6"/>
    <w:rsid w:val="008575E6"/>
    <w:rsid w:val="0085766B"/>
    <w:rsid w:val="00857861"/>
    <w:rsid w:val="00857969"/>
    <w:rsid w:val="00857B50"/>
    <w:rsid w:val="00857C45"/>
    <w:rsid w:val="00857C69"/>
    <w:rsid w:val="00857C76"/>
    <w:rsid w:val="00857CF4"/>
    <w:rsid w:val="00857E5B"/>
    <w:rsid w:val="00857E64"/>
    <w:rsid w:val="00857EE6"/>
    <w:rsid w:val="008600F7"/>
    <w:rsid w:val="008602F4"/>
    <w:rsid w:val="008604CA"/>
    <w:rsid w:val="0086065E"/>
    <w:rsid w:val="00860960"/>
    <w:rsid w:val="00860B46"/>
    <w:rsid w:val="00860D58"/>
    <w:rsid w:val="00860DB8"/>
    <w:rsid w:val="00860EAA"/>
    <w:rsid w:val="00860EDE"/>
    <w:rsid w:val="00861090"/>
    <w:rsid w:val="008613D7"/>
    <w:rsid w:val="00861596"/>
    <w:rsid w:val="0086177D"/>
    <w:rsid w:val="0086190C"/>
    <w:rsid w:val="00861953"/>
    <w:rsid w:val="00861A0C"/>
    <w:rsid w:val="00861A58"/>
    <w:rsid w:val="00861AA0"/>
    <w:rsid w:val="00861C1C"/>
    <w:rsid w:val="00861CD4"/>
    <w:rsid w:val="00861DD8"/>
    <w:rsid w:val="00861EF4"/>
    <w:rsid w:val="008622E4"/>
    <w:rsid w:val="00862508"/>
    <w:rsid w:val="00862514"/>
    <w:rsid w:val="00862700"/>
    <w:rsid w:val="008627E3"/>
    <w:rsid w:val="00862A51"/>
    <w:rsid w:val="00862A9B"/>
    <w:rsid w:val="00862B5D"/>
    <w:rsid w:val="00862B91"/>
    <w:rsid w:val="00862D90"/>
    <w:rsid w:val="00863026"/>
    <w:rsid w:val="0086337B"/>
    <w:rsid w:val="00863571"/>
    <w:rsid w:val="008635EC"/>
    <w:rsid w:val="00863731"/>
    <w:rsid w:val="00863810"/>
    <w:rsid w:val="00863E99"/>
    <w:rsid w:val="00863F02"/>
    <w:rsid w:val="00863F1F"/>
    <w:rsid w:val="00863F76"/>
    <w:rsid w:val="00864163"/>
    <w:rsid w:val="008642AC"/>
    <w:rsid w:val="00864385"/>
    <w:rsid w:val="00864466"/>
    <w:rsid w:val="00864471"/>
    <w:rsid w:val="008647F5"/>
    <w:rsid w:val="008649DA"/>
    <w:rsid w:val="00864AC2"/>
    <w:rsid w:val="00864D8E"/>
    <w:rsid w:val="00864F53"/>
    <w:rsid w:val="00864FD0"/>
    <w:rsid w:val="0086503E"/>
    <w:rsid w:val="008652EF"/>
    <w:rsid w:val="008653B8"/>
    <w:rsid w:val="00865474"/>
    <w:rsid w:val="00865533"/>
    <w:rsid w:val="008656FA"/>
    <w:rsid w:val="0086570B"/>
    <w:rsid w:val="00865840"/>
    <w:rsid w:val="0086587D"/>
    <w:rsid w:val="008658F9"/>
    <w:rsid w:val="00865A12"/>
    <w:rsid w:val="00865A6D"/>
    <w:rsid w:val="00865AD7"/>
    <w:rsid w:val="00865B46"/>
    <w:rsid w:val="00865B7E"/>
    <w:rsid w:val="00865BAC"/>
    <w:rsid w:val="008661AF"/>
    <w:rsid w:val="008661CC"/>
    <w:rsid w:val="008663DA"/>
    <w:rsid w:val="00866776"/>
    <w:rsid w:val="00866885"/>
    <w:rsid w:val="0086688A"/>
    <w:rsid w:val="008668F7"/>
    <w:rsid w:val="008669D9"/>
    <w:rsid w:val="008669E9"/>
    <w:rsid w:val="00866A39"/>
    <w:rsid w:val="00866E3E"/>
    <w:rsid w:val="0086705A"/>
    <w:rsid w:val="0086721B"/>
    <w:rsid w:val="0086750D"/>
    <w:rsid w:val="008675A6"/>
    <w:rsid w:val="00867644"/>
    <w:rsid w:val="00867DD0"/>
    <w:rsid w:val="00867FCF"/>
    <w:rsid w:val="00870008"/>
    <w:rsid w:val="0087002B"/>
    <w:rsid w:val="0087012B"/>
    <w:rsid w:val="008701B1"/>
    <w:rsid w:val="0087030C"/>
    <w:rsid w:val="00870842"/>
    <w:rsid w:val="00870884"/>
    <w:rsid w:val="008709E2"/>
    <w:rsid w:val="00870C99"/>
    <w:rsid w:val="00870D05"/>
    <w:rsid w:val="00870EBC"/>
    <w:rsid w:val="008712D4"/>
    <w:rsid w:val="008713E4"/>
    <w:rsid w:val="00871428"/>
    <w:rsid w:val="00871717"/>
    <w:rsid w:val="00871795"/>
    <w:rsid w:val="008717AC"/>
    <w:rsid w:val="00871910"/>
    <w:rsid w:val="00871920"/>
    <w:rsid w:val="00871928"/>
    <w:rsid w:val="00871956"/>
    <w:rsid w:val="00871C92"/>
    <w:rsid w:val="00871CD5"/>
    <w:rsid w:val="00871E59"/>
    <w:rsid w:val="00871F33"/>
    <w:rsid w:val="00871F95"/>
    <w:rsid w:val="0087201A"/>
    <w:rsid w:val="008724AA"/>
    <w:rsid w:val="008726C3"/>
    <w:rsid w:val="00872766"/>
    <w:rsid w:val="00872828"/>
    <w:rsid w:val="008729AC"/>
    <w:rsid w:val="00872A38"/>
    <w:rsid w:val="00872A96"/>
    <w:rsid w:val="00872DB0"/>
    <w:rsid w:val="00873071"/>
    <w:rsid w:val="00873147"/>
    <w:rsid w:val="008731EB"/>
    <w:rsid w:val="00873375"/>
    <w:rsid w:val="008734AB"/>
    <w:rsid w:val="008736C1"/>
    <w:rsid w:val="0087392C"/>
    <w:rsid w:val="008739BD"/>
    <w:rsid w:val="00873A8D"/>
    <w:rsid w:val="00873D93"/>
    <w:rsid w:val="00873E92"/>
    <w:rsid w:val="00873E98"/>
    <w:rsid w:val="00873F2E"/>
    <w:rsid w:val="00873FA8"/>
    <w:rsid w:val="0087400D"/>
    <w:rsid w:val="00874122"/>
    <w:rsid w:val="0087412A"/>
    <w:rsid w:val="008741A0"/>
    <w:rsid w:val="008741CA"/>
    <w:rsid w:val="008742DC"/>
    <w:rsid w:val="008743BE"/>
    <w:rsid w:val="008743E1"/>
    <w:rsid w:val="0087481B"/>
    <w:rsid w:val="0087486D"/>
    <w:rsid w:val="00874AED"/>
    <w:rsid w:val="00874B86"/>
    <w:rsid w:val="00874C7E"/>
    <w:rsid w:val="00874CB8"/>
    <w:rsid w:val="00874EDB"/>
    <w:rsid w:val="0087503E"/>
    <w:rsid w:val="00875094"/>
    <w:rsid w:val="008751B3"/>
    <w:rsid w:val="00875218"/>
    <w:rsid w:val="0087541F"/>
    <w:rsid w:val="0087566E"/>
    <w:rsid w:val="008756AF"/>
    <w:rsid w:val="008756D1"/>
    <w:rsid w:val="00875794"/>
    <w:rsid w:val="00875874"/>
    <w:rsid w:val="008759C2"/>
    <w:rsid w:val="008759E6"/>
    <w:rsid w:val="00875A14"/>
    <w:rsid w:val="00875BF7"/>
    <w:rsid w:val="00875F6F"/>
    <w:rsid w:val="00876197"/>
    <w:rsid w:val="008761BD"/>
    <w:rsid w:val="0087626B"/>
    <w:rsid w:val="008763FB"/>
    <w:rsid w:val="0087644B"/>
    <w:rsid w:val="008764AC"/>
    <w:rsid w:val="008765B4"/>
    <w:rsid w:val="0087663A"/>
    <w:rsid w:val="008767C1"/>
    <w:rsid w:val="00876982"/>
    <w:rsid w:val="00876A5D"/>
    <w:rsid w:val="00876B11"/>
    <w:rsid w:val="00876B45"/>
    <w:rsid w:val="00876BED"/>
    <w:rsid w:val="00876EDA"/>
    <w:rsid w:val="008771C6"/>
    <w:rsid w:val="00877208"/>
    <w:rsid w:val="00877390"/>
    <w:rsid w:val="008776C8"/>
    <w:rsid w:val="008776D2"/>
    <w:rsid w:val="00877899"/>
    <w:rsid w:val="00877AFF"/>
    <w:rsid w:val="00877BC0"/>
    <w:rsid w:val="00877C35"/>
    <w:rsid w:val="00877E2B"/>
    <w:rsid w:val="00877F66"/>
    <w:rsid w:val="008800CB"/>
    <w:rsid w:val="0088030A"/>
    <w:rsid w:val="008803A7"/>
    <w:rsid w:val="00880462"/>
    <w:rsid w:val="008804F8"/>
    <w:rsid w:val="0088056F"/>
    <w:rsid w:val="00880A11"/>
    <w:rsid w:val="00880D9D"/>
    <w:rsid w:val="00880DC3"/>
    <w:rsid w:val="00880E7D"/>
    <w:rsid w:val="00880EC7"/>
    <w:rsid w:val="00881109"/>
    <w:rsid w:val="0088110D"/>
    <w:rsid w:val="00881308"/>
    <w:rsid w:val="008813FF"/>
    <w:rsid w:val="008814F8"/>
    <w:rsid w:val="00881601"/>
    <w:rsid w:val="00881752"/>
    <w:rsid w:val="008817AB"/>
    <w:rsid w:val="00881927"/>
    <w:rsid w:val="008819AC"/>
    <w:rsid w:val="00881D60"/>
    <w:rsid w:val="00881DC5"/>
    <w:rsid w:val="00881E15"/>
    <w:rsid w:val="00881ED8"/>
    <w:rsid w:val="00881FA1"/>
    <w:rsid w:val="008820EA"/>
    <w:rsid w:val="008821B8"/>
    <w:rsid w:val="00882227"/>
    <w:rsid w:val="0088246D"/>
    <w:rsid w:val="00882478"/>
    <w:rsid w:val="00882597"/>
    <w:rsid w:val="00882628"/>
    <w:rsid w:val="00882700"/>
    <w:rsid w:val="00882821"/>
    <w:rsid w:val="0088297B"/>
    <w:rsid w:val="00882AC6"/>
    <w:rsid w:val="00882CC4"/>
    <w:rsid w:val="00882D81"/>
    <w:rsid w:val="00882D97"/>
    <w:rsid w:val="00882DAA"/>
    <w:rsid w:val="00882E1E"/>
    <w:rsid w:val="00882E3F"/>
    <w:rsid w:val="00882E8D"/>
    <w:rsid w:val="00882F81"/>
    <w:rsid w:val="00883197"/>
    <w:rsid w:val="0088326A"/>
    <w:rsid w:val="00883359"/>
    <w:rsid w:val="0088338F"/>
    <w:rsid w:val="00883512"/>
    <w:rsid w:val="00883540"/>
    <w:rsid w:val="008835EC"/>
    <w:rsid w:val="00883763"/>
    <w:rsid w:val="0088377F"/>
    <w:rsid w:val="00883811"/>
    <w:rsid w:val="00883BE1"/>
    <w:rsid w:val="00883C52"/>
    <w:rsid w:val="00883DD9"/>
    <w:rsid w:val="00884350"/>
    <w:rsid w:val="008844AC"/>
    <w:rsid w:val="008848AB"/>
    <w:rsid w:val="0088495C"/>
    <w:rsid w:val="00884B0C"/>
    <w:rsid w:val="00884C5A"/>
    <w:rsid w:val="00884D4D"/>
    <w:rsid w:val="00885413"/>
    <w:rsid w:val="00885785"/>
    <w:rsid w:val="00885D2F"/>
    <w:rsid w:val="00886017"/>
    <w:rsid w:val="00886159"/>
    <w:rsid w:val="00886160"/>
    <w:rsid w:val="008862C2"/>
    <w:rsid w:val="008862DE"/>
    <w:rsid w:val="0088647F"/>
    <w:rsid w:val="00886588"/>
    <w:rsid w:val="00886821"/>
    <w:rsid w:val="00886859"/>
    <w:rsid w:val="0088691D"/>
    <w:rsid w:val="00886B59"/>
    <w:rsid w:val="00886CC2"/>
    <w:rsid w:val="00886DFA"/>
    <w:rsid w:val="00886E24"/>
    <w:rsid w:val="00886E76"/>
    <w:rsid w:val="00886EF6"/>
    <w:rsid w:val="00886F1C"/>
    <w:rsid w:val="00886F28"/>
    <w:rsid w:val="00886FBC"/>
    <w:rsid w:val="008870CD"/>
    <w:rsid w:val="00887333"/>
    <w:rsid w:val="00887339"/>
    <w:rsid w:val="0088738A"/>
    <w:rsid w:val="00887492"/>
    <w:rsid w:val="008874CC"/>
    <w:rsid w:val="008875BF"/>
    <w:rsid w:val="008875DD"/>
    <w:rsid w:val="008876CF"/>
    <w:rsid w:val="008876FB"/>
    <w:rsid w:val="00887819"/>
    <w:rsid w:val="00887876"/>
    <w:rsid w:val="00887899"/>
    <w:rsid w:val="008879AB"/>
    <w:rsid w:val="008879EF"/>
    <w:rsid w:val="00887AAC"/>
    <w:rsid w:val="00887B2E"/>
    <w:rsid w:val="00887B54"/>
    <w:rsid w:val="00887E9E"/>
    <w:rsid w:val="0089013A"/>
    <w:rsid w:val="0089030B"/>
    <w:rsid w:val="008905E4"/>
    <w:rsid w:val="00890644"/>
    <w:rsid w:val="00890874"/>
    <w:rsid w:val="00890947"/>
    <w:rsid w:val="00890AB5"/>
    <w:rsid w:val="00890AEF"/>
    <w:rsid w:val="00890E87"/>
    <w:rsid w:val="00890F1B"/>
    <w:rsid w:val="008910E9"/>
    <w:rsid w:val="008912D6"/>
    <w:rsid w:val="008912E6"/>
    <w:rsid w:val="008914C5"/>
    <w:rsid w:val="008919CD"/>
    <w:rsid w:val="00891BF0"/>
    <w:rsid w:val="00891CB8"/>
    <w:rsid w:val="008920AC"/>
    <w:rsid w:val="008920EF"/>
    <w:rsid w:val="00892180"/>
    <w:rsid w:val="0089218E"/>
    <w:rsid w:val="008921D0"/>
    <w:rsid w:val="008922B7"/>
    <w:rsid w:val="008922E2"/>
    <w:rsid w:val="008922F4"/>
    <w:rsid w:val="008923EB"/>
    <w:rsid w:val="00892661"/>
    <w:rsid w:val="008929A9"/>
    <w:rsid w:val="008929F6"/>
    <w:rsid w:val="00892E0A"/>
    <w:rsid w:val="00893253"/>
    <w:rsid w:val="008933E1"/>
    <w:rsid w:val="00893464"/>
    <w:rsid w:val="00893629"/>
    <w:rsid w:val="008937FA"/>
    <w:rsid w:val="008937FC"/>
    <w:rsid w:val="00893E63"/>
    <w:rsid w:val="0089411A"/>
    <w:rsid w:val="0089420B"/>
    <w:rsid w:val="00894256"/>
    <w:rsid w:val="00894353"/>
    <w:rsid w:val="00894598"/>
    <w:rsid w:val="0089473B"/>
    <w:rsid w:val="0089477A"/>
    <w:rsid w:val="00894AB9"/>
    <w:rsid w:val="00894B88"/>
    <w:rsid w:val="00894BC5"/>
    <w:rsid w:val="00894C78"/>
    <w:rsid w:val="00894F6E"/>
    <w:rsid w:val="0089532B"/>
    <w:rsid w:val="008954DD"/>
    <w:rsid w:val="0089555B"/>
    <w:rsid w:val="008956A9"/>
    <w:rsid w:val="008956E0"/>
    <w:rsid w:val="008956EE"/>
    <w:rsid w:val="0089576C"/>
    <w:rsid w:val="008958FA"/>
    <w:rsid w:val="0089594C"/>
    <w:rsid w:val="00895965"/>
    <w:rsid w:val="00895995"/>
    <w:rsid w:val="00895D98"/>
    <w:rsid w:val="00895F66"/>
    <w:rsid w:val="00895F8E"/>
    <w:rsid w:val="0089600D"/>
    <w:rsid w:val="008960AE"/>
    <w:rsid w:val="00896137"/>
    <w:rsid w:val="008961AC"/>
    <w:rsid w:val="008964EA"/>
    <w:rsid w:val="0089670C"/>
    <w:rsid w:val="008968CF"/>
    <w:rsid w:val="00896A04"/>
    <w:rsid w:val="00896A16"/>
    <w:rsid w:val="00896CC3"/>
    <w:rsid w:val="00896E55"/>
    <w:rsid w:val="00896EC2"/>
    <w:rsid w:val="00896F33"/>
    <w:rsid w:val="00897378"/>
    <w:rsid w:val="008973AC"/>
    <w:rsid w:val="00897416"/>
    <w:rsid w:val="00897892"/>
    <w:rsid w:val="00897912"/>
    <w:rsid w:val="00897933"/>
    <w:rsid w:val="008979DA"/>
    <w:rsid w:val="00897AEA"/>
    <w:rsid w:val="00897F46"/>
    <w:rsid w:val="008A008C"/>
    <w:rsid w:val="008A0099"/>
    <w:rsid w:val="008A0254"/>
    <w:rsid w:val="008A0318"/>
    <w:rsid w:val="008A0517"/>
    <w:rsid w:val="008A05B1"/>
    <w:rsid w:val="008A06B8"/>
    <w:rsid w:val="008A06E3"/>
    <w:rsid w:val="008A0705"/>
    <w:rsid w:val="008A082A"/>
    <w:rsid w:val="008A0EDF"/>
    <w:rsid w:val="008A1149"/>
    <w:rsid w:val="008A1228"/>
    <w:rsid w:val="008A1552"/>
    <w:rsid w:val="008A17CA"/>
    <w:rsid w:val="008A19B8"/>
    <w:rsid w:val="008A1A05"/>
    <w:rsid w:val="008A1A1C"/>
    <w:rsid w:val="008A1C0B"/>
    <w:rsid w:val="008A1CDF"/>
    <w:rsid w:val="008A1DC4"/>
    <w:rsid w:val="008A2054"/>
    <w:rsid w:val="008A208F"/>
    <w:rsid w:val="008A2385"/>
    <w:rsid w:val="008A24B3"/>
    <w:rsid w:val="008A27FD"/>
    <w:rsid w:val="008A29DE"/>
    <w:rsid w:val="008A2C9F"/>
    <w:rsid w:val="008A2D96"/>
    <w:rsid w:val="008A2EF5"/>
    <w:rsid w:val="008A2F21"/>
    <w:rsid w:val="008A2FB0"/>
    <w:rsid w:val="008A3447"/>
    <w:rsid w:val="008A3583"/>
    <w:rsid w:val="008A359E"/>
    <w:rsid w:val="008A3660"/>
    <w:rsid w:val="008A36EB"/>
    <w:rsid w:val="008A3863"/>
    <w:rsid w:val="008A3AAC"/>
    <w:rsid w:val="008A3AFF"/>
    <w:rsid w:val="008A3FD9"/>
    <w:rsid w:val="008A40F7"/>
    <w:rsid w:val="008A427D"/>
    <w:rsid w:val="008A43F9"/>
    <w:rsid w:val="008A463C"/>
    <w:rsid w:val="008A4AE7"/>
    <w:rsid w:val="008A4B28"/>
    <w:rsid w:val="008A4DD3"/>
    <w:rsid w:val="008A4E6E"/>
    <w:rsid w:val="008A4FFC"/>
    <w:rsid w:val="008A505F"/>
    <w:rsid w:val="008A55D5"/>
    <w:rsid w:val="008A5764"/>
    <w:rsid w:val="008A5802"/>
    <w:rsid w:val="008A59D0"/>
    <w:rsid w:val="008A5A5F"/>
    <w:rsid w:val="008A5A80"/>
    <w:rsid w:val="008A5B00"/>
    <w:rsid w:val="008A5BFA"/>
    <w:rsid w:val="008A5C0F"/>
    <w:rsid w:val="008A5C5F"/>
    <w:rsid w:val="008A5D93"/>
    <w:rsid w:val="008A60AD"/>
    <w:rsid w:val="008A628E"/>
    <w:rsid w:val="008A62FF"/>
    <w:rsid w:val="008A6617"/>
    <w:rsid w:val="008A67B3"/>
    <w:rsid w:val="008A6805"/>
    <w:rsid w:val="008A6840"/>
    <w:rsid w:val="008A68E3"/>
    <w:rsid w:val="008A6A4E"/>
    <w:rsid w:val="008A6A7D"/>
    <w:rsid w:val="008A6D1D"/>
    <w:rsid w:val="008A6D51"/>
    <w:rsid w:val="008A6DB6"/>
    <w:rsid w:val="008A6ECB"/>
    <w:rsid w:val="008A6FAD"/>
    <w:rsid w:val="008A71FC"/>
    <w:rsid w:val="008A741D"/>
    <w:rsid w:val="008A74B9"/>
    <w:rsid w:val="008A7588"/>
    <w:rsid w:val="008A7749"/>
    <w:rsid w:val="008A77F1"/>
    <w:rsid w:val="008A783B"/>
    <w:rsid w:val="008A7A25"/>
    <w:rsid w:val="008A7AB0"/>
    <w:rsid w:val="008A7DD3"/>
    <w:rsid w:val="008A7E87"/>
    <w:rsid w:val="008A7E9E"/>
    <w:rsid w:val="008B0018"/>
    <w:rsid w:val="008B00CC"/>
    <w:rsid w:val="008B02B7"/>
    <w:rsid w:val="008B05A4"/>
    <w:rsid w:val="008B0616"/>
    <w:rsid w:val="008B06ED"/>
    <w:rsid w:val="008B0761"/>
    <w:rsid w:val="008B0896"/>
    <w:rsid w:val="008B0B2C"/>
    <w:rsid w:val="008B0C6D"/>
    <w:rsid w:val="008B0CBD"/>
    <w:rsid w:val="008B0D32"/>
    <w:rsid w:val="008B0D46"/>
    <w:rsid w:val="008B0EDF"/>
    <w:rsid w:val="008B0F6B"/>
    <w:rsid w:val="008B10FF"/>
    <w:rsid w:val="008B1183"/>
    <w:rsid w:val="008B14B8"/>
    <w:rsid w:val="008B14E8"/>
    <w:rsid w:val="008B1631"/>
    <w:rsid w:val="008B1729"/>
    <w:rsid w:val="008B1A2A"/>
    <w:rsid w:val="008B1AE6"/>
    <w:rsid w:val="008B1C2C"/>
    <w:rsid w:val="008B1D45"/>
    <w:rsid w:val="008B1DC3"/>
    <w:rsid w:val="008B1E02"/>
    <w:rsid w:val="008B1F12"/>
    <w:rsid w:val="008B1F46"/>
    <w:rsid w:val="008B20CB"/>
    <w:rsid w:val="008B213D"/>
    <w:rsid w:val="008B229C"/>
    <w:rsid w:val="008B24BE"/>
    <w:rsid w:val="008B2729"/>
    <w:rsid w:val="008B27AE"/>
    <w:rsid w:val="008B297E"/>
    <w:rsid w:val="008B29B4"/>
    <w:rsid w:val="008B29BF"/>
    <w:rsid w:val="008B2BAA"/>
    <w:rsid w:val="008B2DA9"/>
    <w:rsid w:val="008B3197"/>
    <w:rsid w:val="008B34AF"/>
    <w:rsid w:val="008B35B6"/>
    <w:rsid w:val="008B35C1"/>
    <w:rsid w:val="008B365C"/>
    <w:rsid w:val="008B39FA"/>
    <w:rsid w:val="008B3ABA"/>
    <w:rsid w:val="008B3B08"/>
    <w:rsid w:val="008B3B72"/>
    <w:rsid w:val="008B46F6"/>
    <w:rsid w:val="008B480B"/>
    <w:rsid w:val="008B4831"/>
    <w:rsid w:val="008B4AA1"/>
    <w:rsid w:val="008B4B31"/>
    <w:rsid w:val="008B4C9D"/>
    <w:rsid w:val="008B553D"/>
    <w:rsid w:val="008B55A9"/>
    <w:rsid w:val="008B58D0"/>
    <w:rsid w:val="008B5A24"/>
    <w:rsid w:val="008B5A6A"/>
    <w:rsid w:val="008B5B6D"/>
    <w:rsid w:val="008B5BBE"/>
    <w:rsid w:val="008B5C67"/>
    <w:rsid w:val="008B5C80"/>
    <w:rsid w:val="008B5CB7"/>
    <w:rsid w:val="008B5EED"/>
    <w:rsid w:val="008B5EF4"/>
    <w:rsid w:val="008B6104"/>
    <w:rsid w:val="008B61EF"/>
    <w:rsid w:val="008B6505"/>
    <w:rsid w:val="008B6575"/>
    <w:rsid w:val="008B65C7"/>
    <w:rsid w:val="008B6669"/>
    <w:rsid w:val="008B6777"/>
    <w:rsid w:val="008B6C6D"/>
    <w:rsid w:val="008B6E14"/>
    <w:rsid w:val="008B70A7"/>
    <w:rsid w:val="008B70AF"/>
    <w:rsid w:val="008B7139"/>
    <w:rsid w:val="008B7224"/>
    <w:rsid w:val="008B7231"/>
    <w:rsid w:val="008B771B"/>
    <w:rsid w:val="008B771F"/>
    <w:rsid w:val="008B781E"/>
    <w:rsid w:val="008B799A"/>
    <w:rsid w:val="008B79E5"/>
    <w:rsid w:val="008B7A1D"/>
    <w:rsid w:val="008B7A66"/>
    <w:rsid w:val="008B7AD0"/>
    <w:rsid w:val="008B7D6E"/>
    <w:rsid w:val="008B7E93"/>
    <w:rsid w:val="008C00C1"/>
    <w:rsid w:val="008C0209"/>
    <w:rsid w:val="008C0443"/>
    <w:rsid w:val="008C0445"/>
    <w:rsid w:val="008C07A5"/>
    <w:rsid w:val="008C0996"/>
    <w:rsid w:val="008C09BC"/>
    <w:rsid w:val="008C0AA2"/>
    <w:rsid w:val="008C0B09"/>
    <w:rsid w:val="008C0C62"/>
    <w:rsid w:val="008C0C71"/>
    <w:rsid w:val="008C0D4F"/>
    <w:rsid w:val="008C0E3D"/>
    <w:rsid w:val="008C16FD"/>
    <w:rsid w:val="008C1953"/>
    <w:rsid w:val="008C1A30"/>
    <w:rsid w:val="008C1C73"/>
    <w:rsid w:val="008C1CE6"/>
    <w:rsid w:val="008C1E28"/>
    <w:rsid w:val="008C1EAA"/>
    <w:rsid w:val="008C2131"/>
    <w:rsid w:val="008C21D0"/>
    <w:rsid w:val="008C21EC"/>
    <w:rsid w:val="008C2309"/>
    <w:rsid w:val="008C256C"/>
    <w:rsid w:val="008C2607"/>
    <w:rsid w:val="008C273D"/>
    <w:rsid w:val="008C28E9"/>
    <w:rsid w:val="008C2B00"/>
    <w:rsid w:val="008C2B88"/>
    <w:rsid w:val="008C2E76"/>
    <w:rsid w:val="008C3099"/>
    <w:rsid w:val="008C30B0"/>
    <w:rsid w:val="008C31D1"/>
    <w:rsid w:val="008C33E4"/>
    <w:rsid w:val="008C352E"/>
    <w:rsid w:val="008C353C"/>
    <w:rsid w:val="008C37B9"/>
    <w:rsid w:val="008C3A93"/>
    <w:rsid w:val="008C3AF4"/>
    <w:rsid w:val="008C3B4A"/>
    <w:rsid w:val="008C3C2D"/>
    <w:rsid w:val="008C3CA9"/>
    <w:rsid w:val="008C3D13"/>
    <w:rsid w:val="008C3ECA"/>
    <w:rsid w:val="008C3F2E"/>
    <w:rsid w:val="008C41B0"/>
    <w:rsid w:val="008C41D3"/>
    <w:rsid w:val="008C4251"/>
    <w:rsid w:val="008C438A"/>
    <w:rsid w:val="008C4409"/>
    <w:rsid w:val="008C47D7"/>
    <w:rsid w:val="008C49FB"/>
    <w:rsid w:val="008C4A81"/>
    <w:rsid w:val="008C4B3B"/>
    <w:rsid w:val="008C4D12"/>
    <w:rsid w:val="008C4ED4"/>
    <w:rsid w:val="008C4F78"/>
    <w:rsid w:val="008C50AC"/>
    <w:rsid w:val="008C52C5"/>
    <w:rsid w:val="008C5328"/>
    <w:rsid w:val="008C5542"/>
    <w:rsid w:val="008C5587"/>
    <w:rsid w:val="008C55AA"/>
    <w:rsid w:val="008C565E"/>
    <w:rsid w:val="008C5A06"/>
    <w:rsid w:val="008C5A70"/>
    <w:rsid w:val="008C5AE8"/>
    <w:rsid w:val="008C5B99"/>
    <w:rsid w:val="008C5ED3"/>
    <w:rsid w:val="008C6007"/>
    <w:rsid w:val="008C602C"/>
    <w:rsid w:val="008C6313"/>
    <w:rsid w:val="008C63D8"/>
    <w:rsid w:val="008C6468"/>
    <w:rsid w:val="008C66EA"/>
    <w:rsid w:val="008C6919"/>
    <w:rsid w:val="008C697C"/>
    <w:rsid w:val="008C6A5C"/>
    <w:rsid w:val="008C6B90"/>
    <w:rsid w:val="008C6D2E"/>
    <w:rsid w:val="008C6DAA"/>
    <w:rsid w:val="008C6F5D"/>
    <w:rsid w:val="008C7083"/>
    <w:rsid w:val="008C7239"/>
    <w:rsid w:val="008C7338"/>
    <w:rsid w:val="008C7361"/>
    <w:rsid w:val="008C7404"/>
    <w:rsid w:val="008C7797"/>
    <w:rsid w:val="008C793B"/>
    <w:rsid w:val="008C7BF9"/>
    <w:rsid w:val="008C7C42"/>
    <w:rsid w:val="008C7E35"/>
    <w:rsid w:val="008C7EEC"/>
    <w:rsid w:val="008C7F71"/>
    <w:rsid w:val="008D00CE"/>
    <w:rsid w:val="008D0106"/>
    <w:rsid w:val="008D08A7"/>
    <w:rsid w:val="008D0933"/>
    <w:rsid w:val="008D0A62"/>
    <w:rsid w:val="008D0A63"/>
    <w:rsid w:val="008D0A71"/>
    <w:rsid w:val="008D0A92"/>
    <w:rsid w:val="008D0B4B"/>
    <w:rsid w:val="008D0C4F"/>
    <w:rsid w:val="008D0E07"/>
    <w:rsid w:val="008D0EBB"/>
    <w:rsid w:val="008D0EC2"/>
    <w:rsid w:val="008D153A"/>
    <w:rsid w:val="008D175B"/>
    <w:rsid w:val="008D1997"/>
    <w:rsid w:val="008D19AD"/>
    <w:rsid w:val="008D19C6"/>
    <w:rsid w:val="008D19F1"/>
    <w:rsid w:val="008D1A1E"/>
    <w:rsid w:val="008D1A5A"/>
    <w:rsid w:val="008D1A74"/>
    <w:rsid w:val="008D1AAF"/>
    <w:rsid w:val="008D1B16"/>
    <w:rsid w:val="008D1B85"/>
    <w:rsid w:val="008D1BA9"/>
    <w:rsid w:val="008D1D79"/>
    <w:rsid w:val="008D2296"/>
    <w:rsid w:val="008D255C"/>
    <w:rsid w:val="008D282D"/>
    <w:rsid w:val="008D284B"/>
    <w:rsid w:val="008D2B47"/>
    <w:rsid w:val="008D2BCB"/>
    <w:rsid w:val="008D2D22"/>
    <w:rsid w:val="008D2E5C"/>
    <w:rsid w:val="008D2EAD"/>
    <w:rsid w:val="008D30BB"/>
    <w:rsid w:val="008D30DF"/>
    <w:rsid w:val="008D30E3"/>
    <w:rsid w:val="008D3240"/>
    <w:rsid w:val="008D324E"/>
    <w:rsid w:val="008D3325"/>
    <w:rsid w:val="008D339F"/>
    <w:rsid w:val="008D33D5"/>
    <w:rsid w:val="008D37A7"/>
    <w:rsid w:val="008D3936"/>
    <w:rsid w:val="008D3991"/>
    <w:rsid w:val="008D3AB1"/>
    <w:rsid w:val="008D3ADD"/>
    <w:rsid w:val="008D3BB7"/>
    <w:rsid w:val="008D3C99"/>
    <w:rsid w:val="008D3EFD"/>
    <w:rsid w:val="008D3F4E"/>
    <w:rsid w:val="008D401F"/>
    <w:rsid w:val="008D4020"/>
    <w:rsid w:val="008D4029"/>
    <w:rsid w:val="008D403B"/>
    <w:rsid w:val="008D4197"/>
    <w:rsid w:val="008D425B"/>
    <w:rsid w:val="008D46B3"/>
    <w:rsid w:val="008D47B8"/>
    <w:rsid w:val="008D4843"/>
    <w:rsid w:val="008D4ACB"/>
    <w:rsid w:val="008D4B09"/>
    <w:rsid w:val="008D4B11"/>
    <w:rsid w:val="008D4B2A"/>
    <w:rsid w:val="008D4CEC"/>
    <w:rsid w:val="008D4D08"/>
    <w:rsid w:val="008D4F8C"/>
    <w:rsid w:val="008D56AB"/>
    <w:rsid w:val="008D56E7"/>
    <w:rsid w:val="008D5A67"/>
    <w:rsid w:val="008D5AB7"/>
    <w:rsid w:val="008D5AC6"/>
    <w:rsid w:val="008D6113"/>
    <w:rsid w:val="008D62C7"/>
    <w:rsid w:val="008D6404"/>
    <w:rsid w:val="008D66C3"/>
    <w:rsid w:val="008D68B4"/>
    <w:rsid w:val="008D6BC7"/>
    <w:rsid w:val="008D6E13"/>
    <w:rsid w:val="008D6FD0"/>
    <w:rsid w:val="008D733C"/>
    <w:rsid w:val="008D73D7"/>
    <w:rsid w:val="008D7517"/>
    <w:rsid w:val="008D7974"/>
    <w:rsid w:val="008D79E4"/>
    <w:rsid w:val="008D7A96"/>
    <w:rsid w:val="008D7B1F"/>
    <w:rsid w:val="008D7BC7"/>
    <w:rsid w:val="008D7C89"/>
    <w:rsid w:val="008D7F3D"/>
    <w:rsid w:val="008E0133"/>
    <w:rsid w:val="008E0198"/>
    <w:rsid w:val="008E028C"/>
    <w:rsid w:val="008E050A"/>
    <w:rsid w:val="008E07FD"/>
    <w:rsid w:val="008E09B1"/>
    <w:rsid w:val="008E09C7"/>
    <w:rsid w:val="008E0A44"/>
    <w:rsid w:val="008E0B91"/>
    <w:rsid w:val="008E0C86"/>
    <w:rsid w:val="008E0E9A"/>
    <w:rsid w:val="008E0FF9"/>
    <w:rsid w:val="008E1002"/>
    <w:rsid w:val="008E1079"/>
    <w:rsid w:val="008E1304"/>
    <w:rsid w:val="008E1312"/>
    <w:rsid w:val="008E14FB"/>
    <w:rsid w:val="008E153D"/>
    <w:rsid w:val="008E1877"/>
    <w:rsid w:val="008E1AA9"/>
    <w:rsid w:val="008E1EAA"/>
    <w:rsid w:val="008E243E"/>
    <w:rsid w:val="008E24D2"/>
    <w:rsid w:val="008E263B"/>
    <w:rsid w:val="008E2A02"/>
    <w:rsid w:val="008E2AA2"/>
    <w:rsid w:val="008E2AD5"/>
    <w:rsid w:val="008E2C7D"/>
    <w:rsid w:val="008E2CB1"/>
    <w:rsid w:val="008E2DFA"/>
    <w:rsid w:val="008E2F14"/>
    <w:rsid w:val="008E30F7"/>
    <w:rsid w:val="008E3231"/>
    <w:rsid w:val="008E329E"/>
    <w:rsid w:val="008E330A"/>
    <w:rsid w:val="008E3321"/>
    <w:rsid w:val="008E33D6"/>
    <w:rsid w:val="008E35B6"/>
    <w:rsid w:val="008E361B"/>
    <w:rsid w:val="008E37F9"/>
    <w:rsid w:val="008E389C"/>
    <w:rsid w:val="008E398B"/>
    <w:rsid w:val="008E399B"/>
    <w:rsid w:val="008E39CF"/>
    <w:rsid w:val="008E3BF7"/>
    <w:rsid w:val="008E3D33"/>
    <w:rsid w:val="008E3F66"/>
    <w:rsid w:val="008E3FC2"/>
    <w:rsid w:val="008E4250"/>
    <w:rsid w:val="008E4268"/>
    <w:rsid w:val="008E43D1"/>
    <w:rsid w:val="008E4455"/>
    <w:rsid w:val="008E4468"/>
    <w:rsid w:val="008E44EE"/>
    <w:rsid w:val="008E459C"/>
    <w:rsid w:val="008E466F"/>
    <w:rsid w:val="008E474D"/>
    <w:rsid w:val="008E476C"/>
    <w:rsid w:val="008E47AF"/>
    <w:rsid w:val="008E4859"/>
    <w:rsid w:val="008E4A7D"/>
    <w:rsid w:val="008E4B30"/>
    <w:rsid w:val="008E4C0C"/>
    <w:rsid w:val="008E4D75"/>
    <w:rsid w:val="008E4DDD"/>
    <w:rsid w:val="008E4F77"/>
    <w:rsid w:val="008E5368"/>
    <w:rsid w:val="008E53F6"/>
    <w:rsid w:val="008E54BD"/>
    <w:rsid w:val="008E559F"/>
    <w:rsid w:val="008E589A"/>
    <w:rsid w:val="008E5A53"/>
    <w:rsid w:val="008E5ADC"/>
    <w:rsid w:val="008E5AF6"/>
    <w:rsid w:val="008E5CCE"/>
    <w:rsid w:val="008E5DF5"/>
    <w:rsid w:val="008E5F5B"/>
    <w:rsid w:val="008E60E1"/>
    <w:rsid w:val="008E6102"/>
    <w:rsid w:val="008E619E"/>
    <w:rsid w:val="008E6292"/>
    <w:rsid w:val="008E62CE"/>
    <w:rsid w:val="008E6409"/>
    <w:rsid w:val="008E6438"/>
    <w:rsid w:val="008E6575"/>
    <w:rsid w:val="008E6788"/>
    <w:rsid w:val="008E68CC"/>
    <w:rsid w:val="008E68F3"/>
    <w:rsid w:val="008E6965"/>
    <w:rsid w:val="008E6989"/>
    <w:rsid w:val="008E69AD"/>
    <w:rsid w:val="008E69DE"/>
    <w:rsid w:val="008E6C37"/>
    <w:rsid w:val="008E6D2A"/>
    <w:rsid w:val="008E7001"/>
    <w:rsid w:val="008E72F9"/>
    <w:rsid w:val="008E7629"/>
    <w:rsid w:val="008E7A9E"/>
    <w:rsid w:val="008E7CD9"/>
    <w:rsid w:val="008E7D0B"/>
    <w:rsid w:val="008E7EA8"/>
    <w:rsid w:val="008E7F3B"/>
    <w:rsid w:val="008E7F9A"/>
    <w:rsid w:val="008F0003"/>
    <w:rsid w:val="008F0008"/>
    <w:rsid w:val="008F011F"/>
    <w:rsid w:val="008F0137"/>
    <w:rsid w:val="008F01F0"/>
    <w:rsid w:val="008F02A0"/>
    <w:rsid w:val="008F0353"/>
    <w:rsid w:val="008F09AF"/>
    <w:rsid w:val="008F09B4"/>
    <w:rsid w:val="008F0BE1"/>
    <w:rsid w:val="008F0C1D"/>
    <w:rsid w:val="008F0C52"/>
    <w:rsid w:val="008F0C73"/>
    <w:rsid w:val="008F1351"/>
    <w:rsid w:val="008F150B"/>
    <w:rsid w:val="008F1511"/>
    <w:rsid w:val="008F159F"/>
    <w:rsid w:val="008F165C"/>
    <w:rsid w:val="008F1666"/>
    <w:rsid w:val="008F1A11"/>
    <w:rsid w:val="008F1D3C"/>
    <w:rsid w:val="008F1F3B"/>
    <w:rsid w:val="008F1FF2"/>
    <w:rsid w:val="008F2152"/>
    <w:rsid w:val="008F23EB"/>
    <w:rsid w:val="008F2458"/>
    <w:rsid w:val="008F2565"/>
    <w:rsid w:val="008F26C0"/>
    <w:rsid w:val="008F2857"/>
    <w:rsid w:val="008F2897"/>
    <w:rsid w:val="008F2C6C"/>
    <w:rsid w:val="008F2D4B"/>
    <w:rsid w:val="008F3277"/>
    <w:rsid w:val="008F32C0"/>
    <w:rsid w:val="008F3308"/>
    <w:rsid w:val="008F3481"/>
    <w:rsid w:val="008F358A"/>
    <w:rsid w:val="008F35BF"/>
    <w:rsid w:val="008F3636"/>
    <w:rsid w:val="008F3685"/>
    <w:rsid w:val="008F399B"/>
    <w:rsid w:val="008F3D89"/>
    <w:rsid w:val="008F3FED"/>
    <w:rsid w:val="008F4176"/>
    <w:rsid w:val="008F41D5"/>
    <w:rsid w:val="008F4200"/>
    <w:rsid w:val="008F44D1"/>
    <w:rsid w:val="008F458B"/>
    <w:rsid w:val="008F49D5"/>
    <w:rsid w:val="008F4DD2"/>
    <w:rsid w:val="008F5011"/>
    <w:rsid w:val="008F51C2"/>
    <w:rsid w:val="008F51C8"/>
    <w:rsid w:val="008F54BD"/>
    <w:rsid w:val="008F54CA"/>
    <w:rsid w:val="008F59DF"/>
    <w:rsid w:val="008F5BAA"/>
    <w:rsid w:val="008F5F47"/>
    <w:rsid w:val="008F6103"/>
    <w:rsid w:val="008F6312"/>
    <w:rsid w:val="008F6660"/>
    <w:rsid w:val="008F6817"/>
    <w:rsid w:val="008F6B64"/>
    <w:rsid w:val="008F6C2E"/>
    <w:rsid w:val="008F6C2F"/>
    <w:rsid w:val="008F6CE6"/>
    <w:rsid w:val="008F6F56"/>
    <w:rsid w:val="008F7083"/>
    <w:rsid w:val="008F723F"/>
    <w:rsid w:val="008F749D"/>
    <w:rsid w:val="008F75EA"/>
    <w:rsid w:val="008F78D5"/>
    <w:rsid w:val="008F7A96"/>
    <w:rsid w:val="008F7B93"/>
    <w:rsid w:val="008F7C9E"/>
    <w:rsid w:val="008F7CC6"/>
    <w:rsid w:val="008F7D28"/>
    <w:rsid w:val="008F7D82"/>
    <w:rsid w:val="008F7E5A"/>
    <w:rsid w:val="008F7F2D"/>
    <w:rsid w:val="008F7FB6"/>
    <w:rsid w:val="00900049"/>
    <w:rsid w:val="00900334"/>
    <w:rsid w:val="00900377"/>
    <w:rsid w:val="009006BB"/>
    <w:rsid w:val="00900767"/>
    <w:rsid w:val="00900AB7"/>
    <w:rsid w:val="00900BC8"/>
    <w:rsid w:val="00900EA3"/>
    <w:rsid w:val="00900EE7"/>
    <w:rsid w:val="00900F34"/>
    <w:rsid w:val="00901000"/>
    <w:rsid w:val="0090136D"/>
    <w:rsid w:val="00901573"/>
    <w:rsid w:val="0090183B"/>
    <w:rsid w:val="009018CD"/>
    <w:rsid w:val="00901BEF"/>
    <w:rsid w:val="00901C6F"/>
    <w:rsid w:val="00901E32"/>
    <w:rsid w:val="009021D8"/>
    <w:rsid w:val="0090225A"/>
    <w:rsid w:val="00902579"/>
    <w:rsid w:val="00902783"/>
    <w:rsid w:val="00902866"/>
    <w:rsid w:val="009028DF"/>
    <w:rsid w:val="009028E7"/>
    <w:rsid w:val="00902B32"/>
    <w:rsid w:val="00902B40"/>
    <w:rsid w:val="00902DF8"/>
    <w:rsid w:val="00902E28"/>
    <w:rsid w:val="00902F34"/>
    <w:rsid w:val="00902F59"/>
    <w:rsid w:val="00902F96"/>
    <w:rsid w:val="00903118"/>
    <w:rsid w:val="00903432"/>
    <w:rsid w:val="00903703"/>
    <w:rsid w:val="00903827"/>
    <w:rsid w:val="00903929"/>
    <w:rsid w:val="0090394C"/>
    <w:rsid w:val="00903CEE"/>
    <w:rsid w:val="00903E94"/>
    <w:rsid w:val="00903F2C"/>
    <w:rsid w:val="00904034"/>
    <w:rsid w:val="0090415C"/>
    <w:rsid w:val="009045C4"/>
    <w:rsid w:val="0090469E"/>
    <w:rsid w:val="009046BB"/>
    <w:rsid w:val="00904A3D"/>
    <w:rsid w:val="00904B7B"/>
    <w:rsid w:val="00904C51"/>
    <w:rsid w:val="00904F4A"/>
    <w:rsid w:val="0090501E"/>
    <w:rsid w:val="00905339"/>
    <w:rsid w:val="00905483"/>
    <w:rsid w:val="0090550C"/>
    <w:rsid w:val="0090557D"/>
    <w:rsid w:val="00905815"/>
    <w:rsid w:val="00905928"/>
    <w:rsid w:val="009059E4"/>
    <w:rsid w:val="00905A05"/>
    <w:rsid w:val="00905AEA"/>
    <w:rsid w:val="00905CD5"/>
    <w:rsid w:val="00905E74"/>
    <w:rsid w:val="0090611B"/>
    <w:rsid w:val="00906222"/>
    <w:rsid w:val="009063EF"/>
    <w:rsid w:val="0090655B"/>
    <w:rsid w:val="00906565"/>
    <w:rsid w:val="00906812"/>
    <w:rsid w:val="0090693E"/>
    <w:rsid w:val="009069F8"/>
    <w:rsid w:val="00906A56"/>
    <w:rsid w:val="00906AF5"/>
    <w:rsid w:val="00906BB8"/>
    <w:rsid w:val="00906E61"/>
    <w:rsid w:val="009071EB"/>
    <w:rsid w:val="0090733E"/>
    <w:rsid w:val="00907410"/>
    <w:rsid w:val="0090766F"/>
    <w:rsid w:val="00907708"/>
    <w:rsid w:val="00907723"/>
    <w:rsid w:val="00907751"/>
    <w:rsid w:val="00907848"/>
    <w:rsid w:val="00907ABB"/>
    <w:rsid w:val="00907E5D"/>
    <w:rsid w:val="00907E60"/>
    <w:rsid w:val="00907F16"/>
    <w:rsid w:val="00907F59"/>
    <w:rsid w:val="009102B4"/>
    <w:rsid w:val="00910461"/>
    <w:rsid w:val="0091059F"/>
    <w:rsid w:val="00910792"/>
    <w:rsid w:val="009108C1"/>
    <w:rsid w:val="009108CF"/>
    <w:rsid w:val="0091092C"/>
    <w:rsid w:val="0091096C"/>
    <w:rsid w:val="00910ACD"/>
    <w:rsid w:val="00910FAC"/>
    <w:rsid w:val="00910FDE"/>
    <w:rsid w:val="00911091"/>
    <w:rsid w:val="0091122C"/>
    <w:rsid w:val="0091122E"/>
    <w:rsid w:val="0091138A"/>
    <w:rsid w:val="0091149F"/>
    <w:rsid w:val="00911529"/>
    <w:rsid w:val="0091168A"/>
    <w:rsid w:val="00911732"/>
    <w:rsid w:val="009117F6"/>
    <w:rsid w:val="00911851"/>
    <w:rsid w:val="009119AA"/>
    <w:rsid w:val="009119F1"/>
    <w:rsid w:val="00911B08"/>
    <w:rsid w:val="00911D20"/>
    <w:rsid w:val="00911D2B"/>
    <w:rsid w:val="00912146"/>
    <w:rsid w:val="00912432"/>
    <w:rsid w:val="009126A5"/>
    <w:rsid w:val="009127C9"/>
    <w:rsid w:val="0091287F"/>
    <w:rsid w:val="00912A8A"/>
    <w:rsid w:val="00912AE6"/>
    <w:rsid w:val="00912BE3"/>
    <w:rsid w:val="00912C26"/>
    <w:rsid w:val="00912C80"/>
    <w:rsid w:val="00912DB2"/>
    <w:rsid w:val="00912E6E"/>
    <w:rsid w:val="009131F9"/>
    <w:rsid w:val="0091321A"/>
    <w:rsid w:val="00913356"/>
    <w:rsid w:val="00913382"/>
    <w:rsid w:val="00913699"/>
    <w:rsid w:val="0091376A"/>
    <w:rsid w:val="00913B98"/>
    <w:rsid w:val="00913FAC"/>
    <w:rsid w:val="0091418B"/>
    <w:rsid w:val="0091420E"/>
    <w:rsid w:val="00914251"/>
    <w:rsid w:val="00914373"/>
    <w:rsid w:val="009143A6"/>
    <w:rsid w:val="009143C1"/>
    <w:rsid w:val="00914592"/>
    <w:rsid w:val="009146CD"/>
    <w:rsid w:val="009148B2"/>
    <w:rsid w:val="00914A53"/>
    <w:rsid w:val="00914B98"/>
    <w:rsid w:val="00914C9F"/>
    <w:rsid w:val="00914D8F"/>
    <w:rsid w:val="00914E61"/>
    <w:rsid w:val="0091517D"/>
    <w:rsid w:val="00915266"/>
    <w:rsid w:val="0091527C"/>
    <w:rsid w:val="009153E2"/>
    <w:rsid w:val="0091549B"/>
    <w:rsid w:val="009155B8"/>
    <w:rsid w:val="00915722"/>
    <w:rsid w:val="009157D1"/>
    <w:rsid w:val="009157E0"/>
    <w:rsid w:val="00915998"/>
    <w:rsid w:val="009159AB"/>
    <w:rsid w:val="009159F4"/>
    <w:rsid w:val="00915C25"/>
    <w:rsid w:val="00915C28"/>
    <w:rsid w:val="00915E1C"/>
    <w:rsid w:val="00916257"/>
    <w:rsid w:val="009162E0"/>
    <w:rsid w:val="00916363"/>
    <w:rsid w:val="009164B5"/>
    <w:rsid w:val="009164E7"/>
    <w:rsid w:val="00916703"/>
    <w:rsid w:val="00916824"/>
    <w:rsid w:val="0091691B"/>
    <w:rsid w:val="0091696D"/>
    <w:rsid w:val="00916AA9"/>
    <w:rsid w:val="00916C82"/>
    <w:rsid w:val="00916F41"/>
    <w:rsid w:val="009171DF"/>
    <w:rsid w:val="009172F6"/>
    <w:rsid w:val="00917611"/>
    <w:rsid w:val="009176E5"/>
    <w:rsid w:val="00917797"/>
    <w:rsid w:val="009177D6"/>
    <w:rsid w:val="009177EE"/>
    <w:rsid w:val="0091799F"/>
    <w:rsid w:val="00917B81"/>
    <w:rsid w:val="00917C80"/>
    <w:rsid w:val="00917E28"/>
    <w:rsid w:val="00920073"/>
    <w:rsid w:val="009200D2"/>
    <w:rsid w:val="00920135"/>
    <w:rsid w:val="009201E3"/>
    <w:rsid w:val="0092059D"/>
    <w:rsid w:val="009206B0"/>
    <w:rsid w:val="00920708"/>
    <w:rsid w:val="0092076F"/>
    <w:rsid w:val="009207A1"/>
    <w:rsid w:val="00920852"/>
    <w:rsid w:val="00920859"/>
    <w:rsid w:val="00920974"/>
    <w:rsid w:val="00920A8E"/>
    <w:rsid w:val="00920B47"/>
    <w:rsid w:val="00920BDA"/>
    <w:rsid w:val="00920C80"/>
    <w:rsid w:val="00920E7C"/>
    <w:rsid w:val="00920F11"/>
    <w:rsid w:val="00920FB3"/>
    <w:rsid w:val="00921337"/>
    <w:rsid w:val="0092135D"/>
    <w:rsid w:val="009213AB"/>
    <w:rsid w:val="00921490"/>
    <w:rsid w:val="009216C3"/>
    <w:rsid w:val="00921C20"/>
    <w:rsid w:val="00921D56"/>
    <w:rsid w:val="00921DA2"/>
    <w:rsid w:val="00921DCD"/>
    <w:rsid w:val="009220C8"/>
    <w:rsid w:val="00922197"/>
    <w:rsid w:val="00922254"/>
    <w:rsid w:val="0092267F"/>
    <w:rsid w:val="00922698"/>
    <w:rsid w:val="0092273F"/>
    <w:rsid w:val="00922848"/>
    <w:rsid w:val="00922853"/>
    <w:rsid w:val="0092287D"/>
    <w:rsid w:val="00922D48"/>
    <w:rsid w:val="00922FAD"/>
    <w:rsid w:val="00922FC9"/>
    <w:rsid w:val="0092305F"/>
    <w:rsid w:val="00923095"/>
    <w:rsid w:val="009230C5"/>
    <w:rsid w:val="0092313A"/>
    <w:rsid w:val="009231A0"/>
    <w:rsid w:val="009231C3"/>
    <w:rsid w:val="009233E4"/>
    <w:rsid w:val="00923463"/>
    <w:rsid w:val="009234E6"/>
    <w:rsid w:val="00923504"/>
    <w:rsid w:val="009237D7"/>
    <w:rsid w:val="00923815"/>
    <w:rsid w:val="0092384D"/>
    <w:rsid w:val="009238D0"/>
    <w:rsid w:val="009238F6"/>
    <w:rsid w:val="00923AE0"/>
    <w:rsid w:val="00923BFB"/>
    <w:rsid w:val="00923DD3"/>
    <w:rsid w:val="00923EF6"/>
    <w:rsid w:val="00924368"/>
    <w:rsid w:val="00924787"/>
    <w:rsid w:val="00924868"/>
    <w:rsid w:val="00924AEC"/>
    <w:rsid w:val="00924B19"/>
    <w:rsid w:val="00924B95"/>
    <w:rsid w:val="00924C28"/>
    <w:rsid w:val="00924FF2"/>
    <w:rsid w:val="00925186"/>
    <w:rsid w:val="00925247"/>
    <w:rsid w:val="00925252"/>
    <w:rsid w:val="009254F9"/>
    <w:rsid w:val="009257C1"/>
    <w:rsid w:val="009257C2"/>
    <w:rsid w:val="009258A4"/>
    <w:rsid w:val="009258B8"/>
    <w:rsid w:val="009258D5"/>
    <w:rsid w:val="0092597B"/>
    <w:rsid w:val="00925A86"/>
    <w:rsid w:val="00925AA5"/>
    <w:rsid w:val="00925AC9"/>
    <w:rsid w:val="00925D03"/>
    <w:rsid w:val="00925ED1"/>
    <w:rsid w:val="0092610A"/>
    <w:rsid w:val="009261CA"/>
    <w:rsid w:val="009263AE"/>
    <w:rsid w:val="0092640C"/>
    <w:rsid w:val="0092659D"/>
    <w:rsid w:val="0092689C"/>
    <w:rsid w:val="009268C1"/>
    <w:rsid w:val="00926B2B"/>
    <w:rsid w:val="00926F07"/>
    <w:rsid w:val="0092703A"/>
    <w:rsid w:val="0092732E"/>
    <w:rsid w:val="009274D2"/>
    <w:rsid w:val="00927780"/>
    <w:rsid w:val="009278AF"/>
    <w:rsid w:val="00927E7C"/>
    <w:rsid w:val="00927F74"/>
    <w:rsid w:val="00930001"/>
    <w:rsid w:val="009300D2"/>
    <w:rsid w:val="009305AB"/>
    <w:rsid w:val="00930665"/>
    <w:rsid w:val="00930A19"/>
    <w:rsid w:val="00931319"/>
    <w:rsid w:val="0093160C"/>
    <w:rsid w:val="009316A8"/>
    <w:rsid w:val="00931720"/>
    <w:rsid w:val="00931844"/>
    <w:rsid w:val="00931A37"/>
    <w:rsid w:val="00931AC0"/>
    <w:rsid w:val="00931B01"/>
    <w:rsid w:val="0093216E"/>
    <w:rsid w:val="009323DD"/>
    <w:rsid w:val="00932439"/>
    <w:rsid w:val="009324C7"/>
    <w:rsid w:val="009324E9"/>
    <w:rsid w:val="009325C9"/>
    <w:rsid w:val="009327D2"/>
    <w:rsid w:val="00932913"/>
    <w:rsid w:val="009329B6"/>
    <w:rsid w:val="00932B6F"/>
    <w:rsid w:val="00932BF5"/>
    <w:rsid w:val="00932D1D"/>
    <w:rsid w:val="00932DB5"/>
    <w:rsid w:val="00932F64"/>
    <w:rsid w:val="009330FA"/>
    <w:rsid w:val="00933322"/>
    <w:rsid w:val="00933592"/>
    <w:rsid w:val="0093395D"/>
    <w:rsid w:val="00933A4F"/>
    <w:rsid w:val="00933B50"/>
    <w:rsid w:val="00933B78"/>
    <w:rsid w:val="00933CC4"/>
    <w:rsid w:val="00933CD6"/>
    <w:rsid w:val="00933EF7"/>
    <w:rsid w:val="00933F46"/>
    <w:rsid w:val="00933FE7"/>
    <w:rsid w:val="009341E2"/>
    <w:rsid w:val="00934275"/>
    <w:rsid w:val="0093428B"/>
    <w:rsid w:val="009344D2"/>
    <w:rsid w:val="009346FF"/>
    <w:rsid w:val="00934812"/>
    <w:rsid w:val="009348F9"/>
    <w:rsid w:val="00934A7A"/>
    <w:rsid w:val="00934AF1"/>
    <w:rsid w:val="00934C3D"/>
    <w:rsid w:val="00934DE8"/>
    <w:rsid w:val="00934E33"/>
    <w:rsid w:val="00935242"/>
    <w:rsid w:val="00935296"/>
    <w:rsid w:val="0093540D"/>
    <w:rsid w:val="00935419"/>
    <w:rsid w:val="0093541A"/>
    <w:rsid w:val="009354B1"/>
    <w:rsid w:val="00935682"/>
    <w:rsid w:val="0093568D"/>
    <w:rsid w:val="00935690"/>
    <w:rsid w:val="009356ED"/>
    <w:rsid w:val="00935770"/>
    <w:rsid w:val="00935A2E"/>
    <w:rsid w:val="00935B30"/>
    <w:rsid w:val="00935BEC"/>
    <w:rsid w:val="00935C81"/>
    <w:rsid w:val="00935E94"/>
    <w:rsid w:val="00936020"/>
    <w:rsid w:val="0093632E"/>
    <w:rsid w:val="00936330"/>
    <w:rsid w:val="009363A4"/>
    <w:rsid w:val="00936488"/>
    <w:rsid w:val="00936561"/>
    <w:rsid w:val="0093656C"/>
    <w:rsid w:val="00936749"/>
    <w:rsid w:val="009368CE"/>
    <w:rsid w:val="00936916"/>
    <w:rsid w:val="00936A80"/>
    <w:rsid w:val="00936B0B"/>
    <w:rsid w:val="00936B3A"/>
    <w:rsid w:val="00936BAE"/>
    <w:rsid w:val="00936C1F"/>
    <w:rsid w:val="009371BF"/>
    <w:rsid w:val="009372F6"/>
    <w:rsid w:val="00937639"/>
    <w:rsid w:val="00937877"/>
    <w:rsid w:val="00937988"/>
    <w:rsid w:val="00937CE7"/>
    <w:rsid w:val="00937D3E"/>
    <w:rsid w:val="00937E77"/>
    <w:rsid w:val="0094019D"/>
    <w:rsid w:val="009401A5"/>
    <w:rsid w:val="0094040D"/>
    <w:rsid w:val="009404F6"/>
    <w:rsid w:val="00940501"/>
    <w:rsid w:val="00940531"/>
    <w:rsid w:val="009406B7"/>
    <w:rsid w:val="009406C3"/>
    <w:rsid w:val="00940874"/>
    <w:rsid w:val="00940A9F"/>
    <w:rsid w:val="00940C2D"/>
    <w:rsid w:val="0094106A"/>
    <w:rsid w:val="00941163"/>
    <w:rsid w:val="00941542"/>
    <w:rsid w:val="009415C0"/>
    <w:rsid w:val="009415FC"/>
    <w:rsid w:val="00941655"/>
    <w:rsid w:val="00941949"/>
    <w:rsid w:val="00941A56"/>
    <w:rsid w:val="00941B49"/>
    <w:rsid w:val="00941CF4"/>
    <w:rsid w:val="00941D87"/>
    <w:rsid w:val="00941F93"/>
    <w:rsid w:val="00941FB9"/>
    <w:rsid w:val="00942119"/>
    <w:rsid w:val="0094234D"/>
    <w:rsid w:val="0094238A"/>
    <w:rsid w:val="009423A1"/>
    <w:rsid w:val="009424A3"/>
    <w:rsid w:val="0094296F"/>
    <w:rsid w:val="009429A7"/>
    <w:rsid w:val="00942B6E"/>
    <w:rsid w:val="00942BD5"/>
    <w:rsid w:val="00942C11"/>
    <w:rsid w:val="00942DE8"/>
    <w:rsid w:val="00942F25"/>
    <w:rsid w:val="0094316A"/>
    <w:rsid w:val="00943257"/>
    <w:rsid w:val="0094350D"/>
    <w:rsid w:val="0094351F"/>
    <w:rsid w:val="00943528"/>
    <w:rsid w:val="0094358E"/>
    <w:rsid w:val="009436B7"/>
    <w:rsid w:val="009437CA"/>
    <w:rsid w:val="0094394E"/>
    <w:rsid w:val="00943ADB"/>
    <w:rsid w:val="00943B11"/>
    <w:rsid w:val="00943C8B"/>
    <w:rsid w:val="00943D59"/>
    <w:rsid w:val="00943F37"/>
    <w:rsid w:val="00944026"/>
    <w:rsid w:val="00944134"/>
    <w:rsid w:val="00944653"/>
    <w:rsid w:val="00944BC9"/>
    <w:rsid w:val="00944D23"/>
    <w:rsid w:val="00944DC9"/>
    <w:rsid w:val="009453A5"/>
    <w:rsid w:val="00945935"/>
    <w:rsid w:val="009459BA"/>
    <w:rsid w:val="009459F8"/>
    <w:rsid w:val="00945A77"/>
    <w:rsid w:val="00945D75"/>
    <w:rsid w:val="00945DA8"/>
    <w:rsid w:val="00945DB1"/>
    <w:rsid w:val="00946070"/>
    <w:rsid w:val="0094609A"/>
    <w:rsid w:val="009461F8"/>
    <w:rsid w:val="00946237"/>
    <w:rsid w:val="00946266"/>
    <w:rsid w:val="0094633B"/>
    <w:rsid w:val="009463E0"/>
    <w:rsid w:val="009464B1"/>
    <w:rsid w:val="00946A38"/>
    <w:rsid w:val="00946B13"/>
    <w:rsid w:val="00946B28"/>
    <w:rsid w:val="00946C77"/>
    <w:rsid w:val="00946EAB"/>
    <w:rsid w:val="0094709C"/>
    <w:rsid w:val="009471D7"/>
    <w:rsid w:val="00947315"/>
    <w:rsid w:val="009473F5"/>
    <w:rsid w:val="00947548"/>
    <w:rsid w:val="0094762E"/>
    <w:rsid w:val="00947865"/>
    <w:rsid w:val="009478D2"/>
    <w:rsid w:val="00947959"/>
    <w:rsid w:val="00947E1A"/>
    <w:rsid w:val="009503C9"/>
    <w:rsid w:val="009503F3"/>
    <w:rsid w:val="00950404"/>
    <w:rsid w:val="009506D9"/>
    <w:rsid w:val="009507BA"/>
    <w:rsid w:val="009509A0"/>
    <w:rsid w:val="00950A7D"/>
    <w:rsid w:val="00950A97"/>
    <w:rsid w:val="00950C61"/>
    <w:rsid w:val="00950CFF"/>
    <w:rsid w:val="00950D26"/>
    <w:rsid w:val="00950D5A"/>
    <w:rsid w:val="00950D6C"/>
    <w:rsid w:val="00950E14"/>
    <w:rsid w:val="00950E5D"/>
    <w:rsid w:val="00950EBC"/>
    <w:rsid w:val="00951199"/>
    <w:rsid w:val="0095126D"/>
    <w:rsid w:val="0095133A"/>
    <w:rsid w:val="009514AE"/>
    <w:rsid w:val="009514C7"/>
    <w:rsid w:val="00951506"/>
    <w:rsid w:val="0095153C"/>
    <w:rsid w:val="009516E1"/>
    <w:rsid w:val="009517CE"/>
    <w:rsid w:val="0095182F"/>
    <w:rsid w:val="009519F7"/>
    <w:rsid w:val="00951A50"/>
    <w:rsid w:val="00951B9D"/>
    <w:rsid w:val="00951C10"/>
    <w:rsid w:val="00951D7D"/>
    <w:rsid w:val="00951E1E"/>
    <w:rsid w:val="00951F01"/>
    <w:rsid w:val="00952094"/>
    <w:rsid w:val="00952109"/>
    <w:rsid w:val="00952296"/>
    <w:rsid w:val="009522A2"/>
    <w:rsid w:val="00952303"/>
    <w:rsid w:val="009524C2"/>
    <w:rsid w:val="00952604"/>
    <w:rsid w:val="009527AD"/>
    <w:rsid w:val="00952807"/>
    <w:rsid w:val="00952C27"/>
    <w:rsid w:val="00952C8D"/>
    <w:rsid w:val="00952E4B"/>
    <w:rsid w:val="00952E6D"/>
    <w:rsid w:val="00952FE8"/>
    <w:rsid w:val="0095308E"/>
    <w:rsid w:val="009533CB"/>
    <w:rsid w:val="00953623"/>
    <w:rsid w:val="0095363B"/>
    <w:rsid w:val="00953785"/>
    <w:rsid w:val="00953809"/>
    <w:rsid w:val="00953ADF"/>
    <w:rsid w:val="00953C3A"/>
    <w:rsid w:val="00953C50"/>
    <w:rsid w:val="00953D0B"/>
    <w:rsid w:val="00953D53"/>
    <w:rsid w:val="00953E5D"/>
    <w:rsid w:val="00953E9F"/>
    <w:rsid w:val="00953EC1"/>
    <w:rsid w:val="0095402E"/>
    <w:rsid w:val="00954046"/>
    <w:rsid w:val="00954117"/>
    <w:rsid w:val="009541A0"/>
    <w:rsid w:val="009542F0"/>
    <w:rsid w:val="00954746"/>
    <w:rsid w:val="00954784"/>
    <w:rsid w:val="009547F8"/>
    <w:rsid w:val="009548A4"/>
    <w:rsid w:val="009548F5"/>
    <w:rsid w:val="00954924"/>
    <w:rsid w:val="00954983"/>
    <w:rsid w:val="00954B92"/>
    <w:rsid w:val="00955051"/>
    <w:rsid w:val="009554D2"/>
    <w:rsid w:val="0095565A"/>
    <w:rsid w:val="009557C9"/>
    <w:rsid w:val="0095588E"/>
    <w:rsid w:val="00955A5D"/>
    <w:rsid w:val="00955A95"/>
    <w:rsid w:val="00955C22"/>
    <w:rsid w:val="00955CD9"/>
    <w:rsid w:val="00955D04"/>
    <w:rsid w:val="00955DD5"/>
    <w:rsid w:val="00955F7E"/>
    <w:rsid w:val="00956071"/>
    <w:rsid w:val="009561D6"/>
    <w:rsid w:val="009561DC"/>
    <w:rsid w:val="009562F6"/>
    <w:rsid w:val="00956313"/>
    <w:rsid w:val="0095639A"/>
    <w:rsid w:val="009564F4"/>
    <w:rsid w:val="00956584"/>
    <w:rsid w:val="0095665E"/>
    <w:rsid w:val="00956895"/>
    <w:rsid w:val="00956959"/>
    <w:rsid w:val="00956A90"/>
    <w:rsid w:val="00956C06"/>
    <w:rsid w:val="00956C50"/>
    <w:rsid w:val="00956C67"/>
    <w:rsid w:val="00956E2E"/>
    <w:rsid w:val="00956EE7"/>
    <w:rsid w:val="00956F15"/>
    <w:rsid w:val="009570FC"/>
    <w:rsid w:val="009571F6"/>
    <w:rsid w:val="009572F5"/>
    <w:rsid w:val="0095730D"/>
    <w:rsid w:val="009573C1"/>
    <w:rsid w:val="009573CC"/>
    <w:rsid w:val="009573E0"/>
    <w:rsid w:val="00957437"/>
    <w:rsid w:val="009574AB"/>
    <w:rsid w:val="009574D6"/>
    <w:rsid w:val="0095767A"/>
    <w:rsid w:val="009576F7"/>
    <w:rsid w:val="00957705"/>
    <w:rsid w:val="00957844"/>
    <w:rsid w:val="00957AB1"/>
    <w:rsid w:val="00957B2A"/>
    <w:rsid w:val="00957BD2"/>
    <w:rsid w:val="0096010D"/>
    <w:rsid w:val="0096017E"/>
    <w:rsid w:val="009603F8"/>
    <w:rsid w:val="00960499"/>
    <w:rsid w:val="00960BDA"/>
    <w:rsid w:val="00960C87"/>
    <w:rsid w:val="00960CD8"/>
    <w:rsid w:val="00960E31"/>
    <w:rsid w:val="009611D6"/>
    <w:rsid w:val="00961235"/>
    <w:rsid w:val="00961285"/>
    <w:rsid w:val="0096168D"/>
    <w:rsid w:val="00961817"/>
    <w:rsid w:val="00961864"/>
    <w:rsid w:val="0096191D"/>
    <w:rsid w:val="00961921"/>
    <w:rsid w:val="0096193C"/>
    <w:rsid w:val="00961A73"/>
    <w:rsid w:val="00961B6F"/>
    <w:rsid w:val="00961BD8"/>
    <w:rsid w:val="00961C6E"/>
    <w:rsid w:val="00961C7A"/>
    <w:rsid w:val="00961D6B"/>
    <w:rsid w:val="00961DB1"/>
    <w:rsid w:val="00961DC3"/>
    <w:rsid w:val="00962605"/>
    <w:rsid w:val="00962686"/>
    <w:rsid w:val="009628DB"/>
    <w:rsid w:val="0096291B"/>
    <w:rsid w:val="00962A98"/>
    <w:rsid w:val="00962ACF"/>
    <w:rsid w:val="00962B8C"/>
    <w:rsid w:val="00962B96"/>
    <w:rsid w:val="00962EDA"/>
    <w:rsid w:val="0096350C"/>
    <w:rsid w:val="00963549"/>
    <w:rsid w:val="00963790"/>
    <w:rsid w:val="009639F5"/>
    <w:rsid w:val="00963BED"/>
    <w:rsid w:val="00963F1B"/>
    <w:rsid w:val="00963FCE"/>
    <w:rsid w:val="009640CB"/>
    <w:rsid w:val="00964412"/>
    <w:rsid w:val="00964454"/>
    <w:rsid w:val="00964659"/>
    <w:rsid w:val="00964690"/>
    <w:rsid w:val="00964919"/>
    <w:rsid w:val="00964A96"/>
    <w:rsid w:val="00964C1B"/>
    <w:rsid w:val="00964C8B"/>
    <w:rsid w:val="00964C95"/>
    <w:rsid w:val="00964DCA"/>
    <w:rsid w:val="00964F09"/>
    <w:rsid w:val="00964F16"/>
    <w:rsid w:val="00964F65"/>
    <w:rsid w:val="009651EB"/>
    <w:rsid w:val="0096523B"/>
    <w:rsid w:val="0096525F"/>
    <w:rsid w:val="009653F8"/>
    <w:rsid w:val="009655A8"/>
    <w:rsid w:val="009656F5"/>
    <w:rsid w:val="009657A1"/>
    <w:rsid w:val="0096587C"/>
    <w:rsid w:val="00965A20"/>
    <w:rsid w:val="00965A8A"/>
    <w:rsid w:val="00965A9D"/>
    <w:rsid w:val="00965C99"/>
    <w:rsid w:val="00965D22"/>
    <w:rsid w:val="00965D3C"/>
    <w:rsid w:val="00965F03"/>
    <w:rsid w:val="00965F23"/>
    <w:rsid w:val="00965F49"/>
    <w:rsid w:val="00966057"/>
    <w:rsid w:val="00966566"/>
    <w:rsid w:val="00966974"/>
    <w:rsid w:val="00966AD3"/>
    <w:rsid w:val="00966B19"/>
    <w:rsid w:val="00966CB1"/>
    <w:rsid w:val="00966D67"/>
    <w:rsid w:val="00966DD5"/>
    <w:rsid w:val="00966EFC"/>
    <w:rsid w:val="00966FE0"/>
    <w:rsid w:val="00967467"/>
    <w:rsid w:val="00967649"/>
    <w:rsid w:val="009676CB"/>
    <w:rsid w:val="00967749"/>
    <w:rsid w:val="009678CA"/>
    <w:rsid w:val="009679AA"/>
    <w:rsid w:val="00967A5C"/>
    <w:rsid w:val="00967B27"/>
    <w:rsid w:val="00967C7A"/>
    <w:rsid w:val="00967D1C"/>
    <w:rsid w:val="00967D8B"/>
    <w:rsid w:val="00970382"/>
    <w:rsid w:val="009703C1"/>
    <w:rsid w:val="009704B3"/>
    <w:rsid w:val="00970662"/>
    <w:rsid w:val="00970672"/>
    <w:rsid w:val="00970814"/>
    <w:rsid w:val="009709CC"/>
    <w:rsid w:val="00970AE8"/>
    <w:rsid w:val="00970B1E"/>
    <w:rsid w:val="00970C75"/>
    <w:rsid w:val="00970D20"/>
    <w:rsid w:val="00970E68"/>
    <w:rsid w:val="00970EE0"/>
    <w:rsid w:val="00971406"/>
    <w:rsid w:val="0097152B"/>
    <w:rsid w:val="009716B3"/>
    <w:rsid w:val="00971766"/>
    <w:rsid w:val="00971B48"/>
    <w:rsid w:val="00971C1B"/>
    <w:rsid w:val="009722F3"/>
    <w:rsid w:val="00972401"/>
    <w:rsid w:val="0097248C"/>
    <w:rsid w:val="00972575"/>
    <w:rsid w:val="009729D4"/>
    <w:rsid w:val="00972C2B"/>
    <w:rsid w:val="00972CC4"/>
    <w:rsid w:val="00972ED4"/>
    <w:rsid w:val="0097328F"/>
    <w:rsid w:val="00973390"/>
    <w:rsid w:val="009733AC"/>
    <w:rsid w:val="0097347F"/>
    <w:rsid w:val="009734BE"/>
    <w:rsid w:val="009735E0"/>
    <w:rsid w:val="009736D7"/>
    <w:rsid w:val="00973701"/>
    <w:rsid w:val="00973704"/>
    <w:rsid w:val="0097387F"/>
    <w:rsid w:val="00973B13"/>
    <w:rsid w:val="00974254"/>
    <w:rsid w:val="00974459"/>
    <w:rsid w:val="00974655"/>
    <w:rsid w:val="00974859"/>
    <w:rsid w:val="00974890"/>
    <w:rsid w:val="009748BA"/>
    <w:rsid w:val="00974A36"/>
    <w:rsid w:val="00974A3D"/>
    <w:rsid w:val="00974B1C"/>
    <w:rsid w:val="00974B49"/>
    <w:rsid w:val="00974C81"/>
    <w:rsid w:val="00974CB1"/>
    <w:rsid w:val="00974E55"/>
    <w:rsid w:val="0097514F"/>
    <w:rsid w:val="0097527A"/>
    <w:rsid w:val="00975351"/>
    <w:rsid w:val="009757A2"/>
    <w:rsid w:val="0097589C"/>
    <w:rsid w:val="009758CE"/>
    <w:rsid w:val="009758CF"/>
    <w:rsid w:val="00975B01"/>
    <w:rsid w:val="00975B24"/>
    <w:rsid w:val="00975E74"/>
    <w:rsid w:val="00975EB0"/>
    <w:rsid w:val="0097607B"/>
    <w:rsid w:val="0097639D"/>
    <w:rsid w:val="00976846"/>
    <w:rsid w:val="00976BEA"/>
    <w:rsid w:val="00976C23"/>
    <w:rsid w:val="00976F2A"/>
    <w:rsid w:val="0097735C"/>
    <w:rsid w:val="009773C5"/>
    <w:rsid w:val="0097741A"/>
    <w:rsid w:val="00977483"/>
    <w:rsid w:val="00977512"/>
    <w:rsid w:val="009775F5"/>
    <w:rsid w:val="009776E0"/>
    <w:rsid w:val="009777A8"/>
    <w:rsid w:val="0097780D"/>
    <w:rsid w:val="009778F1"/>
    <w:rsid w:val="00977BDD"/>
    <w:rsid w:val="00977C1A"/>
    <w:rsid w:val="00977C5C"/>
    <w:rsid w:val="00977C9E"/>
    <w:rsid w:val="00977CB0"/>
    <w:rsid w:val="00977E97"/>
    <w:rsid w:val="00977EAD"/>
    <w:rsid w:val="00977F65"/>
    <w:rsid w:val="009800A1"/>
    <w:rsid w:val="0098010F"/>
    <w:rsid w:val="00980157"/>
    <w:rsid w:val="00980223"/>
    <w:rsid w:val="0098037A"/>
    <w:rsid w:val="0098037D"/>
    <w:rsid w:val="009803B0"/>
    <w:rsid w:val="009804C7"/>
    <w:rsid w:val="009806AF"/>
    <w:rsid w:val="00980759"/>
    <w:rsid w:val="00980B3C"/>
    <w:rsid w:val="00980B64"/>
    <w:rsid w:val="00980EE5"/>
    <w:rsid w:val="0098108D"/>
    <w:rsid w:val="0098119B"/>
    <w:rsid w:val="00981207"/>
    <w:rsid w:val="0098123A"/>
    <w:rsid w:val="009812AD"/>
    <w:rsid w:val="00981352"/>
    <w:rsid w:val="0098154D"/>
    <w:rsid w:val="009817B0"/>
    <w:rsid w:val="00981827"/>
    <w:rsid w:val="009818E8"/>
    <w:rsid w:val="00981944"/>
    <w:rsid w:val="00981B40"/>
    <w:rsid w:val="00981C48"/>
    <w:rsid w:val="0098202F"/>
    <w:rsid w:val="00982064"/>
    <w:rsid w:val="00982109"/>
    <w:rsid w:val="009821CE"/>
    <w:rsid w:val="0098238F"/>
    <w:rsid w:val="0098256D"/>
    <w:rsid w:val="0098257B"/>
    <w:rsid w:val="009827B9"/>
    <w:rsid w:val="00982818"/>
    <w:rsid w:val="009828FB"/>
    <w:rsid w:val="00982A14"/>
    <w:rsid w:val="00982C0F"/>
    <w:rsid w:val="00982CFE"/>
    <w:rsid w:val="00982DE9"/>
    <w:rsid w:val="00982E85"/>
    <w:rsid w:val="00982F14"/>
    <w:rsid w:val="00982F1C"/>
    <w:rsid w:val="009830A7"/>
    <w:rsid w:val="0098316B"/>
    <w:rsid w:val="00983355"/>
    <w:rsid w:val="00983518"/>
    <w:rsid w:val="009835DF"/>
    <w:rsid w:val="00983761"/>
    <w:rsid w:val="00983763"/>
    <w:rsid w:val="00983ADD"/>
    <w:rsid w:val="00983B54"/>
    <w:rsid w:val="00983C30"/>
    <w:rsid w:val="00983DCA"/>
    <w:rsid w:val="00983F1A"/>
    <w:rsid w:val="009841FD"/>
    <w:rsid w:val="00984344"/>
    <w:rsid w:val="00984366"/>
    <w:rsid w:val="00984517"/>
    <w:rsid w:val="009847B9"/>
    <w:rsid w:val="009847DE"/>
    <w:rsid w:val="0098486C"/>
    <w:rsid w:val="009848FB"/>
    <w:rsid w:val="009849E6"/>
    <w:rsid w:val="00984BF3"/>
    <w:rsid w:val="00984CC6"/>
    <w:rsid w:val="00984E89"/>
    <w:rsid w:val="00984F50"/>
    <w:rsid w:val="00985026"/>
    <w:rsid w:val="00985154"/>
    <w:rsid w:val="00985187"/>
    <w:rsid w:val="0098537C"/>
    <w:rsid w:val="00985628"/>
    <w:rsid w:val="009857AC"/>
    <w:rsid w:val="009857E1"/>
    <w:rsid w:val="009859E2"/>
    <w:rsid w:val="00985DCF"/>
    <w:rsid w:val="00985EAC"/>
    <w:rsid w:val="00985EB2"/>
    <w:rsid w:val="00986023"/>
    <w:rsid w:val="0098621A"/>
    <w:rsid w:val="0098680F"/>
    <w:rsid w:val="00986BC7"/>
    <w:rsid w:val="00986D25"/>
    <w:rsid w:val="00986D64"/>
    <w:rsid w:val="00986DD5"/>
    <w:rsid w:val="00986E82"/>
    <w:rsid w:val="00986ECE"/>
    <w:rsid w:val="00986FA4"/>
    <w:rsid w:val="0098709D"/>
    <w:rsid w:val="009870DB"/>
    <w:rsid w:val="00987211"/>
    <w:rsid w:val="00987239"/>
    <w:rsid w:val="0098726B"/>
    <w:rsid w:val="009872A9"/>
    <w:rsid w:val="009872B0"/>
    <w:rsid w:val="009873A7"/>
    <w:rsid w:val="009873FE"/>
    <w:rsid w:val="009875D5"/>
    <w:rsid w:val="00987603"/>
    <w:rsid w:val="009876C8"/>
    <w:rsid w:val="009877DC"/>
    <w:rsid w:val="00987954"/>
    <w:rsid w:val="009879F2"/>
    <w:rsid w:val="009879F8"/>
    <w:rsid w:val="00987AEA"/>
    <w:rsid w:val="00990014"/>
    <w:rsid w:val="0099006B"/>
    <w:rsid w:val="009902F5"/>
    <w:rsid w:val="00990305"/>
    <w:rsid w:val="009904C7"/>
    <w:rsid w:val="0099073E"/>
    <w:rsid w:val="00990766"/>
    <w:rsid w:val="009909A5"/>
    <w:rsid w:val="00990A9B"/>
    <w:rsid w:val="00990BDF"/>
    <w:rsid w:val="00990CE3"/>
    <w:rsid w:val="00990F20"/>
    <w:rsid w:val="00990F7C"/>
    <w:rsid w:val="009910A3"/>
    <w:rsid w:val="00991182"/>
    <w:rsid w:val="0099125B"/>
    <w:rsid w:val="00991361"/>
    <w:rsid w:val="00991373"/>
    <w:rsid w:val="0099143E"/>
    <w:rsid w:val="00991542"/>
    <w:rsid w:val="0099176C"/>
    <w:rsid w:val="00991779"/>
    <w:rsid w:val="0099182A"/>
    <w:rsid w:val="00991993"/>
    <w:rsid w:val="00991995"/>
    <w:rsid w:val="009919EE"/>
    <w:rsid w:val="00991A4C"/>
    <w:rsid w:val="00991B05"/>
    <w:rsid w:val="00991B16"/>
    <w:rsid w:val="00991DE9"/>
    <w:rsid w:val="00992032"/>
    <w:rsid w:val="0099210D"/>
    <w:rsid w:val="0099218D"/>
    <w:rsid w:val="0099231A"/>
    <w:rsid w:val="00992367"/>
    <w:rsid w:val="0099237A"/>
    <w:rsid w:val="009925AA"/>
    <w:rsid w:val="009925CA"/>
    <w:rsid w:val="009928F2"/>
    <w:rsid w:val="009928F5"/>
    <w:rsid w:val="009929FD"/>
    <w:rsid w:val="00992A7D"/>
    <w:rsid w:val="00992A8E"/>
    <w:rsid w:val="00992AD3"/>
    <w:rsid w:val="00992D80"/>
    <w:rsid w:val="00992F9F"/>
    <w:rsid w:val="00993092"/>
    <w:rsid w:val="0099314B"/>
    <w:rsid w:val="00993286"/>
    <w:rsid w:val="00993417"/>
    <w:rsid w:val="009934C4"/>
    <w:rsid w:val="009938A0"/>
    <w:rsid w:val="009938F5"/>
    <w:rsid w:val="00993A4E"/>
    <w:rsid w:val="00993B2E"/>
    <w:rsid w:val="00993CBD"/>
    <w:rsid w:val="00993CEC"/>
    <w:rsid w:val="00993E9C"/>
    <w:rsid w:val="00993F83"/>
    <w:rsid w:val="009940B9"/>
    <w:rsid w:val="00994211"/>
    <w:rsid w:val="00994267"/>
    <w:rsid w:val="00994279"/>
    <w:rsid w:val="00994381"/>
    <w:rsid w:val="00994496"/>
    <w:rsid w:val="009947A6"/>
    <w:rsid w:val="00994D0E"/>
    <w:rsid w:val="009951A6"/>
    <w:rsid w:val="00995228"/>
    <w:rsid w:val="00995232"/>
    <w:rsid w:val="0099581F"/>
    <w:rsid w:val="0099584B"/>
    <w:rsid w:val="009959AA"/>
    <w:rsid w:val="00995EB9"/>
    <w:rsid w:val="00996214"/>
    <w:rsid w:val="009962A2"/>
    <w:rsid w:val="009962FB"/>
    <w:rsid w:val="009965C6"/>
    <w:rsid w:val="0099668A"/>
    <w:rsid w:val="00996798"/>
    <w:rsid w:val="0099693A"/>
    <w:rsid w:val="00996A79"/>
    <w:rsid w:val="009971CF"/>
    <w:rsid w:val="009973A3"/>
    <w:rsid w:val="00997596"/>
    <w:rsid w:val="009975B1"/>
    <w:rsid w:val="00997681"/>
    <w:rsid w:val="0099794D"/>
    <w:rsid w:val="00997B48"/>
    <w:rsid w:val="00997DEB"/>
    <w:rsid w:val="00997ED9"/>
    <w:rsid w:val="009A002F"/>
    <w:rsid w:val="009A00E7"/>
    <w:rsid w:val="009A02D8"/>
    <w:rsid w:val="009A062B"/>
    <w:rsid w:val="009A0686"/>
    <w:rsid w:val="009A07C6"/>
    <w:rsid w:val="009A098B"/>
    <w:rsid w:val="009A0A7A"/>
    <w:rsid w:val="009A0B10"/>
    <w:rsid w:val="009A0C6C"/>
    <w:rsid w:val="009A0C82"/>
    <w:rsid w:val="009A0D31"/>
    <w:rsid w:val="009A0E26"/>
    <w:rsid w:val="009A10B8"/>
    <w:rsid w:val="009A1182"/>
    <w:rsid w:val="009A12B5"/>
    <w:rsid w:val="009A1700"/>
    <w:rsid w:val="009A170A"/>
    <w:rsid w:val="009A175F"/>
    <w:rsid w:val="009A1A68"/>
    <w:rsid w:val="009A1ADD"/>
    <w:rsid w:val="009A1C0D"/>
    <w:rsid w:val="009A1D9A"/>
    <w:rsid w:val="009A239F"/>
    <w:rsid w:val="009A2455"/>
    <w:rsid w:val="009A26DF"/>
    <w:rsid w:val="009A277C"/>
    <w:rsid w:val="009A280E"/>
    <w:rsid w:val="009A2BCB"/>
    <w:rsid w:val="009A2D58"/>
    <w:rsid w:val="009A2D8D"/>
    <w:rsid w:val="009A2F99"/>
    <w:rsid w:val="009A3146"/>
    <w:rsid w:val="009A3311"/>
    <w:rsid w:val="009A3353"/>
    <w:rsid w:val="009A34D7"/>
    <w:rsid w:val="009A36E2"/>
    <w:rsid w:val="009A399B"/>
    <w:rsid w:val="009A39A0"/>
    <w:rsid w:val="009A3AB1"/>
    <w:rsid w:val="009A3D51"/>
    <w:rsid w:val="009A3E98"/>
    <w:rsid w:val="009A3FA5"/>
    <w:rsid w:val="009A4053"/>
    <w:rsid w:val="009A41AE"/>
    <w:rsid w:val="009A41B1"/>
    <w:rsid w:val="009A445A"/>
    <w:rsid w:val="009A47A0"/>
    <w:rsid w:val="009A47FA"/>
    <w:rsid w:val="009A488A"/>
    <w:rsid w:val="009A4B48"/>
    <w:rsid w:val="009A4B57"/>
    <w:rsid w:val="009A4C05"/>
    <w:rsid w:val="009A5147"/>
    <w:rsid w:val="009A52BD"/>
    <w:rsid w:val="009A52D2"/>
    <w:rsid w:val="009A52E1"/>
    <w:rsid w:val="009A52EB"/>
    <w:rsid w:val="009A540D"/>
    <w:rsid w:val="009A55A2"/>
    <w:rsid w:val="009A55FC"/>
    <w:rsid w:val="009A5684"/>
    <w:rsid w:val="009A57A9"/>
    <w:rsid w:val="009A58BC"/>
    <w:rsid w:val="009A5A32"/>
    <w:rsid w:val="009A5EA7"/>
    <w:rsid w:val="009A615C"/>
    <w:rsid w:val="009A6473"/>
    <w:rsid w:val="009A658F"/>
    <w:rsid w:val="009A66FE"/>
    <w:rsid w:val="009A68CE"/>
    <w:rsid w:val="009A6A1A"/>
    <w:rsid w:val="009A6A20"/>
    <w:rsid w:val="009A6DD6"/>
    <w:rsid w:val="009A717E"/>
    <w:rsid w:val="009A732C"/>
    <w:rsid w:val="009A738D"/>
    <w:rsid w:val="009A7399"/>
    <w:rsid w:val="009A73B4"/>
    <w:rsid w:val="009A7647"/>
    <w:rsid w:val="009A77C0"/>
    <w:rsid w:val="009A7C21"/>
    <w:rsid w:val="009A7FD2"/>
    <w:rsid w:val="009B01B6"/>
    <w:rsid w:val="009B0422"/>
    <w:rsid w:val="009B0595"/>
    <w:rsid w:val="009B088F"/>
    <w:rsid w:val="009B08E4"/>
    <w:rsid w:val="009B0B47"/>
    <w:rsid w:val="009B0B4E"/>
    <w:rsid w:val="009B0B53"/>
    <w:rsid w:val="009B1185"/>
    <w:rsid w:val="009B12A0"/>
    <w:rsid w:val="009B12F1"/>
    <w:rsid w:val="009B138D"/>
    <w:rsid w:val="009B140F"/>
    <w:rsid w:val="009B14E6"/>
    <w:rsid w:val="009B186A"/>
    <w:rsid w:val="009B19E6"/>
    <w:rsid w:val="009B1A84"/>
    <w:rsid w:val="009B1D28"/>
    <w:rsid w:val="009B1D75"/>
    <w:rsid w:val="009B1DED"/>
    <w:rsid w:val="009B20A7"/>
    <w:rsid w:val="009B20B2"/>
    <w:rsid w:val="009B2142"/>
    <w:rsid w:val="009B2249"/>
    <w:rsid w:val="009B22DA"/>
    <w:rsid w:val="009B274F"/>
    <w:rsid w:val="009B280A"/>
    <w:rsid w:val="009B28F8"/>
    <w:rsid w:val="009B2CAF"/>
    <w:rsid w:val="009B2E26"/>
    <w:rsid w:val="009B2E5E"/>
    <w:rsid w:val="009B2FC9"/>
    <w:rsid w:val="009B2FD3"/>
    <w:rsid w:val="009B2FF0"/>
    <w:rsid w:val="009B30FC"/>
    <w:rsid w:val="009B32FD"/>
    <w:rsid w:val="009B33D2"/>
    <w:rsid w:val="009B3553"/>
    <w:rsid w:val="009B35E5"/>
    <w:rsid w:val="009B371A"/>
    <w:rsid w:val="009B3775"/>
    <w:rsid w:val="009B38A8"/>
    <w:rsid w:val="009B3A21"/>
    <w:rsid w:val="009B3D5D"/>
    <w:rsid w:val="009B3E6C"/>
    <w:rsid w:val="009B438B"/>
    <w:rsid w:val="009B43D3"/>
    <w:rsid w:val="009B45D7"/>
    <w:rsid w:val="009B47ED"/>
    <w:rsid w:val="009B48D8"/>
    <w:rsid w:val="009B4D4A"/>
    <w:rsid w:val="009B5047"/>
    <w:rsid w:val="009B5113"/>
    <w:rsid w:val="009B5202"/>
    <w:rsid w:val="009B53F1"/>
    <w:rsid w:val="009B5422"/>
    <w:rsid w:val="009B542A"/>
    <w:rsid w:val="009B54CA"/>
    <w:rsid w:val="009B5870"/>
    <w:rsid w:val="009B5AFB"/>
    <w:rsid w:val="009B5B44"/>
    <w:rsid w:val="009B5DEA"/>
    <w:rsid w:val="009B61C6"/>
    <w:rsid w:val="009B61E8"/>
    <w:rsid w:val="009B625F"/>
    <w:rsid w:val="009B654F"/>
    <w:rsid w:val="009B66E6"/>
    <w:rsid w:val="009B66ED"/>
    <w:rsid w:val="009B6816"/>
    <w:rsid w:val="009B6A87"/>
    <w:rsid w:val="009B6B0E"/>
    <w:rsid w:val="009B6C29"/>
    <w:rsid w:val="009B6C4F"/>
    <w:rsid w:val="009B6EAD"/>
    <w:rsid w:val="009B6F05"/>
    <w:rsid w:val="009B6F3C"/>
    <w:rsid w:val="009B6F54"/>
    <w:rsid w:val="009B6FAD"/>
    <w:rsid w:val="009B7124"/>
    <w:rsid w:val="009B71AF"/>
    <w:rsid w:val="009B71E3"/>
    <w:rsid w:val="009B7456"/>
    <w:rsid w:val="009B7503"/>
    <w:rsid w:val="009B7607"/>
    <w:rsid w:val="009B7631"/>
    <w:rsid w:val="009B764D"/>
    <w:rsid w:val="009B7650"/>
    <w:rsid w:val="009B76CD"/>
    <w:rsid w:val="009B7956"/>
    <w:rsid w:val="009B7A24"/>
    <w:rsid w:val="009B7A33"/>
    <w:rsid w:val="009B7ACF"/>
    <w:rsid w:val="009B7B69"/>
    <w:rsid w:val="009B7BAE"/>
    <w:rsid w:val="009B7BB4"/>
    <w:rsid w:val="009B7F98"/>
    <w:rsid w:val="009B7FE6"/>
    <w:rsid w:val="009C03C7"/>
    <w:rsid w:val="009C058F"/>
    <w:rsid w:val="009C064C"/>
    <w:rsid w:val="009C0749"/>
    <w:rsid w:val="009C087A"/>
    <w:rsid w:val="009C0933"/>
    <w:rsid w:val="009C094E"/>
    <w:rsid w:val="009C0B2F"/>
    <w:rsid w:val="009C0E36"/>
    <w:rsid w:val="009C100A"/>
    <w:rsid w:val="009C13AB"/>
    <w:rsid w:val="009C1470"/>
    <w:rsid w:val="009C14E1"/>
    <w:rsid w:val="009C1539"/>
    <w:rsid w:val="009C1662"/>
    <w:rsid w:val="009C17FC"/>
    <w:rsid w:val="009C1C4E"/>
    <w:rsid w:val="009C1D6C"/>
    <w:rsid w:val="009C1FD3"/>
    <w:rsid w:val="009C2036"/>
    <w:rsid w:val="009C205D"/>
    <w:rsid w:val="009C2081"/>
    <w:rsid w:val="009C20CB"/>
    <w:rsid w:val="009C216F"/>
    <w:rsid w:val="009C22FF"/>
    <w:rsid w:val="009C23D1"/>
    <w:rsid w:val="009C26A3"/>
    <w:rsid w:val="009C26C8"/>
    <w:rsid w:val="009C27AA"/>
    <w:rsid w:val="009C283B"/>
    <w:rsid w:val="009C2A42"/>
    <w:rsid w:val="009C2AB0"/>
    <w:rsid w:val="009C2D02"/>
    <w:rsid w:val="009C2F35"/>
    <w:rsid w:val="009C30E8"/>
    <w:rsid w:val="009C316E"/>
    <w:rsid w:val="009C3186"/>
    <w:rsid w:val="009C3776"/>
    <w:rsid w:val="009C3A89"/>
    <w:rsid w:val="009C3CEC"/>
    <w:rsid w:val="009C3D41"/>
    <w:rsid w:val="009C40F0"/>
    <w:rsid w:val="009C4144"/>
    <w:rsid w:val="009C431C"/>
    <w:rsid w:val="009C4826"/>
    <w:rsid w:val="009C483A"/>
    <w:rsid w:val="009C490C"/>
    <w:rsid w:val="009C4C6B"/>
    <w:rsid w:val="009C4DD5"/>
    <w:rsid w:val="009C4E67"/>
    <w:rsid w:val="009C5057"/>
    <w:rsid w:val="009C533D"/>
    <w:rsid w:val="009C5393"/>
    <w:rsid w:val="009C555B"/>
    <w:rsid w:val="009C5570"/>
    <w:rsid w:val="009C560F"/>
    <w:rsid w:val="009C588D"/>
    <w:rsid w:val="009C595B"/>
    <w:rsid w:val="009C59E6"/>
    <w:rsid w:val="009C5BB0"/>
    <w:rsid w:val="009C5CD7"/>
    <w:rsid w:val="009C5D00"/>
    <w:rsid w:val="009C5D14"/>
    <w:rsid w:val="009C5D58"/>
    <w:rsid w:val="009C5DAE"/>
    <w:rsid w:val="009C5E4C"/>
    <w:rsid w:val="009C5EA8"/>
    <w:rsid w:val="009C5F22"/>
    <w:rsid w:val="009C5FE4"/>
    <w:rsid w:val="009C6136"/>
    <w:rsid w:val="009C6256"/>
    <w:rsid w:val="009C6305"/>
    <w:rsid w:val="009C6861"/>
    <w:rsid w:val="009C686B"/>
    <w:rsid w:val="009C686C"/>
    <w:rsid w:val="009C698B"/>
    <w:rsid w:val="009C6A60"/>
    <w:rsid w:val="009C6AA4"/>
    <w:rsid w:val="009C6AA6"/>
    <w:rsid w:val="009C6CE8"/>
    <w:rsid w:val="009C6E77"/>
    <w:rsid w:val="009C6E9E"/>
    <w:rsid w:val="009C6ED0"/>
    <w:rsid w:val="009C6FEB"/>
    <w:rsid w:val="009C73F1"/>
    <w:rsid w:val="009C7563"/>
    <w:rsid w:val="009C7754"/>
    <w:rsid w:val="009C77E2"/>
    <w:rsid w:val="009C78DE"/>
    <w:rsid w:val="009C7A57"/>
    <w:rsid w:val="009C7C19"/>
    <w:rsid w:val="009C7F24"/>
    <w:rsid w:val="009C7F9D"/>
    <w:rsid w:val="009C7FEE"/>
    <w:rsid w:val="009D0163"/>
    <w:rsid w:val="009D03A5"/>
    <w:rsid w:val="009D04C7"/>
    <w:rsid w:val="009D0678"/>
    <w:rsid w:val="009D0941"/>
    <w:rsid w:val="009D0A1E"/>
    <w:rsid w:val="009D0B7B"/>
    <w:rsid w:val="009D0ED3"/>
    <w:rsid w:val="009D11D4"/>
    <w:rsid w:val="009D1313"/>
    <w:rsid w:val="009D1348"/>
    <w:rsid w:val="009D13FD"/>
    <w:rsid w:val="009D1731"/>
    <w:rsid w:val="009D18CF"/>
    <w:rsid w:val="009D1B40"/>
    <w:rsid w:val="009D1C07"/>
    <w:rsid w:val="009D1E14"/>
    <w:rsid w:val="009D1F5C"/>
    <w:rsid w:val="009D21EE"/>
    <w:rsid w:val="009D22A9"/>
    <w:rsid w:val="009D22DC"/>
    <w:rsid w:val="009D2410"/>
    <w:rsid w:val="009D24F4"/>
    <w:rsid w:val="009D2514"/>
    <w:rsid w:val="009D251A"/>
    <w:rsid w:val="009D260A"/>
    <w:rsid w:val="009D270A"/>
    <w:rsid w:val="009D2790"/>
    <w:rsid w:val="009D27BD"/>
    <w:rsid w:val="009D2957"/>
    <w:rsid w:val="009D2A24"/>
    <w:rsid w:val="009D2CFF"/>
    <w:rsid w:val="009D2D30"/>
    <w:rsid w:val="009D2D38"/>
    <w:rsid w:val="009D30D3"/>
    <w:rsid w:val="009D3999"/>
    <w:rsid w:val="009D3E05"/>
    <w:rsid w:val="009D405C"/>
    <w:rsid w:val="009D406E"/>
    <w:rsid w:val="009D4139"/>
    <w:rsid w:val="009D4179"/>
    <w:rsid w:val="009D441C"/>
    <w:rsid w:val="009D4683"/>
    <w:rsid w:val="009D46CC"/>
    <w:rsid w:val="009D4743"/>
    <w:rsid w:val="009D4770"/>
    <w:rsid w:val="009D47A7"/>
    <w:rsid w:val="009D4896"/>
    <w:rsid w:val="009D4A9C"/>
    <w:rsid w:val="009D50A5"/>
    <w:rsid w:val="009D5143"/>
    <w:rsid w:val="009D59CD"/>
    <w:rsid w:val="009D5A0C"/>
    <w:rsid w:val="009D5CF1"/>
    <w:rsid w:val="009D6251"/>
    <w:rsid w:val="009D63A7"/>
    <w:rsid w:val="009D65B7"/>
    <w:rsid w:val="009D6637"/>
    <w:rsid w:val="009D69CE"/>
    <w:rsid w:val="009D70EE"/>
    <w:rsid w:val="009D7106"/>
    <w:rsid w:val="009D7281"/>
    <w:rsid w:val="009D7553"/>
    <w:rsid w:val="009D7579"/>
    <w:rsid w:val="009D764E"/>
    <w:rsid w:val="009D76FD"/>
    <w:rsid w:val="009D78EA"/>
    <w:rsid w:val="009D79AA"/>
    <w:rsid w:val="009D7E56"/>
    <w:rsid w:val="009E0141"/>
    <w:rsid w:val="009E0149"/>
    <w:rsid w:val="009E01D3"/>
    <w:rsid w:val="009E025E"/>
    <w:rsid w:val="009E02C1"/>
    <w:rsid w:val="009E03C2"/>
    <w:rsid w:val="009E0505"/>
    <w:rsid w:val="009E0519"/>
    <w:rsid w:val="009E06F9"/>
    <w:rsid w:val="009E07EC"/>
    <w:rsid w:val="009E0CA5"/>
    <w:rsid w:val="009E0D58"/>
    <w:rsid w:val="009E0E93"/>
    <w:rsid w:val="009E0ED6"/>
    <w:rsid w:val="009E1197"/>
    <w:rsid w:val="009E1256"/>
    <w:rsid w:val="009E136B"/>
    <w:rsid w:val="009E1676"/>
    <w:rsid w:val="009E171B"/>
    <w:rsid w:val="009E1AC8"/>
    <w:rsid w:val="009E1B7B"/>
    <w:rsid w:val="009E1CE2"/>
    <w:rsid w:val="009E1F00"/>
    <w:rsid w:val="009E20B9"/>
    <w:rsid w:val="009E214E"/>
    <w:rsid w:val="009E221B"/>
    <w:rsid w:val="009E227F"/>
    <w:rsid w:val="009E240D"/>
    <w:rsid w:val="009E2517"/>
    <w:rsid w:val="009E2577"/>
    <w:rsid w:val="009E258A"/>
    <w:rsid w:val="009E2803"/>
    <w:rsid w:val="009E2B2F"/>
    <w:rsid w:val="009E2D36"/>
    <w:rsid w:val="009E30A7"/>
    <w:rsid w:val="009E33BA"/>
    <w:rsid w:val="009E3564"/>
    <w:rsid w:val="009E3DF9"/>
    <w:rsid w:val="009E3E2D"/>
    <w:rsid w:val="009E3E53"/>
    <w:rsid w:val="009E3FD3"/>
    <w:rsid w:val="009E4035"/>
    <w:rsid w:val="009E43B6"/>
    <w:rsid w:val="009E450A"/>
    <w:rsid w:val="009E4572"/>
    <w:rsid w:val="009E48AB"/>
    <w:rsid w:val="009E4AFE"/>
    <w:rsid w:val="009E4B21"/>
    <w:rsid w:val="009E4BA9"/>
    <w:rsid w:val="009E4F62"/>
    <w:rsid w:val="009E4F66"/>
    <w:rsid w:val="009E4F88"/>
    <w:rsid w:val="009E50C8"/>
    <w:rsid w:val="009E5518"/>
    <w:rsid w:val="009E5784"/>
    <w:rsid w:val="009E58D8"/>
    <w:rsid w:val="009E5B26"/>
    <w:rsid w:val="009E5BED"/>
    <w:rsid w:val="009E5C1F"/>
    <w:rsid w:val="009E5CE3"/>
    <w:rsid w:val="009E5CE7"/>
    <w:rsid w:val="009E5DE5"/>
    <w:rsid w:val="009E618D"/>
    <w:rsid w:val="009E643A"/>
    <w:rsid w:val="009E6458"/>
    <w:rsid w:val="009E6501"/>
    <w:rsid w:val="009E6667"/>
    <w:rsid w:val="009E6865"/>
    <w:rsid w:val="009E686D"/>
    <w:rsid w:val="009E6A69"/>
    <w:rsid w:val="009E6D67"/>
    <w:rsid w:val="009E6E87"/>
    <w:rsid w:val="009E6F15"/>
    <w:rsid w:val="009E7248"/>
    <w:rsid w:val="009E730A"/>
    <w:rsid w:val="009E73C2"/>
    <w:rsid w:val="009E7433"/>
    <w:rsid w:val="009E74F1"/>
    <w:rsid w:val="009E7802"/>
    <w:rsid w:val="009E7B36"/>
    <w:rsid w:val="009E7B4A"/>
    <w:rsid w:val="009E7CF5"/>
    <w:rsid w:val="009F0313"/>
    <w:rsid w:val="009F032B"/>
    <w:rsid w:val="009F04BE"/>
    <w:rsid w:val="009F04EC"/>
    <w:rsid w:val="009F07DA"/>
    <w:rsid w:val="009F0907"/>
    <w:rsid w:val="009F09B3"/>
    <w:rsid w:val="009F0A49"/>
    <w:rsid w:val="009F0D78"/>
    <w:rsid w:val="009F0DCD"/>
    <w:rsid w:val="009F0EDD"/>
    <w:rsid w:val="009F1216"/>
    <w:rsid w:val="009F1262"/>
    <w:rsid w:val="009F155B"/>
    <w:rsid w:val="009F155E"/>
    <w:rsid w:val="009F1582"/>
    <w:rsid w:val="009F15D2"/>
    <w:rsid w:val="009F162F"/>
    <w:rsid w:val="009F1645"/>
    <w:rsid w:val="009F16EB"/>
    <w:rsid w:val="009F17C0"/>
    <w:rsid w:val="009F181C"/>
    <w:rsid w:val="009F1C04"/>
    <w:rsid w:val="009F1DFF"/>
    <w:rsid w:val="009F1E87"/>
    <w:rsid w:val="009F200E"/>
    <w:rsid w:val="009F2076"/>
    <w:rsid w:val="009F20A2"/>
    <w:rsid w:val="009F213B"/>
    <w:rsid w:val="009F214E"/>
    <w:rsid w:val="009F2413"/>
    <w:rsid w:val="009F2449"/>
    <w:rsid w:val="009F2589"/>
    <w:rsid w:val="009F29E1"/>
    <w:rsid w:val="009F2A38"/>
    <w:rsid w:val="009F2A40"/>
    <w:rsid w:val="009F2AA1"/>
    <w:rsid w:val="009F2D57"/>
    <w:rsid w:val="009F2EF2"/>
    <w:rsid w:val="009F30A0"/>
    <w:rsid w:val="009F3187"/>
    <w:rsid w:val="009F336A"/>
    <w:rsid w:val="009F3710"/>
    <w:rsid w:val="009F37A5"/>
    <w:rsid w:val="009F3A49"/>
    <w:rsid w:val="009F3E06"/>
    <w:rsid w:val="009F3E9B"/>
    <w:rsid w:val="009F3F4D"/>
    <w:rsid w:val="009F3FC2"/>
    <w:rsid w:val="009F3FEB"/>
    <w:rsid w:val="009F414B"/>
    <w:rsid w:val="009F459E"/>
    <w:rsid w:val="009F47A2"/>
    <w:rsid w:val="009F4D32"/>
    <w:rsid w:val="009F4DB2"/>
    <w:rsid w:val="009F4F64"/>
    <w:rsid w:val="009F501D"/>
    <w:rsid w:val="009F51F2"/>
    <w:rsid w:val="009F5263"/>
    <w:rsid w:val="009F536E"/>
    <w:rsid w:val="009F53CB"/>
    <w:rsid w:val="009F54B5"/>
    <w:rsid w:val="009F54E5"/>
    <w:rsid w:val="009F5610"/>
    <w:rsid w:val="009F5838"/>
    <w:rsid w:val="009F585B"/>
    <w:rsid w:val="009F5869"/>
    <w:rsid w:val="009F5905"/>
    <w:rsid w:val="009F59F2"/>
    <w:rsid w:val="009F5B47"/>
    <w:rsid w:val="009F5BD2"/>
    <w:rsid w:val="009F5DD6"/>
    <w:rsid w:val="009F5DEA"/>
    <w:rsid w:val="009F6412"/>
    <w:rsid w:val="009F661A"/>
    <w:rsid w:val="009F6691"/>
    <w:rsid w:val="009F6811"/>
    <w:rsid w:val="009F6858"/>
    <w:rsid w:val="009F6C7C"/>
    <w:rsid w:val="009F6CA1"/>
    <w:rsid w:val="009F6D94"/>
    <w:rsid w:val="009F7069"/>
    <w:rsid w:val="009F706F"/>
    <w:rsid w:val="009F72BA"/>
    <w:rsid w:val="009F7469"/>
    <w:rsid w:val="009F748C"/>
    <w:rsid w:val="009F75C5"/>
    <w:rsid w:val="009F76C7"/>
    <w:rsid w:val="009F77D5"/>
    <w:rsid w:val="009F7A1C"/>
    <w:rsid w:val="009F7B40"/>
    <w:rsid w:val="009F7B8C"/>
    <w:rsid w:val="009F7C13"/>
    <w:rsid w:val="009F7C58"/>
    <w:rsid w:val="009F7E27"/>
    <w:rsid w:val="00A00033"/>
    <w:rsid w:val="00A0010B"/>
    <w:rsid w:val="00A001AC"/>
    <w:rsid w:val="00A00219"/>
    <w:rsid w:val="00A002DC"/>
    <w:rsid w:val="00A00420"/>
    <w:rsid w:val="00A005F7"/>
    <w:rsid w:val="00A00604"/>
    <w:rsid w:val="00A006D7"/>
    <w:rsid w:val="00A0076F"/>
    <w:rsid w:val="00A007D4"/>
    <w:rsid w:val="00A0094B"/>
    <w:rsid w:val="00A009BF"/>
    <w:rsid w:val="00A00A8F"/>
    <w:rsid w:val="00A00AB2"/>
    <w:rsid w:val="00A00B13"/>
    <w:rsid w:val="00A00B56"/>
    <w:rsid w:val="00A00BFE"/>
    <w:rsid w:val="00A00E52"/>
    <w:rsid w:val="00A00FD1"/>
    <w:rsid w:val="00A0125E"/>
    <w:rsid w:val="00A01294"/>
    <w:rsid w:val="00A01372"/>
    <w:rsid w:val="00A013DD"/>
    <w:rsid w:val="00A01581"/>
    <w:rsid w:val="00A015E8"/>
    <w:rsid w:val="00A01659"/>
    <w:rsid w:val="00A0184F"/>
    <w:rsid w:val="00A018F2"/>
    <w:rsid w:val="00A01941"/>
    <w:rsid w:val="00A019FD"/>
    <w:rsid w:val="00A01AA1"/>
    <w:rsid w:val="00A01E1F"/>
    <w:rsid w:val="00A01E67"/>
    <w:rsid w:val="00A01F82"/>
    <w:rsid w:val="00A02186"/>
    <w:rsid w:val="00A022C1"/>
    <w:rsid w:val="00A02329"/>
    <w:rsid w:val="00A024ED"/>
    <w:rsid w:val="00A02A27"/>
    <w:rsid w:val="00A02A29"/>
    <w:rsid w:val="00A02B8F"/>
    <w:rsid w:val="00A02C02"/>
    <w:rsid w:val="00A02CAB"/>
    <w:rsid w:val="00A02D15"/>
    <w:rsid w:val="00A02DEF"/>
    <w:rsid w:val="00A02F09"/>
    <w:rsid w:val="00A033A6"/>
    <w:rsid w:val="00A035EA"/>
    <w:rsid w:val="00A0363E"/>
    <w:rsid w:val="00A03666"/>
    <w:rsid w:val="00A03730"/>
    <w:rsid w:val="00A03858"/>
    <w:rsid w:val="00A038F9"/>
    <w:rsid w:val="00A03C01"/>
    <w:rsid w:val="00A03E34"/>
    <w:rsid w:val="00A03E66"/>
    <w:rsid w:val="00A03E7B"/>
    <w:rsid w:val="00A03EFA"/>
    <w:rsid w:val="00A040C4"/>
    <w:rsid w:val="00A04330"/>
    <w:rsid w:val="00A0446F"/>
    <w:rsid w:val="00A04558"/>
    <w:rsid w:val="00A045E7"/>
    <w:rsid w:val="00A04783"/>
    <w:rsid w:val="00A04844"/>
    <w:rsid w:val="00A04A7E"/>
    <w:rsid w:val="00A04BBE"/>
    <w:rsid w:val="00A04CAF"/>
    <w:rsid w:val="00A04DB2"/>
    <w:rsid w:val="00A04E0D"/>
    <w:rsid w:val="00A04E49"/>
    <w:rsid w:val="00A04EED"/>
    <w:rsid w:val="00A04FB5"/>
    <w:rsid w:val="00A04FF5"/>
    <w:rsid w:val="00A05299"/>
    <w:rsid w:val="00A0537D"/>
    <w:rsid w:val="00A05711"/>
    <w:rsid w:val="00A05870"/>
    <w:rsid w:val="00A05AF4"/>
    <w:rsid w:val="00A061CC"/>
    <w:rsid w:val="00A06228"/>
    <w:rsid w:val="00A06276"/>
    <w:rsid w:val="00A06303"/>
    <w:rsid w:val="00A0660F"/>
    <w:rsid w:val="00A067D1"/>
    <w:rsid w:val="00A0696B"/>
    <w:rsid w:val="00A06A7E"/>
    <w:rsid w:val="00A06AE6"/>
    <w:rsid w:val="00A06AFA"/>
    <w:rsid w:val="00A06FF9"/>
    <w:rsid w:val="00A073AB"/>
    <w:rsid w:val="00A07404"/>
    <w:rsid w:val="00A0751A"/>
    <w:rsid w:val="00A07593"/>
    <w:rsid w:val="00A07626"/>
    <w:rsid w:val="00A077B2"/>
    <w:rsid w:val="00A078A1"/>
    <w:rsid w:val="00A07B57"/>
    <w:rsid w:val="00A07B8A"/>
    <w:rsid w:val="00A07D47"/>
    <w:rsid w:val="00A07FB6"/>
    <w:rsid w:val="00A10066"/>
    <w:rsid w:val="00A10357"/>
    <w:rsid w:val="00A1040F"/>
    <w:rsid w:val="00A10417"/>
    <w:rsid w:val="00A104A3"/>
    <w:rsid w:val="00A10593"/>
    <w:rsid w:val="00A10757"/>
    <w:rsid w:val="00A108F6"/>
    <w:rsid w:val="00A10BA9"/>
    <w:rsid w:val="00A10E01"/>
    <w:rsid w:val="00A10F96"/>
    <w:rsid w:val="00A1118A"/>
    <w:rsid w:val="00A11231"/>
    <w:rsid w:val="00A11417"/>
    <w:rsid w:val="00A1159E"/>
    <w:rsid w:val="00A11AAE"/>
    <w:rsid w:val="00A11BA3"/>
    <w:rsid w:val="00A11DBF"/>
    <w:rsid w:val="00A11E06"/>
    <w:rsid w:val="00A11EE2"/>
    <w:rsid w:val="00A11EFA"/>
    <w:rsid w:val="00A11F88"/>
    <w:rsid w:val="00A121C0"/>
    <w:rsid w:val="00A122B5"/>
    <w:rsid w:val="00A12402"/>
    <w:rsid w:val="00A12449"/>
    <w:rsid w:val="00A12662"/>
    <w:rsid w:val="00A126E0"/>
    <w:rsid w:val="00A127A3"/>
    <w:rsid w:val="00A129ED"/>
    <w:rsid w:val="00A129FC"/>
    <w:rsid w:val="00A12A24"/>
    <w:rsid w:val="00A12A2C"/>
    <w:rsid w:val="00A12B32"/>
    <w:rsid w:val="00A12C3A"/>
    <w:rsid w:val="00A12C55"/>
    <w:rsid w:val="00A12CF1"/>
    <w:rsid w:val="00A12F62"/>
    <w:rsid w:val="00A1314C"/>
    <w:rsid w:val="00A131F3"/>
    <w:rsid w:val="00A13341"/>
    <w:rsid w:val="00A13342"/>
    <w:rsid w:val="00A13464"/>
    <w:rsid w:val="00A1350B"/>
    <w:rsid w:val="00A135DD"/>
    <w:rsid w:val="00A135DF"/>
    <w:rsid w:val="00A137F3"/>
    <w:rsid w:val="00A13952"/>
    <w:rsid w:val="00A139FE"/>
    <w:rsid w:val="00A13AC1"/>
    <w:rsid w:val="00A13BBC"/>
    <w:rsid w:val="00A13C1A"/>
    <w:rsid w:val="00A13C3A"/>
    <w:rsid w:val="00A13C96"/>
    <w:rsid w:val="00A13CD3"/>
    <w:rsid w:val="00A13E2E"/>
    <w:rsid w:val="00A13FEB"/>
    <w:rsid w:val="00A1408E"/>
    <w:rsid w:val="00A141CE"/>
    <w:rsid w:val="00A144D8"/>
    <w:rsid w:val="00A14515"/>
    <w:rsid w:val="00A1485D"/>
    <w:rsid w:val="00A14885"/>
    <w:rsid w:val="00A14939"/>
    <w:rsid w:val="00A14CF3"/>
    <w:rsid w:val="00A14D71"/>
    <w:rsid w:val="00A14E51"/>
    <w:rsid w:val="00A14F64"/>
    <w:rsid w:val="00A14FE9"/>
    <w:rsid w:val="00A1502F"/>
    <w:rsid w:val="00A150AC"/>
    <w:rsid w:val="00A151C6"/>
    <w:rsid w:val="00A1552C"/>
    <w:rsid w:val="00A1552E"/>
    <w:rsid w:val="00A155D4"/>
    <w:rsid w:val="00A155F0"/>
    <w:rsid w:val="00A156F0"/>
    <w:rsid w:val="00A1591E"/>
    <w:rsid w:val="00A15927"/>
    <w:rsid w:val="00A15EAC"/>
    <w:rsid w:val="00A15EFA"/>
    <w:rsid w:val="00A15F5B"/>
    <w:rsid w:val="00A15FC0"/>
    <w:rsid w:val="00A160ED"/>
    <w:rsid w:val="00A161D7"/>
    <w:rsid w:val="00A16219"/>
    <w:rsid w:val="00A16233"/>
    <w:rsid w:val="00A16279"/>
    <w:rsid w:val="00A163EC"/>
    <w:rsid w:val="00A164C7"/>
    <w:rsid w:val="00A165D1"/>
    <w:rsid w:val="00A16631"/>
    <w:rsid w:val="00A1663F"/>
    <w:rsid w:val="00A16697"/>
    <w:rsid w:val="00A169BA"/>
    <w:rsid w:val="00A16BAA"/>
    <w:rsid w:val="00A1723F"/>
    <w:rsid w:val="00A17245"/>
    <w:rsid w:val="00A172DA"/>
    <w:rsid w:val="00A1748A"/>
    <w:rsid w:val="00A1751A"/>
    <w:rsid w:val="00A17654"/>
    <w:rsid w:val="00A176BB"/>
    <w:rsid w:val="00A17753"/>
    <w:rsid w:val="00A17843"/>
    <w:rsid w:val="00A17868"/>
    <w:rsid w:val="00A178A3"/>
    <w:rsid w:val="00A178E8"/>
    <w:rsid w:val="00A17C9C"/>
    <w:rsid w:val="00A17DA9"/>
    <w:rsid w:val="00A17EC3"/>
    <w:rsid w:val="00A200EF"/>
    <w:rsid w:val="00A20654"/>
    <w:rsid w:val="00A20661"/>
    <w:rsid w:val="00A20817"/>
    <w:rsid w:val="00A2083F"/>
    <w:rsid w:val="00A20A2C"/>
    <w:rsid w:val="00A20A80"/>
    <w:rsid w:val="00A20DA7"/>
    <w:rsid w:val="00A20EEA"/>
    <w:rsid w:val="00A2100E"/>
    <w:rsid w:val="00A21046"/>
    <w:rsid w:val="00A214DB"/>
    <w:rsid w:val="00A214E0"/>
    <w:rsid w:val="00A21525"/>
    <w:rsid w:val="00A21547"/>
    <w:rsid w:val="00A217E7"/>
    <w:rsid w:val="00A21987"/>
    <w:rsid w:val="00A21A8A"/>
    <w:rsid w:val="00A21B8E"/>
    <w:rsid w:val="00A21CD1"/>
    <w:rsid w:val="00A21E69"/>
    <w:rsid w:val="00A220EC"/>
    <w:rsid w:val="00A22385"/>
    <w:rsid w:val="00A226A0"/>
    <w:rsid w:val="00A22842"/>
    <w:rsid w:val="00A229A3"/>
    <w:rsid w:val="00A22AA2"/>
    <w:rsid w:val="00A22D76"/>
    <w:rsid w:val="00A22DE7"/>
    <w:rsid w:val="00A22E3A"/>
    <w:rsid w:val="00A230A1"/>
    <w:rsid w:val="00A23376"/>
    <w:rsid w:val="00A23435"/>
    <w:rsid w:val="00A23474"/>
    <w:rsid w:val="00A236FC"/>
    <w:rsid w:val="00A238C0"/>
    <w:rsid w:val="00A238CB"/>
    <w:rsid w:val="00A23B40"/>
    <w:rsid w:val="00A23BC9"/>
    <w:rsid w:val="00A23ED5"/>
    <w:rsid w:val="00A23F0E"/>
    <w:rsid w:val="00A23F13"/>
    <w:rsid w:val="00A24112"/>
    <w:rsid w:val="00A241EC"/>
    <w:rsid w:val="00A2425B"/>
    <w:rsid w:val="00A24453"/>
    <w:rsid w:val="00A24471"/>
    <w:rsid w:val="00A2459E"/>
    <w:rsid w:val="00A246D0"/>
    <w:rsid w:val="00A247A8"/>
    <w:rsid w:val="00A24998"/>
    <w:rsid w:val="00A24A2B"/>
    <w:rsid w:val="00A24A72"/>
    <w:rsid w:val="00A24E0D"/>
    <w:rsid w:val="00A24EC0"/>
    <w:rsid w:val="00A24F46"/>
    <w:rsid w:val="00A25042"/>
    <w:rsid w:val="00A2523D"/>
    <w:rsid w:val="00A253AA"/>
    <w:rsid w:val="00A25520"/>
    <w:rsid w:val="00A25650"/>
    <w:rsid w:val="00A2575F"/>
    <w:rsid w:val="00A258BE"/>
    <w:rsid w:val="00A25A52"/>
    <w:rsid w:val="00A25C4F"/>
    <w:rsid w:val="00A260B4"/>
    <w:rsid w:val="00A260E5"/>
    <w:rsid w:val="00A26745"/>
    <w:rsid w:val="00A267CD"/>
    <w:rsid w:val="00A26C1A"/>
    <w:rsid w:val="00A26D39"/>
    <w:rsid w:val="00A26EC1"/>
    <w:rsid w:val="00A26FF2"/>
    <w:rsid w:val="00A2701E"/>
    <w:rsid w:val="00A270E2"/>
    <w:rsid w:val="00A27123"/>
    <w:rsid w:val="00A27168"/>
    <w:rsid w:val="00A2748C"/>
    <w:rsid w:val="00A27588"/>
    <w:rsid w:val="00A27AD1"/>
    <w:rsid w:val="00A27B72"/>
    <w:rsid w:val="00A27B87"/>
    <w:rsid w:val="00A27C51"/>
    <w:rsid w:val="00A27C78"/>
    <w:rsid w:val="00A27E32"/>
    <w:rsid w:val="00A27E4B"/>
    <w:rsid w:val="00A27F53"/>
    <w:rsid w:val="00A3002C"/>
    <w:rsid w:val="00A30099"/>
    <w:rsid w:val="00A3031C"/>
    <w:rsid w:val="00A3047E"/>
    <w:rsid w:val="00A304EE"/>
    <w:rsid w:val="00A3079A"/>
    <w:rsid w:val="00A3083C"/>
    <w:rsid w:val="00A308BC"/>
    <w:rsid w:val="00A30ABA"/>
    <w:rsid w:val="00A30B85"/>
    <w:rsid w:val="00A30D4D"/>
    <w:rsid w:val="00A31049"/>
    <w:rsid w:val="00A31076"/>
    <w:rsid w:val="00A310BD"/>
    <w:rsid w:val="00A31358"/>
    <w:rsid w:val="00A31880"/>
    <w:rsid w:val="00A3199C"/>
    <w:rsid w:val="00A31AED"/>
    <w:rsid w:val="00A31B2D"/>
    <w:rsid w:val="00A31BE0"/>
    <w:rsid w:val="00A31E51"/>
    <w:rsid w:val="00A31FC4"/>
    <w:rsid w:val="00A32245"/>
    <w:rsid w:val="00A322E5"/>
    <w:rsid w:val="00A3250B"/>
    <w:rsid w:val="00A3254B"/>
    <w:rsid w:val="00A3262E"/>
    <w:rsid w:val="00A3266E"/>
    <w:rsid w:val="00A328A1"/>
    <w:rsid w:val="00A3294E"/>
    <w:rsid w:val="00A3297B"/>
    <w:rsid w:val="00A32D5C"/>
    <w:rsid w:val="00A32EAF"/>
    <w:rsid w:val="00A32EE4"/>
    <w:rsid w:val="00A33062"/>
    <w:rsid w:val="00A3342E"/>
    <w:rsid w:val="00A33469"/>
    <w:rsid w:val="00A335B7"/>
    <w:rsid w:val="00A3383B"/>
    <w:rsid w:val="00A33876"/>
    <w:rsid w:val="00A338B6"/>
    <w:rsid w:val="00A33E95"/>
    <w:rsid w:val="00A33F82"/>
    <w:rsid w:val="00A34094"/>
    <w:rsid w:val="00A34166"/>
    <w:rsid w:val="00A341AE"/>
    <w:rsid w:val="00A3445E"/>
    <w:rsid w:val="00A346EA"/>
    <w:rsid w:val="00A3477E"/>
    <w:rsid w:val="00A34A19"/>
    <w:rsid w:val="00A34BA2"/>
    <w:rsid w:val="00A34BE7"/>
    <w:rsid w:val="00A34CA1"/>
    <w:rsid w:val="00A34D83"/>
    <w:rsid w:val="00A34E42"/>
    <w:rsid w:val="00A34F7D"/>
    <w:rsid w:val="00A3534C"/>
    <w:rsid w:val="00A3552B"/>
    <w:rsid w:val="00A355C6"/>
    <w:rsid w:val="00A3572F"/>
    <w:rsid w:val="00A35765"/>
    <w:rsid w:val="00A35931"/>
    <w:rsid w:val="00A35B89"/>
    <w:rsid w:val="00A35C65"/>
    <w:rsid w:val="00A35C78"/>
    <w:rsid w:val="00A35D6B"/>
    <w:rsid w:val="00A35DEB"/>
    <w:rsid w:val="00A35E19"/>
    <w:rsid w:val="00A35E90"/>
    <w:rsid w:val="00A363B0"/>
    <w:rsid w:val="00A365E0"/>
    <w:rsid w:val="00A367CE"/>
    <w:rsid w:val="00A36817"/>
    <w:rsid w:val="00A368FB"/>
    <w:rsid w:val="00A36AAF"/>
    <w:rsid w:val="00A36C19"/>
    <w:rsid w:val="00A36DBF"/>
    <w:rsid w:val="00A36DFF"/>
    <w:rsid w:val="00A36E9E"/>
    <w:rsid w:val="00A36EDD"/>
    <w:rsid w:val="00A3729F"/>
    <w:rsid w:val="00A3749B"/>
    <w:rsid w:val="00A37517"/>
    <w:rsid w:val="00A37564"/>
    <w:rsid w:val="00A376D8"/>
    <w:rsid w:val="00A376F9"/>
    <w:rsid w:val="00A37874"/>
    <w:rsid w:val="00A378B2"/>
    <w:rsid w:val="00A379DA"/>
    <w:rsid w:val="00A37C26"/>
    <w:rsid w:val="00A37D87"/>
    <w:rsid w:val="00A37DD6"/>
    <w:rsid w:val="00A37EBD"/>
    <w:rsid w:val="00A37EF8"/>
    <w:rsid w:val="00A40118"/>
    <w:rsid w:val="00A4014A"/>
    <w:rsid w:val="00A40306"/>
    <w:rsid w:val="00A403DA"/>
    <w:rsid w:val="00A40415"/>
    <w:rsid w:val="00A4057B"/>
    <w:rsid w:val="00A40625"/>
    <w:rsid w:val="00A40655"/>
    <w:rsid w:val="00A406BD"/>
    <w:rsid w:val="00A40A23"/>
    <w:rsid w:val="00A40A97"/>
    <w:rsid w:val="00A40C03"/>
    <w:rsid w:val="00A40CBF"/>
    <w:rsid w:val="00A40CF5"/>
    <w:rsid w:val="00A40DEE"/>
    <w:rsid w:val="00A40E0F"/>
    <w:rsid w:val="00A40EC5"/>
    <w:rsid w:val="00A40FE4"/>
    <w:rsid w:val="00A4114E"/>
    <w:rsid w:val="00A411F8"/>
    <w:rsid w:val="00A41330"/>
    <w:rsid w:val="00A41428"/>
    <w:rsid w:val="00A41444"/>
    <w:rsid w:val="00A41678"/>
    <w:rsid w:val="00A41A59"/>
    <w:rsid w:val="00A41BEF"/>
    <w:rsid w:val="00A41CA9"/>
    <w:rsid w:val="00A41CAC"/>
    <w:rsid w:val="00A41CDE"/>
    <w:rsid w:val="00A41E41"/>
    <w:rsid w:val="00A41F03"/>
    <w:rsid w:val="00A41F68"/>
    <w:rsid w:val="00A41F82"/>
    <w:rsid w:val="00A42191"/>
    <w:rsid w:val="00A42224"/>
    <w:rsid w:val="00A422C6"/>
    <w:rsid w:val="00A4235E"/>
    <w:rsid w:val="00A42465"/>
    <w:rsid w:val="00A424BA"/>
    <w:rsid w:val="00A4254F"/>
    <w:rsid w:val="00A426C2"/>
    <w:rsid w:val="00A4277B"/>
    <w:rsid w:val="00A4297A"/>
    <w:rsid w:val="00A42B49"/>
    <w:rsid w:val="00A42C48"/>
    <w:rsid w:val="00A42D26"/>
    <w:rsid w:val="00A430B0"/>
    <w:rsid w:val="00A432A8"/>
    <w:rsid w:val="00A433B9"/>
    <w:rsid w:val="00A4342A"/>
    <w:rsid w:val="00A43433"/>
    <w:rsid w:val="00A43459"/>
    <w:rsid w:val="00A43A8B"/>
    <w:rsid w:val="00A43AFD"/>
    <w:rsid w:val="00A43D70"/>
    <w:rsid w:val="00A44245"/>
    <w:rsid w:val="00A44263"/>
    <w:rsid w:val="00A4437E"/>
    <w:rsid w:val="00A443CC"/>
    <w:rsid w:val="00A443FD"/>
    <w:rsid w:val="00A4467C"/>
    <w:rsid w:val="00A44D1B"/>
    <w:rsid w:val="00A44D2E"/>
    <w:rsid w:val="00A44F1A"/>
    <w:rsid w:val="00A45081"/>
    <w:rsid w:val="00A4527E"/>
    <w:rsid w:val="00A45532"/>
    <w:rsid w:val="00A45606"/>
    <w:rsid w:val="00A456EF"/>
    <w:rsid w:val="00A458A2"/>
    <w:rsid w:val="00A45ABA"/>
    <w:rsid w:val="00A45D45"/>
    <w:rsid w:val="00A45D54"/>
    <w:rsid w:val="00A45EA3"/>
    <w:rsid w:val="00A45F4D"/>
    <w:rsid w:val="00A461AA"/>
    <w:rsid w:val="00A461B4"/>
    <w:rsid w:val="00A4627E"/>
    <w:rsid w:val="00A46341"/>
    <w:rsid w:val="00A46366"/>
    <w:rsid w:val="00A463C2"/>
    <w:rsid w:val="00A463EF"/>
    <w:rsid w:val="00A466A5"/>
    <w:rsid w:val="00A46A57"/>
    <w:rsid w:val="00A46AB7"/>
    <w:rsid w:val="00A46AC7"/>
    <w:rsid w:val="00A46DED"/>
    <w:rsid w:val="00A47318"/>
    <w:rsid w:val="00A47399"/>
    <w:rsid w:val="00A476DA"/>
    <w:rsid w:val="00A4798C"/>
    <w:rsid w:val="00A47A1B"/>
    <w:rsid w:val="00A47A7A"/>
    <w:rsid w:val="00A47A89"/>
    <w:rsid w:val="00A47AC2"/>
    <w:rsid w:val="00A47AD0"/>
    <w:rsid w:val="00A47C56"/>
    <w:rsid w:val="00A47E3B"/>
    <w:rsid w:val="00A47EFB"/>
    <w:rsid w:val="00A500FB"/>
    <w:rsid w:val="00A5014B"/>
    <w:rsid w:val="00A50204"/>
    <w:rsid w:val="00A50267"/>
    <w:rsid w:val="00A50291"/>
    <w:rsid w:val="00A50402"/>
    <w:rsid w:val="00A506B4"/>
    <w:rsid w:val="00A5086C"/>
    <w:rsid w:val="00A50D88"/>
    <w:rsid w:val="00A5113C"/>
    <w:rsid w:val="00A5164A"/>
    <w:rsid w:val="00A51694"/>
    <w:rsid w:val="00A51917"/>
    <w:rsid w:val="00A51A02"/>
    <w:rsid w:val="00A51A85"/>
    <w:rsid w:val="00A52049"/>
    <w:rsid w:val="00A523D4"/>
    <w:rsid w:val="00A52587"/>
    <w:rsid w:val="00A525BD"/>
    <w:rsid w:val="00A5264D"/>
    <w:rsid w:val="00A5283E"/>
    <w:rsid w:val="00A5288E"/>
    <w:rsid w:val="00A5298C"/>
    <w:rsid w:val="00A52ACD"/>
    <w:rsid w:val="00A52D97"/>
    <w:rsid w:val="00A52EEC"/>
    <w:rsid w:val="00A52EF8"/>
    <w:rsid w:val="00A5311D"/>
    <w:rsid w:val="00A53238"/>
    <w:rsid w:val="00A532DE"/>
    <w:rsid w:val="00A53544"/>
    <w:rsid w:val="00A5357B"/>
    <w:rsid w:val="00A53768"/>
    <w:rsid w:val="00A53778"/>
    <w:rsid w:val="00A5387C"/>
    <w:rsid w:val="00A538A9"/>
    <w:rsid w:val="00A53954"/>
    <w:rsid w:val="00A53A72"/>
    <w:rsid w:val="00A53C5D"/>
    <w:rsid w:val="00A53CC3"/>
    <w:rsid w:val="00A53DC9"/>
    <w:rsid w:val="00A54027"/>
    <w:rsid w:val="00A540D0"/>
    <w:rsid w:val="00A54151"/>
    <w:rsid w:val="00A541C3"/>
    <w:rsid w:val="00A54214"/>
    <w:rsid w:val="00A543B3"/>
    <w:rsid w:val="00A543D3"/>
    <w:rsid w:val="00A544B8"/>
    <w:rsid w:val="00A54593"/>
    <w:rsid w:val="00A54654"/>
    <w:rsid w:val="00A549E2"/>
    <w:rsid w:val="00A549F9"/>
    <w:rsid w:val="00A54A15"/>
    <w:rsid w:val="00A54A22"/>
    <w:rsid w:val="00A54AFF"/>
    <w:rsid w:val="00A54B1A"/>
    <w:rsid w:val="00A54D8E"/>
    <w:rsid w:val="00A54DF5"/>
    <w:rsid w:val="00A54F15"/>
    <w:rsid w:val="00A5504F"/>
    <w:rsid w:val="00A55161"/>
    <w:rsid w:val="00A55507"/>
    <w:rsid w:val="00A55770"/>
    <w:rsid w:val="00A55841"/>
    <w:rsid w:val="00A558E9"/>
    <w:rsid w:val="00A55968"/>
    <w:rsid w:val="00A55984"/>
    <w:rsid w:val="00A55BF3"/>
    <w:rsid w:val="00A55C16"/>
    <w:rsid w:val="00A55E04"/>
    <w:rsid w:val="00A55F33"/>
    <w:rsid w:val="00A56227"/>
    <w:rsid w:val="00A563DC"/>
    <w:rsid w:val="00A564AA"/>
    <w:rsid w:val="00A56533"/>
    <w:rsid w:val="00A56540"/>
    <w:rsid w:val="00A565A4"/>
    <w:rsid w:val="00A565E2"/>
    <w:rsid w:val="00A5669B"/>
    <w:rsid w:val="00A567C1"/>
    <w:rsid w:val="00A56923"/>
    <w:rsid w:val="00A56A41"/>
    <w:rsid w:val="00A56A83"/>
    <w:rsid w:val="00A56B4F"/>
    <w:rsid w:val="00A56BC2"/>
    <w:rsid w:val="00A56BD4"/>
    <w:rsid w:val="00A56C7E"/>
    <w:rsid w:val="00A56D8B"/>
    <w:rsid w:val="00A56E0F"/>
    <w:rsid w:val="00A56F19"/>
    <w:rsid w:val="00A56F83"/>
    <w:rsid w:val="00A56FE1"/>
    <w:rsid w:val="00A571A0"/>
    <w:rsid w:val="00A572A1"/>
    <w:rsid w:val="00A577CA"/>
    <w:rsid w:val="00A577DD"/>
    <w:rsid w:val="00A579DD"/>
    <w:rsid w:val="00A57CC1"/>
    <w:rsid w:val="00A57D3F"/>
    <w:rsid w:val="00A6001A"/>
    <w:rsid w:val="00A6003D"/>
    <w:rsid w:val="00A603D5"/>
    <w:rsid w:val="00A60490"/>
    <w:rsid w:val="00A6049C"/>
    <w:rsid w:val="00A6054A"/>
    <w:rsid w:val="00A60778"/>
    <w:rsid w:val="00A60BEA"/>
    <w:rsid w:val="00A60E74"/>
    <w:rsid w:val="00A613D4"/>
    <w:rsid w:val="00A6148A"/>
    <w:rsid w:val="00A6194B"/>
    <w:rsid w:val="00A61A3B"/>
    <w:rsid w:val="00A61B50"/>
    <w:rsid w:val="00A61BE9"/>
    <w:rsid w:val="00A61F64"/>
    <w:rsid w:val="00A62068"/>
    <w:rsid w:val="00A620C5"/>
    <w:rsid w:val="00A62149"/>
    <w:rsid w:val="00A621A0"/>
    <w:rsid w:val="00A6221D"/>
    <w:rsid w:val="00A6227A"/>
    <w:rsid w:val="00A62502"/>
    <w:rsid w:val="00A62879"/>
    <w:rsid w:val="00A62923"/>
    <w:rsid w:val="00A629D8"/>
    <w:rsid w:val="00A62AE1"/>
    <w:rsid w:val="00A62E42"/>
    <w:rsid w:val="00A62ECB"/>
    <w:rsid w:val="00A6310D"/>
    <w:rsid w:val="00A631AA"/>
    <w:rsid w:val="00A634E3"/>
    <w:rsid w:val="00A63504"/>
    <w:rsid w:val="00A63704"/>
    <w:rsid w:val="00A638E4"/>
    <w:rsid w:val="00A63950"/>
    <w:rsid w:val="00A63E31"/>
    <w:rsid w:val="00A64186"/>
    <w:rsid w:val="00A641A0"/>
    <w:rsid w:val="00A642BF"/>
    <w:rsid w:val="00A6434E"/>
    <w:rsid w:val="00A6449C"/>
    <w:rsid w:val="00A6453F"/>
    <w:rsid w:val="00A645F3"/>
    <w:rsid w:val="00A64737"/>
    <w:rsid w:val="00A64864"/>
    <w:rsid w:val="00A64A71"/>
    <w:rsid w:val="00A64B86"/>
    <w:rsid w:val="00A64C39"/>
    <w:rsid w:val="00A64D16"/>
    <w:rsid w:val="00A64FE2"/>
    <w:rsid w:val="00A65029"/>
    <w:rsid w:val="00A6519E"/>
    <w:rsid w:val="00A65301"/>
    <w:rsid w:val="00A65319"/>
    <w:rsid w:val="00A653C7"/>
    <w:rsid w:val="00A6558A"/>
    <w:rsid w:val="00A6572A"/>
    <w:rsid w:val="00A658FF"/>
    <w:rsid w:val="00A65D06"/>
    <w:rsid w:val="00A65E96"/>
    <w:rsid w:val="00A65EC4"/>
    <w:rsid w:val="00A65F2F"/>
    <w:rsid w:val="00A660A5"/>
    <w:rsid w:val="00A660F3"/>
    <w:rsid w:val="00A66437"/>
    <w:rsid w:val="00A665C4"/>
    <w:rsid w:val="00A6660D"/>
    <w:rsid w:val="00A6660E"/>
    <w:rsid w:val="00A667A9"/>
    <w:rsid w:val="00A667E5"/>
    <w:rsid w:val="00A669EB"/>
    <w:rsid w:val="00A66A74"/>
    <w:rsid w:val="00A66D63"/>
    <w:rsid w:val="00A66EA6"/>
    <w:rsid w:val="00A66F7C"/>
    <w:rsid w:val="00A66FE2"/>
    <w:rsid w:val="00A671C1"/>
    <w:rsid w:val="00A671DD"/>
    <w:rsid w:val="00A673B8"/>
    <w:rsid w:val="00A6750E"/>
    <w:rsid w:val="00A67917"/>
    <w:rsid w:val="00A679BE"/>
    <w:rsid w:val="00A67A5D"/>
    <w:rsid w:val="00A67B35"/>
    <w:rsid w:val="00A67B3C"/>
    <w:rsid w:val="00A67B8A"/>
    <w:rsid w:val="00A67C45"/>
    <w:rsid w:val="00A67CC2"/>
    <w:rsid w:val="00A67CD7"/>
    <w:rsid w:val="00A67D23"/>
    <w:rsid w:val="00A7002D"/>
    <w:rsid w:val="00A70504"/>
    <w:rsid w:val="00A706B5"/>
    <w:rsid w:val="00A708DA"/>
    <w:rsid w:val="00A709F6"/>
    <w:rsid w:val="00A70AAD"/>
    <w:rsid w:val="00A70ADD"/>
    <w:rsid w:val="00A70B69"/>
    <w:rsid w:val="00A70C0B"/>
    <w:rsid w:val="00A70C16"/>
    <w:rsid w:val="00A70D4B"/>
    <w:rsid w:val="00A70E31"/>
    <w:rsid w:val="00A7115C"/>
    <w:rsid w:val="00A711A3"/>
    <w:rsid w:val="00A7126F"/>
    <w:rsid w:val="00A7142F"/>
    <w:rsid w:val="00A71676"/>
    <w:rsid w:val="00A71C68"/>
    <w:rsid w:val="00A71C7E"/>
    <w:rsid w:val="00A721CD"/>
    <w:rsid w:val="00A7236C"/>
    <w:rsid w:val="00A724F1"/>
    <w:rsid w:val="00A72518"/>
    <w:rsid w:val="00A7254A"/>
    <w:rsid w:val="00A7275A"/>
    <w:rsid w:val="00A728F2"/>
    <w:rsid w:val="00A72960"/>
    <w:rsid w:val="00A72B24"/>
    <w:rsid w:val="00A72D8F"/>
    <w:rsid w:val="00A72F3A"/>
    <w:rsid w:val="00A72F3C"/>
    <w:rsid w:val="00A72F8E"/>
    <w:rsid w:val="00A73223"/>
    <w:rsid w:val="00A73305"/>
    <w:rsid w:val="00A73551"/>
    <w:rsid w:val="00A73607"/>
    <w:rsid w:val="00A737BF"/>
    <w:rsid w:val="00A73834"/>
    <w:rsid w:val="00A73CDE"/>
    <w:rsid w:val="00A73D48"/>
    <w:rsid w:val="00A73DEA"/>
    <w:rsid w:val="00A73EF6"/>
    <w:rsid w:val="00A744CE"/>
    <w:rsid w:val="00A74556"/>
    <w:rsid w:val="00A747A7"/>
    <w:rsid w:val="00A747BB"/>
    <w:rsid w:val="00A74815"/>
    <w:rsid w:val="00A749C1"/>
    <w:rsid w:val="00A74A73"/>
    <w:rsid w:val="00A74A8A"/>
    <w:rsid w:val="00A74ABD"/>
    <w:rsid w:val="00A74E04"/>
    <w:rsid w:val="00A74F87"/>
    <w:rsid w:val="00A74FE9"/>
    <w:rsid w:val="00A750A7"/>
    <w:rsid w:val="00A75176"/>
    <w:rsid w:val="00A752B8"/>
    <w:rsid w:val="00A7533A"/>
    <w:rsid w:val="00A753BD"/>
    <w:rsid w:val="00A75839"/>
    <w:rsid w:val="00A75B0D"/>
    <w:rsid w:val="00A75BB5"/>
    <w:rsid w:val="00A75FC9"/>
    <w:rsid w:val="00A7609D"/>
    <w:rsid w:val="00A763A1"/>
    <w:rsid w:val="00A76508"/>
    <w:rsid w:val="00A7671A"/>
    <w:rsid w:val="00A76734"/>
    <w:rsid w:val="00A7683C"/>
    <w:rsid w:val="00A76903"/>
    <w:rsid w:val="00A76A12"/>
    <w:rsid w:val="00A76CDC"/>
    <w:rsid w:val="00A76D30"/>
    <w:rsid w:val="00A76D9D"/>
    <w:rsid w:val="00A772C5"/>
    <w:rsid w:val="00A776C0"/>
    <w:rsid w:val="00A77A07"/>
    <w:rsid w:val="00A77A2A"/>
    <w:rsid w:val="00A77A73"/>
    <w:rsid w:val="00A77B69"/>
    <w:rsid w:val="00A77BAC"/>
    <w:rsid w:val="00A77BE8"/>
    <w:rsid w:val="00A77D3E"/>
    <w:rsid w:val="00A77FB8"/>
    <w:rsid w:val="00A800DC"/>
    <w:rsid w:val="00A80489"/>
    <w:rsid w:val="00A804FB"/>
    <w:rsid w:val="00A806BE"/>
    <w:rsid w:val="00A8097E"/>
    <w:rsid w:val="00A80D4A"/>
    <w:rsid w:val="00A80D59"/>
    <w:rsid w:val="00A80DA5"/>
    <w:rsid w:val="00A80F17"/>
    <w:rsid w:val="00A80F21"/>
    <w:rsid w:val="00A81217"/>
    <w:rsid w:val="00A812C7"/>
    <w:rsid w:val="00A81565"/>
    <w:rsid w:val="00A8164F"/>
    <w:rsid w:val="00A81655"/>
    <w:rsid w:val="00A816EC"/>
    <w:rsid w:val="00A817E6"/>
    <w:rsid w:val="00A818EA"/>
    <w:rsid w:val="00A8195A"/>
    <w:rsid w:val="00A81B03"/>
    <w:rsid w:val="00A81F5F"/>
    <w:rsid w:val="00A82238"/>
    <w:rsid w:val="00A8250A"/>
    <w:rsid w:val="00A82643"/>
    <w:rsid w:val="00A8269E"/>
    <w:rsid w:val="00A826F7"/>
    <w:rsid w:val="00A8273A"/>
    <w:rsid w:val="00A827C3"/>
    <w:rsid w:val="00A82898"/>
    <w:rsid w:val="00A82A6E"/>
    <w:rsid w:val="00A82C49"/>
    <w:rsid w:val="00A82EF5"/>
    <w:rsid w:val="00A82F5D"/>
    <w:rsid w:val="00A8302F"/>
    <w:rsid w:val="00A83265"/>
    <w:rsid w:val="00A83302"/>
    <w:rsid w:val="00A83391"/>
    <w:rsid w:val="00A8348C"/>
    <w:rsid w:val="00A83660"/>
    <w:rsid w:val="00A83805"/>
    <w:rsid w:val="00A8384E"/>
    <w:rsid w:val="00A8395B"/>
    <w:rsid w:val="00A83A29"/>
    <w:rsid w:val="00A842DA"/>
    <w:rsid w:val="00A843CB"/>
    <w:rsid w:val="00A84700"/>
    <w:rsid w:val="00A8492B"/>
    <w:rsid w:val="00A84AC6"/>
    <w:rsid w:val="00A84AD8"/>
    <w:rsid w:val="00A84B58"/>
    <w:rsid w:val="00A84D1E"/>
    <w:rsid w:val="00A84D36"/>
    <w:rsid w:val="00A84DFB"/>
    <w:rsid w:val="00A85158"/>
    <w:rsid w:val="00A852EB"/>
    <w:rsid w:val="00A85350"/>
    <w:rsid w:val="00A85412"/>
    <w:rsid w:val="00A854A9"/>
    <w:rsid w:val="00A8560C"/>
    <w:rsid w:val="00A859BD"/>
    <w:rsid w:val="00A85A20"/>
    <w:rsid w:val="00A85B0A"/>
    <w:rsid w:val="00A860BB"/>
    <w:rsid w:val="00A86165"/>
    <w:rsid w:val="00A8629D"/>
    <w:rsid w:val="00A862F4"/>
    <w:rsid w:val="00A86332"/>
    <w:rsid w:val="00A86376"/>
    <w:rsid w:val="00A8643F"/>
    <w:rsid w:val="00A864EE"/>
    <w:rsid w:val="00A865BB"/>
    <w:rsid w:val="00A865FA"/>
    <w:rsid w:val="00A86638"/>
    <w:rsid w:val="00A8687C"/>
    <w:rsid w:val="00A8698E"/>
    <w:rsid w:val="00A86A29"/>
    <w:rsid w:val="00A86B27"/>
    <w:rsid w:val="00A86B46"/>
    <w:rsid w:val="00A86D1B"/>
    <w:rsid w:val="00A86E06"/>
    <w:rsid w:val="00A86F3C"/>
    <w:rsid w:val="00A86F5F"/>
    <w:rsid w:val="00A87061"/>
    <w:rsid w:val="00A871A9"/>
    <w:rsid w:val="00A87547"/>
    <w:rsid w:val="00A876BA"/>
    <w:rsid w:val="00A87865"/>
    <w:rsid w:val="00A879D8"/>
    <w:rsid w:val="00A87A94"/>
    <w:rsid w:val="00A87C55"/>
    <w:rsid w:val="00A87CBE"/>
    <w:rsid w:val="00A87E11"/>
    <w:rsid w:val="00A87F1D"/>
    <w:rsid w:val="00A900AC"/>
    <w:rsid w:val="00A900E5"/>
    <w:rsid w:val="00A901F9"/>
    <w:rsid w:val="00A903DB"/>
    <w:rsid w:val="00A909BB"/>
    <w:rsid w:val="00A90C8F"/>
    <w:rsid w:val="00A90E36"/>
    <w:rsid w:val="00A90EA6"/>
    <w:rsid w:val="00A9104C"/>
    <w:rsid w:val="00A9120D"/>
    <w:rsid w:val="00A913B3"/>
    <w:rsid w:val="00A9141E"/>
    <w:rsid w:val="00A91451"/>
    <w:rsid w:val="00A91655"/>
    <w:rsid w:val="00A91676"/>
    <w:rsid w:val="00A919F2"/>
    <w:rsid w:val="00A91CBA"/>
    <w:rsid w:val="00A91F56"/>
    <w:rsid w:val="00A91FAF"/>
    <w:rsid w:val="00A92121"/>
    <w:rsid w:val="00A921E7"/>
    <w:rsid w:val="00A92251"/>
    <w:rsid w:val="00A9275A"/>
    <w:rsid w:val="00A92840"/>
    <w:rsid w:val="00A92936"/>
    <w:rsid w:val="00A92A21"/>
    <w:rsid w:val="00A92E6A"/>
    <w:rsid w:val="00A93038"/>
    <w:rsid w:val="00A93044"/>
    <w:rsid w:val="00A930CE"/>
    <w:rsid w:val="00A9316F"/>
    <w:rsid w:val="00A93274"/>
    <w:rsid w:val="00A93277"/>
    <w:rsid w:val="00A93300"/>
    <w:rsid w:val="00A93335"/>
    <w:rsid w:val="00A93401"/>
    <w:rsid w:val="00A936B5"/>
    <w:rsid w:val="00A936C7"/>
    <w:rsid w:val="00A93729"/>
    <w:rsid w:val="00A93947"/>
    <w:rsid w:val="00A93A07"/>
    <w:rsid w:val="00A93A99"/>
    <w:rsid w:val="00A93B69"/>
    <w:rsid w:val="00A93D03"/>
    <w:rsid w:val="00A94842"/>
    <w:rsid w:val="00A9497A"/>
    <w:rsid w:val="00A94A8B"/>
    <w:rsid w:val="00A94DDF"/>
    <w:rsid w:val="00A94DFA"/>
    <w:rsid w:val="00A9500D"/>
    <w:rsid w:val="00A951CC"/>
    <w:rsid w:val="00A951DF"/>
    <w:rsid w:val="00A9532F"/>
    <w:rsid w:val="00A954CD"/>
    <w:rsid w:val="00A957E4"/>
    <w:rsid w:val="00A95914"/>
    <w:rsid w:val="00A95C75"/>
    <w:rsid w:val="00A95EC1"/>
    <w:rsid w:val="00A9627F"/>
    <w:rsid w:val="00A962B0"/>
    <w:rsid w:val="00A9634E"/>
    <w:rsid w:val="00A967D9"/>
    <w:rsid w:val="00A968AB"/>
    <w:rsid w:val="00A9692B"/>
    <w:rsid w:val="00A96A73"/>
    <w:rsid w:val="00A96B4B"/>
    <w:rsid w:val="00A96F75"/>
    <w:rsid w:val="00A970C9"/>
    <w:rsid w:val="00A97160"/>
    <w:rsid w:val="00A9718E"/>
    <w:rsid w:val="00A97229"/>
    <w:rsid w:val="00A97462"/>
    <w:rsid w:val="00A97523"/>
    <w:rsid w:val="00A975B3"/>
    <w:rsid w:val="00A975CD"/>
    <w:rsid w:val="00A979C1"/>
    <w:rsid w:val="00A97B55"/>
    <w:rsid w:val="00A97B81"/>
    <w:rsid w:val="00A97CC4"/>
    <w:rsid w:val="00A97E04"/>
    <w:rsid w:val="00A97EA7"/>
    <w:rsid w:val="00A97FDE"/>
    <w:rsid w:val="00AA005F"/>
    <w:rsid w:val="00AA02D4"/>
    <w:rsid w:val="00AA02E6"/>
    <w:rsid w:val="00AA0321"/>
    <w:rsid w:val="00AA0338"/>
    <w:rsid w:val="00AA03F8"/>
    <w:rsid w:val="00AA0514"/>
    <w:rsid w:val="00AA071B"/>
    <w:rsid w:val="00AA07E8"/>
    <w:rsid w:val="00AA0846"/>
    <w:rsid w:val="00AA0B88"/>
    <w:rsid w:val="00AA0D77"/>
    <w:rsid w:val="00AA0EA3"/>
    <w:rsid w:val="00AA0F68"/>
    <w:rsid w:val="00AA0F6E"/>
    <w:rsid w:val="00AA106C"/>
    <w:rsid w:val="00AA1110"/>
    <w:rsid w:val="00AA1355"/>
    <w:rsid w:val="00AA14EA"/>
    <w:rsid w:val="00AA161D"/>
    <w:rsid w:val="00AA162F"/>
    <w:rsid w:val="00AA16EF"/>
    <w:rsid w:val="00AA1710"/>
    <w:rsid w:val="00AA1754"/>
    <w:rsid w:val="00AA18BB"/>
    <w:rsid w:val="00AA1A45"/>
    <w:rsid w:val="00AA1A82"/>
    <w:rsid w:val="00AA1E71"/>
    <w:rsid w:val="00AA2046"/>
    <w:rsid w:val="00AA212C"/>
    <w:rsid w:val="00AA21AB"/>
    <w:rsid w:val="00AA22CB"/>
    <w:rsid w:val="00AA22E1"/>
    <w:rsid w:val="00AA2319"/>
    <w:rsid w:val="00AA232A"/>
    <w:rsid w:val="00AA239C"/>
    <w:rsid w:val="00AA23E7"/>
    <w:rsid w:val="00AA2439"/>
    <w:rsid w:val="00AA2561"/>
    <w:rsid w:val="00AA270F"/>
    <w:rsid w:val="00AA277F"/>
    <w:rsid w:val="00AA27C0"/>
    <w:rsid w:val="00AA2817"/>
    <w:rsid w:val="00AA284C"/>
    <w:rsid w:val="00AA28DE"/>
    <w:rsid w:val="00AA28FC"/>
    <w:rsid w:val="00AA29B6"/>
    <w:rsid w:val="00AA2BFF"/>
    <w:rsid w:val="00AA2DDE"/>
    <w:rsid w:val="00AA2EBB"/>
    <w:rsid w:val="00AA3094"/>
    <w:rsid w:val="00AA3749"/>
    <w:rsid w:val="00AA39BB"/>
    <w:rsid w:val="00AA3B91"/>
    <w:rsid w:val="00AA3BE4"/>
    <w:rsid w:val="00AA3DA9"/>
    <w:rsid w:val="00AA3F5C"/>
    <w:rsid w:val="00AA401D"/>
    <w:rsid w:val="00AA40C0"/>
    <w:rsid w:val="00AA4142"/>
    <w:rsid w:val="00AA4151"/>
    <w:rsid w:val="00AA4208"/>
    <w:rsid w:val="00AA429B"/>
    <w:rsid w:val="00AA439C"/>
    <w:rsid w:val="00AA44E4"/>
    <w:rsid w:val="00AA4669"/>
    <w:rsid w:val="00AA467E"/>
    <w:rsid w:val="00AA46CD"/>
    <w:rsid w:val="00AA482E"/>
    <w:rsid w:val="00AA48E5"/>
    <w:rsid w:val="00AA4A7F"/>
    <w:rsid w:val="00AA4AEB"/>
    <w:rsid w:val="00AA4BCA"/>
    <w:rsid w:val="00AA4CC6"/>
    <w:rsid w:val="00AA4DB6"/>
    <w:rsid w:val="00AA4E69"/>
    <w:rsid w:val="00AA526F"/>
    <w:rsid w:val="00AA5363"/>
    <w:rsid w:val="00AA553E"/>
    <w:rsid w:val="00AA5606"/>
    <w:rsid w:val="00AA58F5"/>
    <w:rsid w:val="00AA5979"/>
    <w:rsid w:val="00AA5981"/>
    <w:rsid w:val="00AA59DA"/>
    <w:rsid w:val="00AA5D33"/>
    <w:rsid w:val="00AA5D59"/>
    <w:rsid w:val="00AA614B"/>
    <w:rsid w:val="00AA63CE"/>
    <w:rsid w:val="00AA63EA"/>
    <w:rsid w:val="00AA6677"/>
    <w:rsid w:val="00AA67A4"/>
    <w:rsid w:val="00AA67CF"/>
    <w:rsid w:val="00AA68A3"/>
    <w:rsid w:val="00AA69F0"/>
    <w:rsid w:val="00AA6B76"/>
    <w:rsid w:val="00AA6BD3"/>
    <w:rsid w:val="00AA6F89"/>
    <w:rsid w:val="00AA7029"/>
    <w:rsid w:val="00AA7204"/>
    <w:rsid w:val="00AA7425"/>
    <w:rsid w:val="00AA74C7"/>
    <w:rsid w:val="00AA75B7"/>
    <w:rsid w:val="00AA7769"/>
    <w:rsid w:val="00AA7A74"/>
    <w:rsid w:val="00AA7D94"/>
    <w:rsid w:val="00AA7DA7"/>
    <w:rsid w:val="00AA7E96"/>
    <w:rsid w:val="00AA7EA8"/>
    <w:rsid w:val="00AB03C2"/>
    <w:rsid w:val="00AB048B"/>
    <w:rsid w:val="00AB049B"/>
    <w:rsid w:val="00AB04EE"/>
    <w:rsid w:val="00AB05ED"/>
    <w:rsid w:val="00AB06A0"/>
    <w:rsid w:val="00AB07E2"/>
    <w:rsid w:val="00AB0A86"/>
    <w:rsid w:val="00AB0C24"/>
    <w:rsid w:val="00AB0C3D"/>
    <w:rsid w:val="00AB0E03"/>
    <w:rsid w:val="00AB1011"/>
    <w:rsid w:val="00AB10A1"/>
    <w:rsid w:val="00AB10D1"/>
    <w:rsid w:val="00AB1259"/>
    <w:rsid w:val="00AB127F"/>
    <w:rsid w:val="00AB131D"/>
    <w:rsid w:val="00AB1747"/>
    <w:rsid w:val="00AB17A8"/>
    <w:rsid w:val="00AB1935"/>
    <w:rsid w:val="00AB19BB"/>
    <w:rsid w:val="00AB1B4D"/>
    <w:rsid w:val="00AB1BAE"/>
    <w:rsid w:val="00AB2117"/>
    <w:rsid w:val="00AB2123"/>
    <w:rsid w:val="00AB2463"/>
    <w:rsid w:val="00AB2736"/>
    <w:rsid w:val="00AB2776"/>
    <w:rsid w:val="00AB2A3F"/>
    <w:rsid w:val="00AB2ACD"/>
    <w:rsid w:val="00AB2B74"/>
    <w:rsid w:val="00AB2B96"/>
    <w:rsid w:val="00AB2C74"/>
    <w:rsid w:val="00AB2E05"/>
    <w:rsid w:val="00AB2EA9"/>
    <w:rsid w:val="00AB2ED4"/>
    <w:rsid w:val="00AB2F70"/>
    <w:rsid w:val="00AB2F8C"/>
    <w:rsid w:val="00AB308E"/>
    <w:rsid w:val="00AB3209"/>
    <w:rsid w:val="00AB320C"/>
    <w:rsid w:val="00AB3257"/>
    <w:rsid w:val="00AB35E9"/>
    <w:rsid w:val="00AB3623"/>
    <w:rsid w:val="00AB370E"/>
    <w:rsid w:val="00AB3AA4"/>
    <w:rsid w:val="00AB3B61"/>
    <w:rsid w:val="00AB3C79"/>
    <w:rsid w:val="00AB3F0E"/>
    <w:rsid w:val="00AB4096"/>
    <w:rsid w:val="00AB40F1"/>
    <w:rsid w:val="00AB4100"/>
    <w:rsid w:val="00AB41F0"/>
    <w:rsid w:val="00AB41F3"/>
    <w:rsid w:val="00AB4286"/>
    <w:rsid w:val="00AB42DD"/>
    <w:rsid w:val="00AB42F2"/>
    <w:rsid w:val="00AB43DC"/>
    <w:rsid w:val="00AB4AEE"/>
    <w:rsid w:val="00AB4C87"/>
    <w:rsid w:val="00AB4C9A"/>
    <w:rsid w:val="00AB4E69"/>
    <w:rsid w:val="00AB4F3C"/>
    <w:rsid w:val="00AB53D0"/>
    <w:rsid w:val="00AB54EA"/>
    <w:rsid w:val="00AB560C"/>
    <w:rsid w:val="00AB5614"/>
    <w:rsid w:val="00AB5705"/>
    <w:rsid w:val="00AB59D2"/>
    <w:rsid w:val="00AB59E2"/>
    <w:rsid w:val="00AB5B70"/>
    <w:rsid w:val="00AB5DF2"/>
    <w:rsid w:val="00AB6336"/>
    <w:rsid w:val="00AB63CA"/>
    <w:rsid w:val="00AB69F6"/>
    <w:rsid w:val="00AB6A21"/>
    <w:rsid w:val="00AB6A69"/>
    <w:rsid w:val="00AB6ABF"/>
    <w:rsid w:val="00AB6B59"/>
    <w:rsid w:val="00AB6B76"/>
    <w:rsid w:val="00AB6C78"/>
    <w:rsid w:val="00AB6D96"/>
    <w:rsid w:val="00AB6FD9"/>
    <w:rsid w:val="00AB7195"/>
    <w:rsid w:val="00AB748E"/>
    <w:rsid w:val="00AB77C1"/>
    <w:rsid w:val="00AB79CD"/>
    <w:rsid w:val="00AB79CE"/>
    <w:rsid w:val="00AB7BD6"/>
    <w:rsid w:val="00AB7CC5"/>
    <w:rsid w:val="00AB7D2D"/>
    <w:rsid w:val="00AC0001"/>
    <w:rsid w:val="00AC0070"/>
    <w:rsid w:val="00AC01AF"/>
    <w:rsid w:val="00AC0271"/>
    <w:rsid w:val="00AC02B2"/>
    <w:rsid w:val="00AC03B6"/>
    <w:rsid w:val="00AC04B5"/>
    <w:rsid w:val="00AC0513"/>
    <w:rsid w:val="00AC05E8"/>
    <w:rsid w:val="00AC0991"/>
    <w:rsid w:val="00AC09D3"/>
    <w:rsid w:val="00AC0A06"/>
    <w:rsid w:val="00AC0A6E"/>
    <w:rsid w:val="00AC0B38"/>
    <w:rsid w:val="00AC0CBB"/>
    <w:rsid w:val="00AC0CBC"/>
    <w:rsid w:val="00AC0F17"/>
    <w:rsid w:val="00AC1065"/>
    <w:rsid w:val="00AC1104"/>
    <w:rsid w:val="00AC118A"/>
    <w:rsid w:val="00AC1299"/>
    <w:rsid w:val="00AC12DA"/>
    <w:rsid w:val="00AC1351"/>
    <w:rsid w:val="00AC15A8"/>
    <w:rsid w:val="00AC17FA"/>
    <w:rsid w:val="00AC1C1F"/>
    <w:rsid w:val="00AC1CA7"/>
    <w:rsid w:val="00AC1D16"/>
    <w:rsid w:val="00AC1D98"/>
    <w:rsid w:val="00AC1E1E"/>
    <w:rsid w:val="00AC1EC8"/>
    <w:rsid w:val="00AC1F21"/>
    <w:rsid w:val="00AC207A"/>
    <w:rsid w:val="00AC221F"/>
    <w:rsid w:val="00AC226D"/>
    <w:rsid w:val="00AC2774"/>
    <w:rsid w:val="00AC27F0"/>
    <w:rsid w:val="00AC28D2"/>
    <w:rsid w:val="00AC2C70"/>
    <w:rsid w:val="00AC2EC3"/>
    <w:rsid w:val="00AC305F"/>
    <w:rsid w:val="00AC3196"/>
    <w:rsid w:val="00AC3238"/>
    <w:rsid w:val="00AC3794"/>
    <w:rsid w:val="00AC38B8"/>
    <w:rsid w:val="00AC3AEE"/>
    <w:rsid w:val="00AC3B7C"/>
    <w:rsid w:val="00AC3BA3"/>
    <w:rsid w:val="00AC3CD7"/>
    <w:rsid w:val="00AC3FBA"/>
    <w:rsid w:val="00AC4065"/>
    <w:rsid w:val="00AC41FB"/>
    <w:rsid w:val="00AC436B"/>
    <w:rsid w:val="00AC456A"/>
    <w:rsid w:val="00AC46EE"/>
    <w:rsid w:val="00AC476A"/>
    <w:rsid w:val="00AC47C2"/>
    <w:rsid w:val="00AC47D0"/>
    <w:rsid w:val="00AC4818"/>
    <w:rsid w:val="00AC4890"/>
    <w:rsid w:val="00AC4A51"/>
    <w:rsid w:val="00AC4A7B"/>
    <w:rsid w:val="00AC4B0C"/>
    <w:rsid w:val="00AC4DA0"/>
    <w:rsid w:val="00AC52BE"/>
    <w:rsid w:val="00AC536E"/>
    <w:rsid w:val="00AC53C3"/>
    <w:rsid w:val="00AC542D"/>
    <w:rsid w:val="00AC54C8"/>
    <w:rsid w:val="00AC55C3"/>
    <w:rsid w:val="00AC5711"/>
    <w:rsid w:val="00AC58B6"/>
    <w:rsid w:val="00AC5B5D"/>
    <w:rsid w:val="00AC5B85"/>
    <w:rsid w:val="00AC5BE0"/>
    <w:rsid w:val="00AC5ED1"/>
    <w:rsid w:val="00AC6030"/>
    <w:rsid w:val="00AC61B0"/>
    <w:rsid w:val="00AC66F6"/>
    <w:rsid w:val="00AC67CE"/>
    <w:rsid w:val="00AC6BC7"/>
    <w:rsid w:val="00AC6C04"/>
    <w:rsid w:val="00AC6EF8"/>
    <w:rsid w:val="00AC732D"/>
    <w:rsid w:val="00AC750A"/>
    <w:rsid w:val="00AC751B"/>
    <w:rsid w:val="00AC75E2"/>
    <w:rsid w:val="00AC7627"/>
    <w:rsid w:val="00AC7777"/>
    <w:rsid w:val="00AC782B"/>
    <w:rsid w:val="00AC78FE"/>
    <w:rsid w:val="00AC79AD"/>
    <w:rsid w:val="00AC7ABE"/>
    <w:rsid w:val="00AC7BDD"/>
    <w:rsid w:val="00AC7C5C"/>
    <w:rsid w:val="00AC7DD0"/>
    <w:rsid w:val="00AC7DEC"/>
    <w:rsid w:val="00AC7EB1"/>
    <w:rsid w:val="00AD0148"/>
    <w:rsid w:val="00AD018A"/>
    <w:rsid w:val="00AD01C3"/>
    <w:rsid w:val="00AD01EA"/>
    <w:rsid w:val="00AD01F6"/>
    <w:rsid w:val="00AD06E8"/>
    <w:rsid w:val="00AD06EC"/>
    <w:rsid w:val="00AD09E0"/>
    <w:rsid w:val="00AD0EC5"/>
    <w:rsid w:val="00AD122C"/>
    <w:rsid w:val="00AD14C4"/>
    <w:rsid w:val="00AD15D9"/>
    <w:rsid w:val="00AD1817"/>
    <w:rsid w:val="00AD1899"/>
    <w:rsid w:val="00AD1BC7"/>
    <w:rsid w:val="00AD1FF3"/>
    <w:rsid w:val="00AD2037"/>
    <w:rsid w:val="00AD210B"/>
    <w:rsid w:val="00AD2173"/>
    <w:rsid w:val="00AD23BE"/>
    <w:rsid w:val="00AD23EB"/>
    <w:rsid w:val="00AD2416"/>
    <w:rsid w:val="00AD2437"/>
    <w:rsid w:val="00AD250D"/>
    <w:rsid w:val="00AD2663"/>
    <w:rsid w:val="00AD2718"/>
    <w:rsid w:val="00AD2828"/>
    <w:rsid w:val="00AD2B57"/>
    <w:rsid w:val="00AD2B5D"/>
    <w:rsid w:val="00AD2BAA"/>
    <w:rsid w:val="00AD2C7D"/>
    <w:rsid w:val="00AD3225"/>
    <w:rsid w:val="00AD32B3"/>
    <w:rsid w:val="00AD355D"/>
    <w:rsid w:val="00AD36B7"/>
    <w:rsid w:val="00AD3878"/>
    <w:rsid w:val="00AD39AB"/>
    <w:rsid w:val="00AD3B0B"/>
    <w:rsid w:val="00AD3B69"/>
    <w:rsid w:val="00AD3C4C"/>
    <w:rsid w:val="00AD430B"/>
    <w:rsid w:val="00AD4551"/>
    <w:rsid w:val="00AD4CC0"/>
    <w:rsid w:val="00AD4DCC"/>
    <w:rsid w:val="00AD4E46"/>
    <w:rsid w:val="00AD4E9F"/>
    <w:rsid w:val="00AD4F64"/>
    <w:rsid w:val="00AD50BF"/>
    <w:rsid w:val="00AD50F7"/>
    <w:rsid w:val="00AD5786"/>
    <w:rsid w:val="00AD57DB"/>
    <w:rsid w:val="00AD5C12"/>
    <w:rsid w:val="00AD5CD6"/>
    <w:rsid w:val="00AD5EB4"/>
    <w:rsid w:val="00AD5FBD"/>
    <w:rsid w:val="00AD6069"/>
    <w:rsid w:val="00AD65B0"/>
    <w:rsid w:val="00AD66CD"/>
    <w:rsid w:val="00AD682C"/>
    <w:rsid w:val="00AD68D4"/>
    <w:rsid w:val="00AD6920"/>
    <w:rsid w:val="00AD6A4F"/>
    <w:rsid w:val="00AD6AC0"/>
    <w:rsid w:val="00AD6C53"/>
    <w:rsid w:val="00AD6C69"/>
    <w:rsid w:val="00AD6D5B"/>
    <w:rsid w:val="00AD6D90"/>
    <w:rsid w:val="00AD6ED5"/>
    <w:rsid w:val="00AD768C"/>
    <w:rsid w:val="00AD7714"/>
    <w:rsid w:val="00AD7751"/>
    <w:rsid w:val="00AD785E"/>
    <w:rsid w:val="00AD7919"/>
    <w:rsid w:val="00AD7926"/>
    <w:rsid w:val="00AD7A22"/>
    <w:rsid w:val="00AD7AF2"/>
    <w:rsid w:val="00AD7B80"/>
    <w:rsid w:val="00AE00C7"/>
    <w:rsid w:val="00AE015E"/>
    <w:rsid w:val="00AE01B5"/>
    <w:rsid w:val="00AE04C0"/>
    <w:rsid w:val="00AE04D4"/>
    <w:rsid w:val="00AE0887"/>
    <w:rsid w:val="00AE0BCA"/>
    <w:rsid w:val="00AE0CC7"/>
    <w:rsid w:val="00AE0DEA"/>
    <w:rsid w:val="00AE0E04"/>
    <w:rsid w:val="00AE1034"/>
    <w:rsid w:val="00AE103B"/>
    <w:rsid w:val="00AE1062"/>
    <w:rsid w:val="00AE11F3"/>
    <w:rsid w:val="00AE1367"/>
    <w:rsid w:val="00AE14E8"/>
    <w:rsid w:val="00AE176E"/>
    <w:rsid w:val="00AE1819"/>
    <w:rsid w:val="00AE1950"/>
    <w:rsid w:val="00AE1C18"/>
    <w:rsid w:val="00AE1C71"/>
    <w:rsid w:val="00AE1D5F"/>
    <w:rsid w:val="00AE1FE1"/>
    <w:rsid w:val="00AE2159"/>
    <w:rsid w:val="00AE2385"/>
    <w:rsid w:val="00AE23BD"/>
    <w:rsid w:val="00AE2452"/>
    <w:rsid w:val="00AE2521"/>
    <w:rsid w:val="00AE2526"/>
    <w:rsid w:val="00AE25E1"/>
    <w:rsid w:val="00AE27BA"/>
    <w:rsid w:val="00AE2A0F"/>
    <w:rsid w:val="00AE2AD9"/>
    <w:rsid w:val="00AE2AEB"/>
    <w:rsid w:val="00AE2C34"/>
    <w:rsid w:val="00AE2CA3"/>
    <w:rsid w:val="00AE2D31"/>
    <w:rsid w:val="00AE2E3E"/>
    <w:rsid w:val="00AE2ED6"/>
    <w:rsid w:val="00AE2F3D"/>
    <w:rsid w:val="00AE2F58"/>
    <w:rsid w:val="00AE2F90"/>
    <w:rsid w:val="00AE31E7"/>
    <w:rsid w:val="00AE32A3"/>
    <w:rsid w:val="00AE330C"/>
    <w:rsid w:val="00AE33E8"/>
    <w:rsid w:val="00AE34FD"/>
    <w:rsid w:val="00AE3543"/>
    <w:rsid w:val="00AE3652"/>
    <w:rsid w:val="00AE3763"/>
    <w:rsid w:val="00AE3783"/>
    <w:rsid w:val="00AE380E"/>
    <w:rsid w:val="00AE3982"/>
    <w:rsid w:val="00AE3B44"/>
    <w:rsid w:val="00AE3B45"/>
    <w:rsid w:val="00AE3E2D"/>
    <w:rsid w:val="00AE3E80"/>
    <w:rsid w:val="00AE3F50"/>
    <w:rsid w:val="00AE4003"/>
    <w:rsid w:val="00AE402F"/>
    <w:rsid w:val="00AE42DD"/>
    <w:rsid w:val="00AE43D4"/>
    <w:rsid w:val="00AE44E3"/>
    <w:rsid w:val="00AE46B9"/>
    <w:rsid w:val="00AE48CF"/>
    <w:rsid w:val="00AE4EBF"/>
    <w:rsid w:val="00AE4FFC"/>
    <w:rsid w:val="00AE529C"/>
    <w:rsid w:val="00AE52AA"/>
    <w:rsid w:val="00AE53C6"/>
    <w:rsid w:val="00AE553F"/>
    <w:rsid w:val="00AE5859"/>
    <w:rsid w:val="00AE5892"/>
    <w:rsid w:val="00AE5A64"/>
    <w:rsid w:val="00AE5AB7"/>
    <w:rsid w:val="00AE5B61"/>
    <w:rsid w:val="00AE5C7A"/>
    <w:rsid w:val="00AE5E01"/>
    <w:rsid w:val="00AE5E2B"/>
    <w:rsid w:val="00AE62EC"/>
    <w:rsid w:val="00AE6304"/>
    <w:rsid w:val="00AE63CF"/>
    <w:rsid w:val="00AE63F3"/>
    <w:rsid w:val="00AE6472"/>
    <w:rsid w:val="00AE6592"/>
    <w:rsid w:val="00AE65F7"/>
    <w:rsid w:val="00AE6790"/>
    <w:rsid w:val="00AE696E"/>
    <w:rsid w:val="00AE69D8"/>
    <w:rsid w:val="00AE6D43"/>
    <w:rsid w:val="00AE6F54"/>
    <w:rsid w:val="00AE7000"/>
    <w:rsid w:val="00AE70CA"/>
    <w:rsid w:val="00AE727C"/>
    <w:rsid w:val="00AE72F6"/>
    <w:rsid w:val="00AE7317"/>
    <w:rsid w:val="00AE7425"/>
    <w:rsid w:val="00AE74B7"/>
    <w:rsid w:val="00AE74C5"/>
    <w:rsid w:val="00AE7568"/>
    <w:rsid w:val="00AE7635"/>
    <w:rsid w:val="00AE77F9"/>
    <w:rsid w:val="00AE78E2"/>
    <w:rsid w:val="00AE7912"/>
    <w:rsid w:val="00AE7AFC"/>
    <w:rsid w:val="00AF00B2"/>
    <w:rsid w:val="00AF0397"/>
    <w:rsid w:val="00AF04AF"/>
    <w:rsid w:val="00AF04E9"/>
    <w:rsid w:val="00AF058E"/>
    <w:rsid w:val="00AF0702"/>
    <w:rsid w:val="00AF0737"/>
    <w:rsid w:val="00AF0A0A"/>
    <w:rsid w:val="00AF0A3B"/>
    <w:rsid w:val="00AF0B59"/>
    <w:rsid w:val="00AF0BC2"/>
    <w:rsid w:val="00AF0CE3"/>
    <w:rsid w:val="00AF1201"/>
    <w:rsid w:val="00AF1216"/>
    <w:rsid w:val="00AF1286"/>
    <w:rsid w:val="00AF13A1"/>
    <w:rsid w:val="00AF13F7"/>
    <w:rsid w:val="00AF16A2"/>
    <w:rsid w:val="00AF1796"/>
    <w:rsid w:val="00AF195C"/>
    <w:rsid w:val="00AF1CC9"/>
    <w:rsid w:val="00AF1CD6"/>
    <w:rsid w:val="00AF1CFE"/>
    <w:rsid w:val="00AF1D67"/>
    <w:rsid w:val="00AF2208"/>
    <w:rsid w:val="00AF227B"/>
    <w:rsid w:val="00AF22A4"/>
    <w:rsid w:val="00AF2348"/>
    <w:rsid w:val="00AF23B0"/>
    <w:rsid w:val="00AF2569"/>
    <w:rsid w:val="00AF25AA"/>
    <w:rsid w:val="00AF262B"/>
    <w:rsid w:val="00AF26A2"/>
    <w:rsid w:val="00AF27FC"/>
    <w:rsid w:val="00AF2AB4"/>
    <w:rsid w:val="00AF2AD3"/>
    <w:rsid w:val="00AF2B19"/>
    <w:rsid w:val="00AF2D2A"/>
    <w:rsid w:val="00AF3104"/>
    <w:rsid w:val="00AF3434"/>
    <w:rsid w:val="00AF36CE"/>
    <w:rsid w:val="00AF37B4"/>
    <w:rsid w:val="00AF37B8"/>
    <w:rsid w:val="00AF37C4"/>
    <w:rsid w:val="00AF39B2"/>
    <w:rsid w:val="00AF39C1"/>
    <w:rsid w:val="00AF39FF"/>
    <w:rsid w:val="00AF3ACE"/>
    <w:rsid w:val="00AF3B87"/>
    <w:rsid w:val="00AF3D0C"/>
    <w:rsid w:val="00AF3E43"/>
    <w:rsid w:val="00AF3ED9"/>
    <w:rsid w:val="00AF44F8"/>
    <w:rsid w:val="00AF4AD0"/>
    <w:rsid w:val="00AF4AEE"/>
    <w:rsid w:val="00AF4E06"/>
    <w:rsid w:val="00AF4FB9"/>
    <w:rsid w:val="00AF50BA"/>
    <w:rsid w:val="00AF5183"/>
    <w:rsid w:val="00AF51A2"/>
    <w:rsid w:val="00AF5266"/>
    <w:rsid w:val="00AF53FB"/>
    <w:rsid w:val="00AF5435"/>
    <w:rsid w:val="00AF54A0"/>
    <w:rsid w:val="00AF56AF"/>
    <w:rsid w:val="00AF5974"/>
    <w:rsid w:val="00AF5A1D"/>
    <w:rsid w:val="00AF5B9B"/>
    <w:rsid w:val="00AF5C05"/>
    <w:rsid w:val="00AF5CBF"/>
    <w:rsid w:val="00AF5CF1"/>
    <w:rsid w:val="00AF5FDC"/>
    <w:rsid w:val="00AF600C"/>
    <w:rsid w:val="00AF6022"/>
    <w:rsid w:val="00AF6032"/>
    <w:rsid w:val="00AF632D"/>
    <w:rsid w:val="00AF64CD"/>
    <w:rsid w:val="00AF6BA1"/>
    <w:rsid w:val="00AF6DC0"/>
    <w:rsid w:val="00AF6DD1"/>
    <w:rsid w:val="00AF6EF4"/>
    <w:rsid w:val="00AF6F6E"/>
    <w:rsid w:val="00AF6FF7"/>
    <w:rsid w:val="00AF70D0"/>
    <w:rsid w:val="00AF712C"/>
    <w:rsid w:val="00AF71AC"/>
    <w:rsid w:val="00AF730D"/>
    <w:rsid w:val="00AF7370"/>
    <w:rsid w:val="00AF745A"/>
    <w:rsid w:val="00AF74EB"/>
    <w:rsid w:val="00AF7592"/>
    <w:rsid w:val="00AF7608"/>
    <w:rsid w:val="00AF76A9"/>
    <w:rsid w:val="00AF77D2"/>
    <w:rsid w:val="00AF7890"/>
    <w:rsid w:val="00AF7949"/>
    <w:rsid w:val="00AF7A4C"/>
    <w:rsid w:val="00AF7B83"/>
    <w:rsid w:val="00AF7E2B"/>
    <w:rsid w:val="00B001C4"/>
    <w:rsid w:val="00B00277"/>
    <w:rsid w:val="00B004F1"/>
    <w:rsid w:val="00B00548"/>
    <w:rsid w:val="00B005B9"/>
    <w:rsid w:val="00B006F2"/>
    <w:rsid w:val="00B007E1"/>
    <w:rsid w:val="00B008BD"/>
    <w:rsid w:val="00B009B7"/>
    <w:rsid w:val="00B00A00"/>
    <w:rsid w:val="00B00B05"/>
    <w:rsid w:val="00B00B1A"/>
    <w:rsid w:val="00B00C6C"/>
    <w:rsid w:val="00B00DE1"/>
    <w:rsid w:val="00B00E6F"/>
    <w:rsid w:val="00B011D5"/>
    <w:rsid w:val="00B0151A"/>
    <w:rsid w:val="00B017E6"/>
    <w:rsid w:val="00B01855"/>
    <w:rsid w:val="00B01929"/>
    <w:rsid w:val="00B019F9"/>
    <w:rsid w:val="00B01B6C"/>
    <w:rsid w:val="00B01C49"/>
    <w:rsid w:val="00B01CD9"/>
    <w:rsid w:val="00B01E41"/>
    <w:rsid w:val="00B0240B"/>
    <w:rsid w:val="00B0242D"/>
    <w:rsid w:val="00B02822"/>
    <w:rsid w:val="00B02B1C"/>
    <w:rsid w:val="00B02BA7"/>
    <w:rsid w:val="00B02C7C"/>
    <w:rsid w:val="00B02D3A"/>
    <w:rsid w:val="00B03253"/>
    <w:rsid w:val="00B03286"/>
    <w:rsid w:val="00B03521"/>
    <w:rsid w:val="00B03540"/>
    <w:rsid w:val="00B035B7"/>
    <w:rsid w:val="00B03797"/>
    <w:rsid w:val="00B039E3"/>
    <w:rsid w:val="00B03A8F"/>
    <w:rsid w:val="00B03B4C"/>
    <w:rsid w:val="00B03CA6"/>
    <w:rsid w:val="00B03DD6"/>
    <w:rsid w:val="00B03EA5"/>
    <w:rsid w:val="00B04230"/>
    <w:rsid w:val="00B042AB"/>
    <w:rsid w:val="00B04312"/>
    <w:rsid w:val="00B048AB"/>
    <w:rsid w:val="00B04DC7"/>
    <w:rsid w:val="00B04E5D"/>
    <w:rsid w:val="00B04E69"/>
    <w:rsid w:val="00B04F2E"/>
    <w:rsid w:val="00B05115"/>
    <w:rsid w:val="00B053FB"/>
    <w:rsid w:val="00B05524"/>
    <w:rsid w:val="00B057A8"/>
    <w:rsid w:val="00B0594F"/>
    <w:rsid w:val="00B05C1F"/>
    <w:rsid w:val="00B05C60"/>
    <w:rsid w:val="00B05CE8"/>
    <w:rsid w:val="00B05E72"/>
    <w:rsid w:val="00B05EAB"/>
    <w:rsid w:val="00B05EFA"/>
    <w:rsid w:val="00B0616F"/>
    <w:rsid w:val="00B06322"/>
    <w:rsid w:val="00B0646F"/>
    <w:rsid w:val="00B064D2"/>
    <w:rsid w:val="00B0650C"/>
    <w:rsid w:val="00B065C6"/>
    <w:rsid w:val="00B06605"/>
    <w:rsid w:val="00B0685D"/>
    <w:rsid w:val="00B06A55"/>
    <w:rsid w:val="00B06C14"/>
    <w:rsid w:val="00B06DC3"/>
    <w:rsid w:val="00B06E36"/>
    <w:rsid w:val="00B06EBE"/>
    <w:rsid w:val="00B0726E"/>
    <w:rsid w:val="00B072B0"/>
    <w:rsid w:val="00B07317"/>
    <w:rsid w:val="00B073EC"/>
    <w:rsid w:val="00B07637"/>
    <w:rsid w:val="00B076DA"/>
    <w:rsid w:val="00B07A46"/>
    <w:rsid w:val="00B07AC1"/>
    <w:rsid w:val="00B07B05"/>
    <w:rsid w:val="00B07DF2"/>
    <w:rsid w:val="00B07EB1"/>
    <w:rsid w:val="00B100C9"/>
    <w:rsid w:val="00B101BB"/>
    <w:rsid w:val="00B101C2"/>
    <w:rsid w:val="00B101EC"/>
    <w:rsid w:val="00B10397"/>
    <w:rsid w:val="00B103CE"/>
    <w:rsid w:val="00B103F6"/>
    <w:rsid w:val="00B103FB"/>
    <w:rsid w:val="00B1041A"/>
    <w:rsid w:val="00B10810"/>
    <w:rsid w:val="00B10B2E"/>
    <w:rsid w:val="00B10E30"/>
    <w:rsid w:val="00B10E88"/>
    <w:rsid w:val="00B1113C"/>
    <w:rsid w:val="00B11272"/>
    <w:rsid w:val="00B1137A"/>
    <w:rsid w:val="00B113EB"/>
    <w:rsid w:val="00B11540"/>
    <w:rsid w:val="00B11759"/>
    <w:rsid w:val="00B11930"/>
    <w:rsid w:val="00B11977"/>
    <w:rsid w:val="00B119C6"/>
    <w:rsid w:val="00B11CBA"/>
    <w:rsid w:val="00B11D7B"/>
    <w:rsid w:val="00B11E98"/>
    <w:rsid w:val="00B11F44"/>
    <w:rsid w:val="00B121B1"/>
    <w:rsid w:val="00B1226C"/>
    <w:rsid w:val="00B12288"/>
    <w:rsid w:val="00B124D7"/>
    <w:rsid w:val="00B12531"/>
    <w:rsid w:val="00B125EA"/>
    <w:rsid w:val="00B1262F"/>
    <w:rsid w:val="00B1263C"/>
    <w:rsid w:val="00B12688"/>
    <w:rsid w:val="00B127FA"/>
    <w:rsid w:val="00B12908"/>
    <w:rsid w:val="00B1295B"/>
    <w:rsid w:val="00B129C6"/>
    <w:rsid w:val="00B12B81"/>
    <w:rsid w:val="00B12E3B"/>
    <w:rsid w:val="00B13022"/>
    <w:rsid w:val="00B1302D"/>
    <w:rsid w:val="00B13121"/>
    <w:rsid w:val="00B1317D"/>
    <w:rsid w:val="00B131F0"/>
    <w:rsid w:val="00B13200"/>
    <w:rsid w:val="00B1383B"/>
    <w:rsid w:val="00B13AD5"/>
    <w:rsid w:val="00B13AE9"/>
    <w:rsid w:val="00B13C6C"/>
    <w:rsid w:val="00B13DE5"/>
    <w:rsid w:val="00B1414A"/>
    <w:rsid w:val="00B141E5"/>
    <w:rsid w:val="00B1435B"/>
    <w:rsid w:val="00B1449A"/>
    <w:rsid w:val="00B144CA"/>
    <w:rsid w:val="00B144FE"/>
    <w:rsid w:val="00B1465C"/>
    <w:rsid w:val="00B1486B"/>
    <w:rsid w:val="00B14900"/>
    <w:rsid w:val="00B14C57"/>
    <w:rsid w:val="00B14C99"/>
    <w:rsid w:val="00B14CAA"/>
    <w:rsid w:val="00B14CC8"/>
    <w:rsid w:val="00B14DFA"/>
    <w:rsid w:val="00B15009"/>
    <w:rsid w:val="00B1523C"/>
    <w:rsid w:val="00B15243"/>
    <w:rsid w:val="00B1526A"/>
    <w:rsid w:val="00B1529E"/>
    <w:rsid w:val="00B152DF"/>
    <w:rsid w:val="00B1567E"/>
    <w:rsid w:val="00B15729"/>
    <w:rsid w:val="00B1586B"/>
    <w:rsid w:val="00B15A68"/>
    <w:rsid w:val="00B15AFA"/>
    <w:rsid w:val="00B15BCD"/>
    <w:rsid w:val="00B15C80"/>
    <w:rsid w:val="00B15CC4"/>
    <w:rsid w:val="00B15E3A"/>
    <w:rsid w:val="00B15E4A"/>
    <w:rsid w:val="00B160D9"/>
    <w:rsid w:val="00B160DB"/>
    <w:rsid w:val="00B160F4"/>
    <w:rsid w:val="00B161AB"/>
    <w:rsid w:val="00B16474"/>
    <w:rsid w:val="00B164A8"/>
    <w:rsid w:val="00B1652F"/>
    <w:rsid w:val="00B16559"/>
    <w:rsid w:val="00B165CA"/>
    <w:rsid w:val="00B166C5"/>
    <w:rsid w:val="00B16760"/>
    <w:rsid w:val="00B168E4"/>
    <w:rsid w:val="00B16908"/>
    <w:rsid w:val="00B169BF"/>
    <w:rsid w:val="00B16B87"/>
    <w:rsid w:val="00B16C0E"/>
    <w:rsid w:val="00B1706D"/>
    <w:rsid w:val="00B170F6"/>
    <w:rsid w:val="00B17139"/>
    <w:rsid w:val="00B1718F"/>
    <w:rsid w:val="00B171BC"/>
    <w:rsid w:val="00B1721D"/>
    <w:rsid w:val="00B1728F"/>
    <w:rsid w:val="00B173AC"/>
    <w:rsid w:val="00B174E3"/>
    <w:rsid w:val="00B174E7"/>
    <w:rsid w:val="00B1752B"/>
    <w:rsid w:val="00B17539"/>
    <w:rsid w:val="00B17672"/>
    <w:rsid w:val="00B176D7"/>
    <w:rsid w:val="00B1777D"/>
    <w:rsid w:val="00B177FB"/>
    <w:rsid w:val="00B1780F"/>
    <w:rsid w:val="00B17830"/>
    <w:rsid w:val="00B17978"/>
    <w:rsid w:val="00B17993"/>
    <w:rsid w:val="00B17B03"/>
    <w:rsid w:val="00B17C45"/>
    <w:rsid w:val="00B17C4E"/>
    <w:rsid w:val="00B17CFB"/>
    <w:rsid w:val="00B202AD"/>
    <w:rsid w:val="00B204A1"/>
    <w:rsid w:val="00B20581"/>
    <w:rsid w:val="00B20687"/>
    <w:rsid w:val="00B20818"/>
    <w:rsid w:val="00B20937"/>
    <w:rsid w:val="00B20AF6"/>
    <w:rsid w:val="00B20B8A"/>
    <w:rsid w:val="00B20C8C"/>
    <w:rsid w:val="00B20CF3"/>
    <w:rsid w:val="00B20F1F"/>
    <w:rsid w:val="00B2127A"/>
    <w:rsid w:val="00B21391"/>
    <w:rsid w:val="00B21427"/>
    <w:rsid w:val="00B2143C"/>
    <w:rsid w:val="00B21464"/>
    <w:rsid w:val="00B214C6"/>
    <w:rsid w:val="00B2153D"/>
    <w:rsid w:val="00B215A2"/>
    <w:rsid w:val="00B216FF"/>
    <w:rsid w:val="00B21883"/>
    <w:rsid w:val="00B218F1"/>
    <w:rsid w:val="00B2193E"/>
    <w:rsid w:val="00B21A2D"/>
    <w:rsid w:val="00B21B25"/>
    <w:rsid w:val="00B21DE5"/>
    <w:rsid w:val="00B21DFB"/>
    <w:rsid w:val="00B21E57"/>
    <w:rsid w:val="00B21F0B"/>
    <w:rsid w:val="00B22481"/>
    <w:rsid w:val="00B22648"/>
    <w:rsid w:val="00B22864"/>
    <w:rsid w:val="00B22D15"/>
    <w:rsid w:val="00B22D1E"/>
    <w:rsid w:val="00B22DF3"/>
    <w:rsid w:val="00B22EAE"/>
    <w:rsid w:val="00B22ECE"/>
    <w:rsid w:val="00B231E9"/>
    <w:rsid w:val="00B23416"/>
    <w:rsid w:val="00B2377B"/>
    <w:rsid w:val="00B239D7"/>
    <w:rsid w:val="00B23A2E"/>
    <w:rsid w:val="00B23A49"/>
    <w:rsid w:val="00B23B0A"/>
    <w:rsid w:val="00B23B85"/>
    <w:rsid w:val="00B23DB0"/>
    <w:rsid w:val="00B23DE6"/>
    <w:rsid w:val="00B23E16"/>
    <w:rsid w:val="00B23FCE"/>
    <w:rsid w:val="00B2415C"/>
    <w:rsid w:val="00B24298"/>
    <w:rsid w:val="00B2429E"/>
    <w:rsid w:val="00B242EB"/>
    <w:rsid w:val="00B24984"/>
    <w:rsid w:val="00B24BEC"/>
    <w:rsid w:val="00B24C7F"/>
    <w:rsid w:val="00B24D14"/>
    <w:rsid w:val="00B24D60"/>
    <w:rsid w:val="00B24E21"/>
    <w:rsid w:val="00B25001"/>
    <w:rsid w:val="00B252D6"/>
    <w:rsid w:val="00B253F4"/>
    <w:rsid w:val="00B2566F"/>
    <w:rsid w:val="00B25978"/>
    <w:rsid w:val="00B259D6"/>
    <w:rsid w:val="00B25AA4"/>
    <w:rsid w:val="00B260D1"/>
    <w:rsid w:val="00B2613C"/>
    <w:rsid w:val="00B2623A"/>
    <w:rsid w:val="00B262A3"/>
    <w:rsid w:val="00B263FF"/>
    <w:rsid w:val="00B265B3"/>
    <w:rsid w:val="00B26633"/>
    <w:rsid w:val="00B26A22"/>
    <w:rsid w:val="00B26A8D"/>
    <w:rsid w:val="00B26BC9"/>
    <w:rsid w:val="00B27115"/>
    <w:rsid w:val="00B271F1"/>
    <w:rsid w:val="00B273F3"/>
    <w:rsid w:val="00B27519"/>
    <w:rsid w:val="00B27882"/>
    <w:rsid w:val="00B278ED"/>
    <w:rsid w:val="00B279B1"/>
    <w:rsid w:val="00B279D5"/>
    <w:rsid w:val="00B27A36"/>
    <w:rsid w:val="00B27A46"/>
    <w:rsid w:val="00B27BA6"/>
    <w:rsid w:val="00B27EDB"/>
    <w:rsid w:val="00B3032F"/>
    <w:rsid w:val="00B3035E"/>
    <w:rsid w:val="00B30673"/>
    <w:rsid w:val="00B30699"/>
    <w:rsid w:val="00B3074F"/>
    <w:rsid w:val="00B30863"/>
    <w:rsid w:val="00B30984"/>
    <w:rsid w:val="00B309F0"/>
    <w:rsid w:val="00B30A78"/>
    <w:rsid w:val="00B311AE"/>
    <w:rsid w:val="00B31230"/>
    <w:rsid w:val="00B31458"/>
    <w:rsid w:val="00B314A1"/>
    <w:rsid w:val="00B3186B"/>
    <w:rsid w:val="00B318D7"/>
    <w:rsid w:val="00B31A6B"/>
    <w:rsid w:val="00B31ED9"/>
    <w:rsid w:val="00B3205E"/>
    <w:rsid w:val="00B32268"/>
    <w:rsid w:val="00B322B2"/>
    <w:rsid w:val="00B323F3"/>
    <w:rsid w:val="00B325AB"/>
    <w:rsid w:val="00B3273C"/>
    <w:rsid w:val="00B32887"/>
    <w:rsid w:val="00B32BBD"/>
    <w:rsid w:val="00B32D45"/>
    <w:rsid w:val="00B32D86"/>
    <w:rsid w:val="00B32E09"/>
    <w:rsid w:val="00B32ED5"/>
    <w:rsid w:val="00B32EE9"/>
    <w:rsid w:val="00B32F3E"/>
    <w:rsid w:val="00B32F6A"/>
    <w:rsid w:val="00B333F6"/>
    <w:rsid w:val="00B33499"/>
    <w:rsid w:val="00B33520"/>
    <w:rsid w:val="00B33631"/>
    <w:rsid w:val="00B336C2"/>
    <w:rsid w:val="00B337DB"/>
    <w:rsid w:val="00B337DE"/>
    <w:rsid w:val="00B3387B"/>
    <w:rsid w:val="00B33C75"/>
    <w:rsid w:val="00B34059"/>
    <w:rsid w:val="00B3421C"/>
    <w:rsid w:val="00B3445F"/>
    <w:rsid w:val="00B345FB"/>
    <w:rsid w:val="00B34730"/>
    <w:rsid w:val="00B34779"/>
    <w:rsid w:val="00B348EC"/>
    <w:rsid w:val="00B34927"/>
    <w:rsid w:val="00B349EF"/>
    <w:rsid w:val="00B34A1A"/>
    <w:rsid w:val="00B34A29"/>
    <w:rsid w:val="00B34C4D"/>
    <w:rsid w:val="00B34E5D"/>
    <w:rsid w:val="00B34EEF"/>
    <w:rsid w:val="00B34FB5"/>
    <w:rsid w:val="00B350E9"/>
    <w:rsid w:val="00B350F6"/>
    <w:rsid w:val="00B351F9"/>
    <w:rsid w:val="00B35414"/>
    <w:rsid w:val="00B35441"/>
    <w:rsid w:val="00B354C0"/>
    <w:rsid w:val="00B35668"/>
    <w:rsid w:val="00B35697"/>
    <w:rsid w:val="00B3583B"/>
    <w:rsid w:val="00B3594A"/>
    <w:rsid w:val="00B3598F"/>
    <w:rsid w:val="00B35B6A"/>
    <w:rsid w:val="00B35CF2"/>
    <w:rsid w:val="00B35D44"/>
    <w:rsid w:val="00B35DE4"/>
    <w:rsid w:val="00B36052"/>
    <w:rsid w:val="00B3629C"/>
    <w:rsid w:val="00B362BF"/>
    <w:rsid w:val="00B36581"/>
    <w:rsid w:val="00B36739"/>
    <w:rsid w:val="00B369AD"/>
    <w:rsid w:val="00B36C9A"/>
    <w:rsid w:val="00B36E52"/>
    <w:rsid w:val="00B36E75"/>
    <w:rsid w:val="00B36F38"/>
    <w:rsid w:val="00B37029"/>
    <w:rsid w:val="00B3708C"/>
    <w:rsid w:val="00B373BA"/>
    <w:rsid w:val="00B37614"/>
    <w:rsid w:val="00B377E9"/>
    <w:rsid w:val="00B37A75"/>
    <w:rsid w:val="00B37A8F"/>
    <w:rsid w:val="00B37BB0"/>
    <w:rsid w:val="00B37F95"/>
    <w:rsid w:val="00B400DA"/>
    <w:rsid w:val="00B40109"/>
    <w:rsid w:val="00B40113"/>
    <w:rsid w:val="00B40267"/>
    <w:rsid w:val="00B40374"/>
    <w:rsid w:val="00B403C2"/>
    <w:rsid w:val="00B40477"/>
    <w:rsid w:val="00B40549"/>
    <w:rsid w:val="00B40872"/>
    <w:rsid w:val="00B408AC"/>
    <w:rsid w:val="00B40A3F"/>
    <w:rsid w:val="00B40A8E"/>
    <w:rsid w:val="00B40A9C"/>
    <w:rsid w:val="00B40B14"/>
    <w:rsid w:val="00B40B25"/>
    <w:rsid w:val="00B40CE6"/>
    <w:rsid w:val="00B40D88"/>
    <w:rsid w:val="00B40E95"/>
    <w:rsid w:val="00B4105F"/>
    <w:rsid w:val="00B410B3"/>
    <w:rsid w:val="00B4129B"/>
    <w:rsid w:val="00B412C6"/>
    <w:rsid w:val="00B41314"/>
    <w:rsid w:val="00B41332"/>
    <w:rsid w:val="00B41688"/>
    <w:rsid w:val="00B41956"/>
    <w:rsid w:val="00B419D0"/>
    <w:rsid w:val="00B41A23"/>
    <w:rsid w:val="00B41A86"/>
    <w:rsid w:val="00B41AD9"/>
    <w:rsid w:val="00B41C14"/>
    <w:rsid w:val="00B41D54"/>
    <w:rsid w:val="00B41FD4"/>
    <w:rsid w:val="00B41FD9"/>
    <w:rsid w:val="00B42227"/>
    <w:rsid w:val="00B422B1"/>
    <w:rsid w:val="00B425E5"/>
    <w:rsid w:val="00B42B24"/>
    <w:rsid w:val="00B42CF9"/>
    <w:rsid w:val="00B42D4B"/>
    <w:rsid w:val="00B42D68"/>
    <w:rsid w:val="00B42DA3"/>
    <w:rsid w:val="00B43028"/>
    <w:rsid w:val="00B4308C"/>
    <w:rsid w:val="00B430FD"/>
    <w:rsid w:val="00B431BB"/>
    <w:rsid w:val="00B43248"/>
    <w:rsid w:val="00B433E8"/>
    <w:rsid w:val="00B4351A"/>
    <w:rsid w:val="00B43532"/>
    <w:rsid w:val="00B436DA"/>
    <w:rsid w:val="00B43810"/>
    <w:rsid w:val="00B43B0E"/>
    <w:rsid w:val="00B43CB3"/>
    <w:rsid w:val="00B43CE9"/>
    <w:rsid w:val="00B43D95"/>
    <w:rsid w:val="00B43DAF"/>
    <w:rsid w:val="00B43DD1"/>
    <w:rsid w:val="00B44271"/>
    <w:rsid w:val="00B442B6"/>
    <w:rsid w:val="00B442C1"/>
    <w:rsid w:val="00B4459B"/>
    <w:rsid w:val="00B447E7"/>
    <w:rsid w:val="00B44AFB"/>
    <w:rsid w:val="00B44B5B"/>
    <w:rsid w:val="00B44E03"/>
    <w:rsid w:val="00B44E2C"/>
    <w:rsid w:val="00B44EA0"/>
    <w:rsid w:val="00B44FC1"/>
    <w:rsid w:val="00B452EE"/>
    <w:rsid w:val="00B45388"/>
    <w:rsid w:val="00B453FA"/>
    <w:rsid w:val="00B4552F"/>
    <w:rsid w:val="00B4558A"/>
    <w:rsid w:val="00B4567F"/>
    <w:rsid w:val="00B4586D"/>
    <w:rsid w:val="00B45905"/>
    <w:rsid w:val="00B45A1F"/>
    <w:rsid w:val="00B45E5A"/>
    <w:rsid w:val="00B45F55"/>
    <w:rsid w:val="00B45F7F"/>
    <w:rsid w:val="00B4617F"/>
    <w:rsid w:val="00B461D0"/>
    <w:rsid w:val="00B461D2"/>
    <w:rsid w:val="00B46540"/>
    <w:rsid w:val="00B4663E"/>
    <w:rsid w:val="00B467AD"/>
    <w:rsid w:val="00B467E8"/>
    <w:rsid w:val="00B468CE"/>
    <w:rsid w:val="00B46972"/>
    <w:rsid w:val="00B469B1"/>
    <w:rsid w:val="00B46B7D"/>
    <w:rsid w:val="00B46B9D"/>
    <w:rsid w:val="00B46C41"/>
    <w:rsid w:val="00B46C67"/>
    <w:rsid w:val="00B46CC7"/>
    <w:rsid w:val="00B46CE4"/>
    <w:rsid w:val="00B47196"/>
    <w:rsid w:val="00B4720F"/>
    <w:rsid w:val="00B47254"/>
    <w:rsid w:val="00B4726A"/>
    <w:rsid w:val="00B47908"/>
    <w:rsid w:val="00B47B1A"/>
    <w:rsid w:val="00B47BD9"/>
    <w:rsid w:val="00B47D7D"/>
    <w:rsid w:val="00B503A3"/>
    <w:rsid w:val="00B503D0"/>
    <w:rsid w:val="00B508AC"/>
    <w:rsid w:val="00B50A28"/>
    <w:rsid w:val="00B50A61"/>
    <w:rsid w:val="00B50BB9"/>
    <w:rsid w:val="00B50C00"/>
    <w:rsid w:val="00B50DAD"/>
    <w:rsid w:val="00B50E9C"/>
    <w:rsid w:val="00B50F32"/>
    <w:rsid w:val="00B50F95"/>
    <w:rsid w:val="00B51014"/>
    <w:rsid w:val="00B51269"/>
    <w:rsid w:val="00B512D7"/>
    <w:rsid w:val="00B51319"/>
    <w:rsid w:val="00B5194C"/>
    <w:rsid w:val="00B51D95"/>
    <w:rsid w:val="00B51E70"/>
    <w:rsid w:val="00B52120"/>
    <w:rsid w:val="00B521A0"/>
    <w:rsid w:val="00B521C9"/>
    <w:rsid w:val="00B52373"/>
    <w:rsid w:val="00B52446"/>
    <w:rsid w:val="00B52473"/>
    <w:rsid w:val="00B5254E"/>
    <w:rsid w:val="00B52770"/>
    <w:rsid w:val="00B52802"/>
    <w:rsid w:val="00B52998"/>
    <w:rsid w:val="00B529DB"/>
    <w:rsid w:val="00B52CDC"/>
    <w:rsid w:val="00B52D00"/>
    <w:rsid w:val="00B53143"/>
    <w:rsid w:val="00B53187"/>
    <w:rsid w:val="00B5347C"/>
    <w:rsid w:val="00B53498"/>
    <w:rsid w:val="00B5358B"/>
    <w:rsid w:val="00B53641"/>
    <w:rsid w:val="00B5374E"/>
    <w:rsid w:val="00B53C11"/>
    <w:rsid w:val="00B53FC3"/>
    <w:rsid w:val="00B54368"/>
    <w:rsid w:val="00B54519"/>
    <w:rsid w:val="00B54570"/>
    <w:rsid w:val="00B54635"/>
    <w:rsid w:val="00B546E5"/>
    <w:rsid w:val="00B54729"/>
    <w:rsid w:val="00B548FA"/>
    <w:rsid w:val="00B54958"/>
    <w:rsid w:val="00B549AB"/>
    <w:rsid w:val="00B54AE5"/>
    <w:rsid w:val="00B54B17"/>
    <w:rsid w:val="00B54B32"/>
    <w:rsid w:val="00B54BB5"/>
    <w:rsid w:val="00B55120"/>
    <w:rsid w:val="00B5523B"/>
    <w:rsid w:val="00B554F6"/>
    <w:rsid w:val="00B555BF"/>
    <w:rsid w:val="00B5562F"/>
    <w:rsid w:val="00B55686"/>
    <w:rsid w:val="00B558D8"/>
    <w:rsid w:val="00B5593D"/>
    <w:rsid w:val="00B55B04"/>
    <w:rsid w:val="00B55CFC"/>
    <w:rsid w:val="00B56016"/>
    <w:rsid w:val="00B5604E"/>
    <w:rsid w:val="00B561EC"/>
    <w:rsid w:val="00B565BF"/>
    <w:rsid w:val="00B56742"/>
    <w:rsid w:val="00B568A1"/>
    <w:rsid w:val="00B56945"/>
    <w:rsid w:val="00B56A2E"/>
    <w:rsid w:val="00B56B78"/>
    <w:rsid w:val="00B56BB9"/>
    <w:rsid w:val="00B56D11"/>
    <w:rsid w:val="00B56E93"/>
    <w:rsid w:val="00B56FAB"/>
    <w:rsid w:val="00B570C9"/>
    <w:rsid w:val="00B57314"/>
    <w:rsid w:val="00B573F7"/>
    <w:rsid w:val="00B575B7"/>
    <w:rsid w:val="00B576F9"/>
    <w:rsid w:val="00B57828"/>
    <w:rsid w:val="00B57865"/>
    <w:rsid w:val="00B57BD2"/>
    <w:rsid w:val="00B57C3C"/>
    <w:rsid w:val="00B57CEF"/>
    <w:rsid w:val="00B57DB9"/>
    <w:rsid w:val="00B57EFC"/>
    <w:rsid w:val="00B60149"/>
    <w:rsid w:val="00B60159"/>
    <w:rsid w:val="00B60195"/>
    <w:rsid w:val="00B60287"/>
    <w:rsid w:val="00B60328"/>
    <w:rsid w:val="00B603EE"/>
    <w:rsid w:val="00B6085D"/>
    <w:rsid w:val="00B60985"/>
    <w:rsid w:val="00B60A36"/>
    <w:rsid w:val="00B60A74"/>
    <w:rsid w:val="00B60B4A"/>
    <w:rsid w:val="00B60B5B"/>
    <w:rsid w:val="00B60DD5"/>
    <w:rsid w:val="00B6128C"/>
    <w:rsid w:val="00B6136B"/>
    <w:rsid w:val="00B61402"/>
    <w:rsid w:val="00B61502"/>
    <w:rsid w:val="00B61571"/>
    <w:rsid w:val="00B61612"/>
    <w:rsid w:val="00B616C0"/>
    <w:rsid w:val="00B61826"/>
    <w:rsid w:val="00B61975"/>
    <w:rsid w:val="00B619DE"/>
    <w:rsid w:val="00B61A04"/>
    <w:rsid w:val="00B61A90"/>
    <w:rsid w:val="00B61A9A"/>
    <w:rsid w:val="00B61B69"/>
    <w:rsid w:val="00B61FD0"/>
    <w:rsid w:val="00B62636"/>
    <w:rsid w:val="00B627AB"/>
    <w:rsid w:val="00B628E9"/>
    <w:rsid w:val="00B62911"/>
    <w:rsid w:val="00B62BB3"/>
    <w:rsid w:val="00B62C28"/>
    <w:rsid w:val="00B62C52"/>
    <w:rsid w:val="00B62C73"/>
    <w:rsid w:val="00B62CAE"/>
    <w:rsid w:val="00B62CF3"/>
    <w:rsid w:val="00B62D6A"/>
    <w:rsid w:val="00B62FAD"/>
    <w:rsid w:val="00B63173"/>
    <w:rsid w:val="00B63366"/>
    <w:rsid w:val="00B633A9"/>
    <w:rsid w:val="00B634B4"/>
    <w:rsid w:val="00B634BC"/>
    <w:rsid w:val="00B6362E"/>
    <w:rsid w:val="00B6376E"/>
    <w:rsid w:val="00B63789"/>
    <w:rsid w:val="00B63800"/>
    <w:rsid w:val="00B639EE"/>
    <w:rsid w:val="00B63B57"/>
    <w:rsid w:val="00B63BA4"/>
    <w:rsid w:val="00B63C1E"/>
    <w:rsid w:val="00B63DA5"/>
    <w:rsid w:val="00B63E63"/>
    <w:rsid w:val="00B64010"/>
    <w:rsid w:val="00B64033"/>
    <w:rsid w:val="00B64164"/>
    <w:rsid w:val="00B64214"/>
    <w:rsid w:val="00B6484B"/>
    <w:rsid w:val="00B64949"/>
    <w:rsid w:val="00B6498B"/>
    <w:rsid w:val="00B64999"/>
    <w:rsid w:val="00B649BC"/>
    <w:rsid w:val="00B64B12"/>
    <w:rsid w:val="00B64EBA"/>
    <w:rsid w:val="00B65347"/>
    <w:rsid w:val="00B65884"/>
    <w:rsid w:val="00B6588E"/>
    <w:rsid w:val="00B65980"/>
    <w:rsid w:val="00B659EF"/>
    <w:rsid w:val="00B65B0F"/>
    <w:rsid w:val="00B65BC1"/>
    <w:rsid w:val="00B65DE1"/>
    <w:rsid w:val="00B65EDD"/>
    <w:rsid w:val="00B66010"/>
    <w:rsid w:val="00B66636"/>
    <w:rsid w:val="00B6678E"/>
    <w:rsid w:val="00B667F9"/>
    <w:rsid w:val="00B66845"/>
    <w:rsid w:val="00B66875"/>
    <w:rsid w:val="00B66930"/>
    <w:rsid w:val="00B66B63"/>
    <w:rsid w:val="00B66B8C"/>
    <w:rsid w:val="00B66C37"/>
    <w:rsid w:val="00B66C49"/>
    <w:rsid w:val="00B66EEB"/>
    <w:rsid w:val="00B67485"/>
    <w:rsid w:val="00B6777F"/>
    <w:rsid w:val="00B67E9D"/>
    <w:rsid w:val="00B67F13"/>
    <w:rsid w:val="00B67F5F"/>
    <w:rsid w:val="00B67F90"/>
    <w:rsid w:val="00B7025A"/>
    <w:rsid w:val="00B7033E"/>
    <w:rsid w:val="00B7042F"/>
    <w:rsid w:val="00B7058F"/>
    <w:rsid w:val="00B70775"/>
    <w:rsid w:val="00B7094B"/>
    <w:rsid w:val="00B70B0D"/>
    <w:rsid w:val="00B70B59"/>
    <w:rsid w:val="00B70BCF"/>
    <w:rsid w:val="00B70C20"/>
    <w:rsid w:val="00B70E00"/>
    <w:rsid w:val="00B70F6E"/>
    <w:rsid w:val="00B7139D"/>
    <w:rsid w:val="00B7140D"/>
    <w:rsid w:val="00B71475"/>
    <w:rsid w:val="00B71567"/>
    <w:rsid w:val="00B71652"/>
    <w:rsid w:val="00B716FF"/>
    <w:rsid w:val="00B718C1"/>
    <w:rsid w:val="00B71AA8"/>
    <w:rsid w:val="00B71BEC"/>
    <w:rsid w:val="00B71CE8"/>
    <w:rsid w:val="00B71D41"/>
    <w:rsid w:val="00B71ECA"/>
    <w:rsid w:val="00B71FBA"/>
    <w:rsid w:val="00B720DA"/>
    <w:rsid w:val="00B72247"/>
    <w:rsid w:val="00B722CC"/>
    <w:rsid w:val="00B72300"/>
    <w:rsid w:val="00B7232B"/>
    <w:rsid w:val="00B7238A"/>
    <w:rsid w:val="00B72AF0"/>
    <w:rsid w:val="00B72B04"/>
    <w:rsid w:val="00B72B14"/>
    <w:rsid w:val="00B72D81"/>
    <w:rsid w:val="00B72E7D"/>
    <w:rsid w:val="00B72FCC"/>
    <w:rsid w:val="00B732C6"/>
    <w:rsid w:val="00B733F3"/>
    <w:rsid w:val="00B73448"/>
    <w:rsid w:val="00B734B6"/>
    <w:rsid w:val="00B73607"/>
    <w:rsid w:val="00B736D3"/>
    <w:rsid w:val="00B73786"/>
    <w:rsid w:val="00B737CE"/>
    <w:rsid w:val="00B737EB"/>
    <w:rsid w:val="00B73A84"/>
    <w:rsid w:val="00B73E48"/>
    <w:rsid w:val="00B74265"/>
    <w:rsid w:val="00B742A8"/>
    <w:rsid w:val="00B7441F"/>
    <w:rsid w:val="00B74613"/>
    <w:rsid w:val="00B74692"/>
    <w:rsid w:val="00B746B9"/>
    <w:rsid w:val="00B74AC5"/>
    <w:rsid w:val="00B74BF9"/>
    <w:rsid w:val="00B74CF8"/>
    <w:rsid w:val="00B74DCC"/>
    <w:rsid w:val="00B74F20"/>
    <w:rsid w:val="00B7500D"/>
    <w:rsid w:val="00B75021"/>
    <w:rsid w:val="00B750E0"/>
    <w:rsid w:val="00B75101"/>
    <w:rsid w:val="00B7516B"/>
    <w:rsid w:val="00B7525C"/>
    <w:rsid w:val="00B752DF"/>
    <w:rsid w:val="00B75325"/>
    <w:rsid w:val="00B7534B"/>
    <w:rsid w:val="00B753A1"/>
    <w:rsid w:val="00B753B8"/>
    <w:rsid w:val="00B753B9"/>
    <w:rsid w:val="00B753BB"/>
    <w:rsid w:val="00B75549"/>
    <w:rsid w:val="00B7554F"/>
    <w:rsid w:val="00B7583A"/>
    <w:rsid w:val="00B7589F"/>
    <w:rsid w:val="00B758DA"/>
    <w:rsid w:val="00B75AE2"/>
    <w:rsid w:val="00B75C23"/>
    <w:rsid w:val="00B75CD4"/>
    <w:rsid w:val="00B75CD6"/>
    <w:rsid w:val="00B75FEA"/>
    <w:rsid w:val="00B76071"/>
    <w:rsid w:val="00B76087"/>
    <w:rsid w:val="00B7618A"/>
    <w:rsid w:val="00B761B0"/>
    <w:rsid w:val="00B761C3"/>
    <w:rsid w:val="00B763AD"/>
    <w:rsid w:val="00B7642E"/>
    <w:rsid w:val="00B76568"/>
    <w:rsid w:val="00B7666B"/>
    <w:rsid w:val="00B76B28"/>
    <w:rsid w:val="00B76D0D"/>
    <w:rsid w:val="00B76D4D"/>
    <w:rsid w:val="00B7700A"/>
    <w:rsid w:val="00B775EE"/>
    <w:rsid w:val="00B77641"/>
    <w:rsid w:val="00B77772"/>
    <w:rsid w:val="00B7780B"/>
    <w:rsid w:val="00B779D1"/>
    <w:rsid w:val="00B77B1E"/>
    <w:rsid w:val="00B77C2C"/>
    <w:rsid w:val="00B77FEA"/>
    <w:rsid w:val="00B8006C"/>
    <w:rsid w:val="00B80133"/>
    <w:rsid w:val="00B8017E"/>
    <w:rsid w:val="00B8061A"/>
    <w:rsid w:val="00B807E9"/>
    <w:rsid w:val="00B807FF"/>
    <w:rsid w:val="00B80921"/>
    <w:rsid w:val="00B80B8B"/>
    <w:rsid w:val="00B80BF4"/>
    <w:rsid w:val="00B80CCC"/>
    <w:rsid w:val="00B80DD7"/>
    <w:rsid w:val="00B8169F"/>
    <w:rsid w:val="00B8183A"/>
    <w:rsid w:val="00B818E4"/>
    <w:rsid w:val="00B81900"/>
    <w:rsid w:val="00B81E5B"/>
    <w:rsid w:val="00B81E6B"/>
    <w:rsid w:val="00B81E82"/>
    <w:rsid w:val="00B81F1C"/>
    <w:rsid w:val="00B82080"/>
    <w:rsid w:val="00B8208F"/>
    <w:rsid w:val="00B823B0"/>
    <w:rsid w:val="00B82484"/>
    <w:rsid w:val="00B825F1"/>
    <w:rsid w:val="00B828F3"/>
    <w:rsid w:val="00B82B5C"/>
    <w:rsid w:val="00B82DD3"/>
    <w:rsid w:val="00B82E4E"/>
    <w:rsid w:val="00B83049"/>
    <w:rsid w:val="00B83122"/>
    <w:rsid w:val="00B83224"/>
    <w:rsid w:val="00B836A5"/>
    <w:rsid w:val="00B839A0"/>
    <w:rsid w:val="00B83B07"/>
    <w:rsid w:val="00B83CF9"/>
    <w:rsid w:val="00B83EB7"/>
    <w:rsid w:val="00B83F48"/>
    <w:rsid w:val="00B840AA"/>
    <w:rsid w:val="00B84148"/>
    <w:rsid w:val="00B84631"/>
    <w:rsid w:val="00B84701"/>
    <w:rsid w:val="00B847E4"/>
    <w:rsid w:val="00B849E4"/>
    <w:rsid w:val="00B84A2F"/>
    <w:rsid w:val="00B84A4D"/>
    <w:rsid w:val="00B84B57"/>
    <w:rsid w:val="00B85261"/>
    <w:rsid w:val="00B8528A"/>
    <w:rsid w:val="00B85355"/>
    <w:rsid w:val="00B853FF"/>
    <w:rsid w:val="00B8545E"/>
    <w:rsid w:val="00B85589"/>
    <w:rsid w:val="00B856C0"/>
    <w:rsid w:val="00B856E5"/>
    <w:rsid w:val="00B857B0"/>
    <w:rsid w:val="00B857E5"/>
    <w:rsid w:val="00B858EE"/>
    <w:rsid w:val="00B85A7C"/>
    <w:rsid w:val="00B85C63"/>
    <w:rsid w:val="00B85CF6"/>
    <w:rsid w:val="00B85FCF"/>
    <w:rsid w:val="00B8623C"/>
    <w:rsid w:val="00B864DC"/>
    <w:rsid w:val="00B86559"/>
    <w:rsid w:val="00B86575"/>
    <w:rsid w:val="00B86623"/>
    <w:rsid w:val="00B8675C"/>
    <w:rsid w:val="00B86929"/>
    <w:rsid w:val="00B86EB2"/>
    <w:rsid w:val="00B8707C"/>
    <w:rsid w:val="00B87265"/>
    <w:rsid w:val="00B872DC"/>
    <w:rsid w:val="00B874F2"/>
    <w:rsid w:val="00B87927"/>
    <w:rsid w:val="00B8794B"/>
    <w:rsid w:val="00B879F7"/>
    <w:rsid w:val="00B87A20"/>
    <w:rsid w:val="00B87C92"/>
    <w:rsid w:val="00B87EEC"/>
    <w:rsid w:val="00B87F7D"/>
    <w:rsid w:val="00B87FEA"/>
    <w:rsid w:val="00B90088"/>
    <w:rsid w:val="00B90176"/>
    <w:rsid w:val="00B901C1"/>
    <w:rsid w:val="00B90C91"/>
    <w:rsid w:val="00B90D44"/>
    <w:rsid w:val="00B90D5D"/>
    <w:rsid w:val="00B90EDB"/>
    <w:rsid w:val="00B9119B"/>
    <w:rsid w:val="00B911CD"/>
    <w:rsid w:val="00B91239"/>
    <w:rsid w:val="00B9125D"/>
    <w:rsid w:val="00B913E3"/>
    <w:rsid w:val="00B9146F"/>
    <w:rsid w:val="00B917AE"/>
    <w:rsid w:val="00B9195F"/>
    <w:rsid w:val="00B91983"/>
    <w:rsid w:val="00B91BC5"/>
    <w:rsid w:val="00B91E43"/>
    <w:rsid w:val="00B92050"/>
    <w:rsid w:val="00B92105"/>
    <w:rsid w:val="00B921FA"/>
    <w:rsid w:val="00B922A8"/>
    <w:rsid w:val="00B9258F"/>
    <w:rsid w:val="00B92926"/>
    <w:rsid w:val="00B9292C"/>
    <w:rsid w:val="00B92998"/>
    <w:rsid w:val="00B929A6"/>
    <w:rsid w:val="00B92A02"/>
    <w:rsid w:val="00B92B3F"/>
    <w:rsid w:val="00B92E15"/>
    <w:rsid w:val="00B92EB9"/>
    <w:rsid w:val="00B931BE"/>
    <w:rsid w:val="00B93387"/>
    <w:rsid w:val="00B93484"/>
    <w:rsid w:val="00B934CD"/>
    <w:rsid w:val="00B937B6"/>
    <w:rsid w:val="00B9382E"/>
    <w:rsid w:val="00B938C1"/>
    <w:rsid w:val="00B93CBF"/>
    <w:rsid w:val="00B93DD4"/>
    <w:rsid w:val="00B94061"/>
    <w:rsid w:val="00B944BD"/>
    <w:rsid w:val="00B94764"/>
    <w:rsid w:val="00B9495E"/>
    <w:rsid w:val="00B94AC8"/>
    <w:rsid w:val="00B94BCB"/>
    <w:rsid w:val="00B94E3B"/>
    <w:rsid w:val="00B95226"/>
    <w:rsid w:val="00B95227"/>
    <w:rsid w:val="00B953B8"/>
    <w:rsid w:val="00B954BB"/>
    <w:rsid w:val="00B95559"/>
    <w:rsid w:val="00B95694"/>
    <w:rsid w:val="00B95881"/>
    <w:rsid w:val="00B959FE"/>
    <w:rsid w:val="00B95A3F"/>
    <w:rsid w:val="00B95A89"/>
    <w:rsid w:val="00B95C3F"/>
    <w:rsid w:val="00B95F61"/>
    <w:rsid w:val="00B95FB3"/>
    <w:rsid w:val="00B9609B"/>
    <w:rsid w:val="00B9611A"/>
    <w:rsid w:val="00B9628A"/>
    <w:rsid w:val="00B962CD"/>
    <w:rsid w:val="00B96419"/>
    <w:rsid w:val="00B96442"/>
    <w:rsid w:val="00B964B7"/>
    <w:rsid w:val="00B96518"/>
    <w:rsid w:val="00B966B3"/>
    <w:rsid w:val="00B96A68"/>
    <w:rsid w:val="00B96C68"/>
    <w:rsid w:val="00B96CE8"/>
    <w:rsid w:val="00B96D7B"/>
    <w:rsid w:val="00B96DC8"/>
    <w:rsid w:val="00B96EB8"/>
    <w:rsid w:val="00B97136"/>
    <w:rsid w:val="00B97436"/>
    <w:rsid w:val="00B9765F"/>
    <w:rsid w:val="00B97924"/>
    <w:rsid w:val="00B97A23"/>
    <w:rsid w:val="00B97A71"/>
    <w:rsid w:val="00B97CF0"/>
    <w:rsid w:val="00B97E37"/>
    <w:rsid w:val="00BA0507"/>
    <w:rsid w:val="00BA060B"/>
    <w:rsid w:val="00BA06FC"/>
    <w:rsid w:val="00BA0784"/>
    <w:rsid w:val="00BA078A"/>
    <w:rsid w:val="00BA07D8"/>
    <w:rsid w:val="00BA0929"/>
    <w:rsid w:val="00BA0B81"/>
    <w:rsid w:val="00BA0DC2"/>
    <w:rsid w:val="00BA0DC5"/>
    <w:rsid w:val="00BA129E"/>
    <w:rsid w:val="00BA1480"/>
    <w:rsid w:val="00BA1581"/>
    <w:rsid w:val="00BA16B4"/>
    <w:rsid w:val="00BA1869"/>
    <w:rsid w:val="00BA18F1"/>
    <w:rsid w:val="00BA19C1"/>
    <w:rsid w:val="00BA1A61"/>
    <w:rsid w:val="00BA1E10"/>
    <w:rsid w:val="00BA1E39"/>
    <w:rsid w:val="00BA1E65"/>
    <w:rsid w:val="00BA2048"/>
    <w:rsid w:val="00BA2204"/>
    <w:rsid w:val="00BA2261"/>
    <w:rsid w:val="00BA233B"/>
    <w:rsid w:val="00BA23ED"/>
    <w:rsid w:val="00BA2486"/>
    <w:rsid w:val="00BA274F"/>
    <w:rsid w:val="00BA2808"/>
    <w:rsid w:val="00BA2863"/>
    <w:rsid w:val="00BA2C34"/>
    <w:rsid w:val="00BA2C8B"/>
    <w:rsid w:val="00BA2C97"/>
    <w:rsid w:val="00BA2D29"/>
    <w:rsid w:val="00BA33F8"/>
    <w:rsid w:val="00BA3453"/>
    <w:rsid w:val="00BA34A9"/>
    <w:rsid w:val="00BA34E3"/>
    <w:rsid w:val="00BA3573"/>
    <w:rsid w:val="00BA364C"/>
    <w:rsid w:val="00BA366E"/>
    <w:rsid w:val="00BA370F"/>
    <w:rsid w:val="00BA37BF"/>
    <w:rsid w:val="00BA37E4"/>
    <w:rsid w:val="00BA3CA4"/>
    <w:rsid w:val="00BA3D43"/>
    <w:rsid w:val="00BA406C"/>
    <w:rsid w:val="00BA40B6"/>
    <w:rsid w:val="00BA40E9"/>
    <w:rsid w:val="00BA42B8"/>
    <w:rsid w:val="00BA4547"/>
    <w:rsid w:val="00BA46BA"/>
    <w:rsid w:val="00BA490D"/>
    <w:rsid w:val="00BA4CFB"/>
    <w:rsid w:val="00BA4E5C"/>
    <w:rsid w:val="00BA4E99"/>
    <w:rsid w:val="00BA4FED"/>
    <w:rsid w:val="00BA552D"/>
    <w:rsid w:val="00BA5597"/>
    <w:rsid w:val="00BA55DA"/>
    <w:rsid w:val="00BA5685"/>
    <w:rsid w:val="00BA56BF"/>
    <w:rsid w:val="00BA56CF"/>
    <w:rsid w:val="00BA5749"/>
    <w:rsid w:val="00BA5759"/>
    <w:rsid w:val="00BA59AA"/>
    <w:rsid w:val="00BA5AB7"/>
    <w:rsid w:val="00BA5CED"/>
    <w:rsid w:val="00BA5E04"/>
    <w:rsid w:val="00BA5F17"/>
    <w:rsid w:val="00BA611C"/>
    <w:rsid w:val="00BA613B"/>
    <w:rsid w:val="00BA625A"/>
    <w:rsid w:val="00BA62B8"/>
    <w:rsid w:val="00BA6318"/>
    <w:rsid w:val="00BA63A1"/>
    <w:rsid w:val="00BA63AE"/>
    <w:rsid w:val="00BA63DF"/>
    <w:rsid w:val="00BA63FA"/>
    <w:rsid w:val="00BA6570"/>
    <w:rsid w:val="00BA6707"/>
    <w:rsid w:val="00BA6810"/>
    <w:rsid w:val="00BA68FD"/>
    <w:rsid w:val="00BA6A63"/>
    <w:rsid w:val="00BA6D42"/>
    <w:rsid w:val="00BA6DAF"/>
    <w:rsid w:val="00BA7022"/>
    <w:rsid w:val="00BA70DA"/>
    <w:rsid w:val="00BA747C"/>
    <w:rsid w:val="00BA7484"/>
    <w:rsid w:val="00BA74C0"/>
    <w:rsid w:val="00BA75E1"/>
    <w:rsid w:val="00BA7728"/>
    <w:rsid w:val="00BA77BB"/>
    <w:rsid w:val="00BA7928"/>
    <w:rsid w:val="00BA7DCE"/>
    <w:rsid w:val="00BA7E44"/>
    <w:rsid w:val="00BA7E61"/>
    <w:rsid w:val="00BA7FFE"/>
    <w:rsid w:val="00BB00F3"/>
    <w:rsid w:val="00BB03B3"/>
    <w:rsid w:val="00BB03CA"/>
    <w:rsid w:val="00BB0455"/>
    <w:rsid w:val="00BB0517"/>
    <w:rsid w:val="00BB0523"/>
    <w:rsid w:val="00BB0946"/>
    <w:rsid w:val="00BB09F5"/>
    <w:rsid w:val="00BB0A50"/>
    <w:rsid w:val="00BB0A59"/>
    <w:rsid w:val="00BB0AB7"/>
    <w:rsid w:val="00BB0D03"/>
    <w:rsid w:val="00BB1096"/>
    <w:rsid w:val="00BB10B9"/>
    <w:rsid w:val="00BB1514"/>
    <w:rsid w:val="00BB1555"/>
    <w:rsid w:val="00BB1606"/>
    <w:rsid w:val="00BB162B"/>
    <w:rsid w:val="00BB1750"/>
    <w:rsid w:val="00BB185F"/>
    <w:rsid w:val="00BB1B93"/>
    <w:rsid w:val="00BB1B9B"/>
    <w:rsid w:val="00BB1ECF"/>
    <w:rsid w:val="00BB1F9B"/>
    <w:rsid w:val="00BB20E1"/>
    <w:rsid w:val="00BB222A"/>
    <w:rsid w:val="00BB2573"/>
    <w:rsid w:val="00BB2638"/>
    <w:rsid w:val="00BB2802"/>
    <w:rsid w:val="00BB2926"/>
    <w:rsid w:val="00BB2AE9"/>
    <w:rsid w:val="00BB2B45"/>
    <w:rsid w:val="00BB2BD6"/>
    <w:rsid w:val="00BB2E2F"/>
    <w:rsid w:val="00BB2E79"/>
    <w:rsid w:val="00BB2E93"/>
    <w:rsid w:val="00BB2F4F"/>
    <w:rsid w:val="00BB3038"/>
    <w:rsid w:val="00BB306B"/>
    <w:rsid w:val="00BB30FB"/>
    <w:rsid w:val="00BB318D"/>
    <w:rsid w:val="00BB3227"/>
    <w:rsid w:val="00BB3280"/>
    <w:rsid w:val="00BB3527"/>
    <w:rsid w:val="00BB3613"/>
    <w:rsid w:val="00BB37F1"/>
    <w:rsid w:val="00BB3A6D"/>
    <w:rsid w:val="00BB3DA4"/>
    <w:rsid w:val="00BB3DA5"/>
    <w:rsid w:val="00BB3EB0"/>
    <w:rsid w:val="00BB4065"/>
    <w:rsid w:val="00BB4242"/>
    <w:rsid w:val="00BB428F"/>
    <w:rsid w:val="00BB44BD"/>
    <w:rsid w:val="00BB44CA"/>
    <w:rsid w:val="00BB4503"/>
    <w:rsid w:val="00BB45E8"/>
    <w:rsid w:val="00BB47C6"/>
    <w:rsid w:val="00BB47D3"/>
    <w:rsid w:val="00BB48D9"/>
    <w:rsid w:val="00BB49DC"/>
    <w:rsid w:val="00BB4A59"/>
    <w:rsid w:val="00BB4A9C"/>
    <w:rsid w:val="00BB4BFB"/>
    <w:rsid w:val="00BB4DBC"/>
    <w:rsid w:val="00BB4E3D"/>
    <w:rsid w:val="00BB50D0"/>
    <w:rsid w:val="00BB5178"/>
    <w:rsid w:val="00BB563B"/>
    <w:rsid w:val="00BB5746"/>
    <w:rsid w:val="00BB57C0"/>
    <w:rsid w:val="00BB58E2"/>
    <w:rsid w:val="00BB5A40"/>
    <w:rsid w:val="00BB5B96"/>
    <w:rsid w:val="00BB5C61"/>
    <w:rsid w:val="00BB5F47"/>
    <w:rsid w:val="00BB5F74"/>
    <w:rsid w:val="00BB6172"/>
    <w:rsid w:val="00BB6221"/>
    <w:rsid w:val="00BB6325"/>
    <w:rsid w:val="00BB63EF"/>
    <w:rsid w:val="00BB63FA"/>
    <w:rsid w:val="00BB6457"/>
    <w:rsid w:val="00BB69BA"/>
    <w:rsid w:val="00BB6B0F"/>
    <w:rsid w:val="00BB6CAB"/>
    <w:rsid w:val="00BB6F7E"/>
    <w:rsid w:val="00BB705A"/>
    <w:rsid w:val="00BB7082"/>
    <w:rsid w:val="00BB71C0"/>
    <w:rsid w:val="00BB739C"/>
    <w:rsid w:val="00BB73AF"/>
    <w:rsid w:val="00BB73E0"/>
    <w:rsid w:val="00BB7556"/>
    <w:rsid w:val="00BB7567"/>
    <w:rsid w:val="00BB75CB"/>
    <w:rsid w:val="00BB7643"/>
    <w:rsid w:val="00BB794B"/>
    <w:rsid w:val="00BB7C8E"/>
    <w:rsid w:val="00BB7D7A"/>
    <w:rsid w:val="00BB7E4E"/>
    <w:rsid w:val="00BB7E73"/>
    <w:rsid w:val="00BC0350"/>
    <w:rsid w:val="00BC0406"/>
    <w:rsid w:val="00BC05A3"/>
    <w:rsid w:val="00BC0920"/>
    <w:rsid w:val="00BC09FD"/>
    <w:rsid w:val="00BC0B66"/>
    <w:rsid w:val="00BC0CD0"/>
    <w:rsid w:val="00BC0D97"/>
    <w:rsid w:val="00BC0E91"/>
    <w:rsid w:val="00BC0F21"/>
    <w:rsid w:val="00BC0F22"/>
    <w:rsid w:val="00BC0FA0"/>
    <w:rsid w:val="00BC103A"/>
    <w:rsid w:val="00BC10FA"/>
    <w:rsid w:val="00BC10FE"/>
    <w:rsid w:val="00BC1157"/>
    <w:rsid w:val="00BC13EB"/>
    <w:rsid w:val="00BC1636"/>
    <w:rsid w:val="00BC187D"/>
    <w:rsid w:val="00BC1916"/>
    <w:rsid w:val="00BC1A7D"/>
    <w:rsid w:val="00BC1A90"/>
    <w:rsid w:val="00BC1B19"/>
    <w:rsid w:val="00BC1C58"/>
    <w:rsid w:val="00BC1FC3"/>
    <w:rsid w:val="00BC20DD"/>
    <w:rsid w:val="00BC24E1"/>
    <w:rsid w:val="00BC26C1"/>
    <w:rsid w:val="00BC27B0"/>
    <w:rsid w:val="00BC27EC"/>
    <w:rsid w:val="00BC28A3"/>
    <w:rsid w:val="00BC2AD7"/>
    <w:rsid w:val="00BC2D61"/>
    <w:rsid w:val="00BC2E14"/>
    <w:rsid w:val="00BC2EBA"/>
    <w:rsid w:val="00BC30A9"/>
    <w:rsid w:val="00BC317F"/>
    <w:rsid w:val="00BC33AD"/>
    <w:rsid w:val="00BC33C1"/>
    <w:rsid w:val="00BC33EB"/>
    <w:rsid w:val="00BC37E5"/>
    <w:rsid w:val="00BC3930"/>
    <w:rsid w:val="00BC3C36"/>
    <w:rsid w:val="00BC3CFA"/>
    <w:rsid w:val="00BC3D7B"/>
    <w:rsid w:val="00BC444D"/>
    <w:rsid w:val="00BC44E8"/>
    <w:rsid w:val="00BC45B2"/>
    <w:rsid w:val="00BC45B7"/>
    <w:rsid w:val="00BC4627"/>
    <w:rsid w:val="00BC4992"/>
    <w:rsid w:val="00BC49F7"/>
    <w:rsid w:val="00BC4E67"/>
    <w:rsid w:val="00BC4F1F"/>
    <w:rsid w:val="00BC4F29"/>
    <w:rsid w:val="00BC500F"/>
    <w:rsid w:val="00BC5064"/>
    <w:rsid w:val="00BC51D6"/>
    <w:rsid w:val="00BC53D0"/>
    <w:rsid w:val="00BC5634"/>
    <w:rsid w:val="00BC5663"/>
    <w:rsid w:val="00BC569E"/>
    <w:rsid w:val="00BC598B"/>
    <w:rsid w:val="00BC5A6E"/>
    <w:rsid w:val="00BC5AE5"/>
    <w:rsid w:val="00BC5B33"/>
    <w:rsid w:val="00BC5C0E"/>
    <w:rsid w:val="00BC5C94"/>
    <w:rsid w:val="00BC5FF9"/>
    <w:rsid w:val="00BC6036"/>
    <w:rsid w:val="00BC613A"/>
    <w:rsid w:val="00BC663E"/>
    <w:rsid w:val="00BC66C6"/>
    <w:rsid w:val="00BC6764"/>
    <w:rsid w:val="00BC67FF"/>
    <w:rsid w:val="00BC6853"/>
    <w:rsid w:val="00BC6A5C"/>
    <w:rsid w:val="00BC6AE7"/>
    <w:rsid w:val="00BC6BB2"/>
    <w:rsid w:val="00BC6C8A"/>
    <w:rsid w:val="00BC6CEA"/>
    <w:rsid w:val="00BC6DD2"/>
    <w:rsid w:val="00BC6E57"/>
    <w:rsid w:val="00BC6E69"/>
    <w:rsid w:val="00BC7086"/>
    <w:rsid w:val="00BC71D1"/>
    <w:rsid w:val="00BC7466"/>
    <w:rsid w:val="00BC7536"/>
    <w:rsid w:val="00BC75F1"/>
    <w:rsid w:val="00BC78C3"/>
    <w:rsid w:val="00BC79BE"/>
    <w:rsid w:val="00BC7BD6"/>
    <w:rsid w:val="00BC7BE3"/>
    <w:rsid w:val="00BC7D86"/>
    <w:rsid w:val="00BC7ED2"/>
    <w:rsid w:val="00BD0009"/>
    <w:rsid w:val="00BD00D8"/>
    <w:rsid w:val="00BD034C"/>
    <w:rsid w:val="00BD0529"/>
    <w:rsid w:val="00BD0799"/>
    <w:rsid w:val="00BD07DA"/>
    <w:rsid w:val="00BD0816"/>
    <w:rsid w:val="00BD0A02"/>
    <w:rsid w:val="00BD0A92"/>
    <w:rsid w:val="00BD0C58"/>
    <w:rsid w:val="00BD0D4E"/>
    <w:rsid w:val="00BD0FC1"/>
    <w:rsid w:val="00BD1234"/>
    <w:rsid w:val="00BD1342"/>
    <w:rsid w:val="00BD1694"/>
    <w:rsid w:val="00BD176D"/>
    <w:rsid w:val="00BD18B5"/>
    <w:rsid w:val="00BD194C"/>
    <w:rsid w:val="00BD1A89"/>
    <w:rsid w:val="00BD1BEC"/>
    <w:rsid w:val="00BD1C89"/>
    <w:rsid w:val="00BD216B"/>
    <w:rsid w:val="00BD2182"/>
    <w:rsid w:val="00BD21A6"/>
    <w:rsid w:val="00BD26AA"/>
    <w:rsid w:val="00BD278D"/>
    <w:rsid w:val="00BD27E9"/>
    <w:rsid w:val="00BD2901"/>
    <w:rsid w:val="00BD2911"/>
    <w:rsid w:val="00BD2B12"/>
    <w:rsid w:val="00BD2C20"/>
    <w:rsid w:val="00BD2DBF"/>
    <w:rsid w:val="00BD2E1F"/>
    <w:rsid w:val="00BD3062"/>
    <w:rsid w:val="00BD3509"/>
    <w:rsid w:val="00BD3677"/>
    <w:rsid w:val="00BD36B6"/>
    <w:rsid w:val="00BD36CC"/>
    <w:rsid w:val="00BD3764"/>
    <w:rsid w:val="00BD3A97"/>
    <w:rsid w:val="00BD3BBA"/>
    <w:rsid w:val="00BD3BEB"/>
    <w:rsid w:val="00BD3C0E"/>
    <w:rsid w:val="00BD3CF7"/>
    <w:rsid w:val="00BD3DA5"/>
    <w:rsid w:val="00BD401B"/>
    <w:rsid w:val="00BD4103"/>
    <w:rsid w:val="00BD420B"/>
    <w:rsid w:val="00BD4357"/>
    <w:rsid w:val="00BD44DD"/>
    <w:rsid w:val="00BD454F"/>
    <w:rsid w:val="00BD4671"/>
    <w:rsid w:val="00BD493A"/>
    <w:rsid w:val="00BD4942"/>
    <w:rsid w:val="00BD4A56"/>
    <w:rsid w:val="00BD4C73"/>
    <w:rsid w:val="00BD4F27"/>
    <w:rsid w:val="00BD5013"/>
    <w:rsid w:val="00BD507F"/>
    <w:rsid w:val="00BD5083"/>
    <w:rsid w:val="00BD5394"/>
    <w:rsid w:val="00BD53A7"/>
    <w:rsid w:val="00BD5639"/>
    <w:rsid w:val="00BD56AE"/>
    <w:rsid w:val="00BD573A"/>
    <w:rsid w:val="00BD58CD"/>
    <w:rsid w:val="00BD5A56"/>
    <w:rsid w:val="00BD5D4D"/>
    <w:rsid w:val="00BD5DC9"/>
    <w:rsid w:val="00BD5DE7"/>
    <w:rsid w:val="00BD5F91"/>
    <w:rsid w:val="00BD602F"/>
    <w:rsid w:val="00BD60E3"/>
    <w:rsid w:val="00BD60E4"/>
    <w:rsid w:val="00BD67B6"/>
    <w:rsid w:val="00BD69C6"/>
    <w:rsid w:val="00BD6A55"/>
    <w:rsid w:val="00BD6A87"/>
    <w:rsid w:val="00BD6BF2"/>
    <w:rsid w:val="00BD6E51"/>
    <w:rsid w:val="00BD7024"/>
    <w:rsid w:val="00BD7432"/>
    <w:rsid w:val="00BD74C5"/>
    <w:rsid w:val="00BD7A72"/>
    <w:rsid w:val="00BD7B7A"/>
    <w:rsid w:val="00BD7DFD"/>
    <w:rsid w:val="00BD7FC2"/>
    <w:rsid w:val="00BE04F5"/>
    <w:rsid w:val="00BE050B"/>
    <w:rsid w:val="00BE07F4"/>
    <w:rsid w:val="00BE0AC3"/>
    <w:rsid w:val="00BE0C81"/>
    <w:rsid w:val="00BE108C"/>
    <w:rsid w:val="00BE1349"/>
    <w:rsid w:val="00BE14E4"/>
    <w:rsid w:val="00BE15A5"/>
    <w:rsid w:val="00BE180F"/>
    <w:rsid w:val="00BE1817"/>
    <w:rsid w:val="00BE1992"/>
    <w:rsid w:val="00BE1B7F"/>
    <w:rsid w:val="00BE1B96"/>
    <w:rsid w:val="00BE1BB0"/>
    <w:rsid w:val="00BE1BFE"/>
    <w:rsid w:val="00BE1EEB"/>
    <w:rsid w:val="00BE202F"/>
    <w:rsid w:val="00BE2048"/>
    <w:rsid w:val="00BE22E8"/>
    <w:rsid w:val="00BE2313"/>
    <w:rsid w:val="00BE23B6"/>
    <w:rsid w:val="00BE2430"/>
    <w:rsid w:val="00BE263A"/>
    <w:rsid w:val="00BE27AF"/>
    <w:rsid w:val="00BE2813"/>
    <w:rsid w:val="00BE2B17"/>
    <w:rsid w:val="00BE2BA4"/>
    <w:rsid w:val="00BE2C6C"/>
    <w:rsid w:val="00BE3009"/>
    <w:rsid w:val="00BE31DE"/>
    <w:rsid w:val="00BE32C2"/>
    <w:rsid w:val="00BE335C"/>
    <w:rsid w:val="00BE33CD"/>
    <w:rsid w:val="00BE3464"/>
    <w:rsid w:val="00BE347B"/>
    <w:rsid w:val="00BE3873"/>
    <w:rsid w:val="00BE387E"/>
    <w:rsid w:val="00BE3A15"/>
    <w:rsid w:val="00BE3A51"/>
    <w:rsid w:val="00BE3A60"/>
    <w:rsid w:val="00BE3B9F"/>
    <w:rsid w:val="00BE3BB8"/>
    <w:rsid w:val="00BE3CCA"/>
    <w:rsid w:val="00BE3D49"/>
    <w:rsid w:val="00BE3E07"/>
    <w:rsid w:val="00BE3EFF"/>
    <w:rsid w:val="00BE411F"/>
    <w:rsid w:val="00BE4149"/>
    <w:rsid w:val="00BE436F"/>
    <w:rsid w:val="00BE43BB"/>
    <w:rsid w:val="00BE43F0"/>
    <w:rsid w:val="00BE44A0"/>
    <w:rsid w:val="00BE4938"/>
    <w:rsid w:val="00BE49D4"/>
    <w:rsid w:val="00BE4ACF"/>
    <w:rsid w:val="00BE4BC5"/>
    <w:rsid w:val="00BE506E"/>
    <w:rsid w:val="00BE51CD"/>
    <w:rsid w:val="00BE53CA"/>
    <w:rsid w:val="00BE5490"/>
    <w:rsid w:val="00BE54FA"/>
    <w:rsid w:val="00BE5655"/>
    <w:rsid w:val="00BE5817"/>
    <w:rsid w:val="00BE5842"/>
    <w:rsid w:val="00BE647E"/>
    <w:rsid w:val="00BE65FC"/>
    <w:rsid w:val="00BE6664"/>
    <w:rsid w:val="00BE6702"/>
    <w:rsid w:val="00BE674E"/>
    <w:rsid w:val="00BE6A65"/>
    <w:rsid w:val="00BE6A71"/>
    <w:rsid w:val="00BE6BEF"/>
    <w:rsid w:val="00BE6CC8"/>
    <w:rsid w:val="00BE6E34"/>
    <w:rsid w:val="00BE6F3B"/>
    <w:rsid w:val="00BE7293"/>
    <w:rsid w:val="00BE732F"/>
    <w:rsid w:val="00BE7553"/>
    <w:rsid w:val="00BE7589"/>
    <w:rsid w:val="00BE76AD"/>
    <w:rsid w:val="00BE7847"/>
    <w:rsid w:val="00BE786B"/>
    <w:rsid w:val="00BE7971"/>
    <w:rsid w:val="00BE7A98"/>
    <w:rsid w:val="00BE7B71"/>
    <w:rsid w:val="00BE7C41"/>
    <w:rsid w:val="00BE7CF0"/>
    <w:rsid w:val="00BE7EA5"/>
    <w:rsid w:val="00BE7FC8"/>
    <w:rsid w:val="00BF00F8"/>
    <w:rsid w:val="00BF0101"/>
    <w:rsid w:val="00BF02CB"/>
    <w:rsid w:val="00BF0755"/>
    <w:rsid w:val="00BF0968"/>
    <w:rsid w:val="00BF0ABB"/>
    <w:rsid w:val="00BF0BA4"/>
    <w:rsid w:val="00BF0D79"/>
    <w:rsid w:val="00BF0DD9"/>
    <w:rsid w:val="00BF0E3A"/>
    <w:rsid w:val="00BF0EC0"/>
    <w:rsid w:val="00BF0FC7"/>
    <w:rsid w:val="00BF10FE"/>
    <w:rsid w:val="00BF11B9"/>
    <w:rsid w:val="00BF13C8"/>
    <w:rsid w:val="00BF14B4"/>
    <w:rsid w:val="00BF16EE"/>
    <w:rsid w:val="00BF16FE"/>
    <w:rsid w:val="00BF1784"/>
    <w:rsid w:val="00BF1895"/>
    <w:rsid w:val="00BF19E4"/>
    <w:rsid w:val="00BF1B46"/>
    <w:rsid w:val="00BF1D19"/>
    <w:rsid w:val="00BF1D7D"/>
    <w:rsid w:val="00BF1D84"/>
    <w:rsid w:val="00BF1EE2"/>
    <w:rsid w:val="00BF208B"/>
    <w:rsid w:val="00BF210F"/>
    <w:rsid w:val="00BF220C"/>
    <w:rsid w:val="00BF22D4"/>
    <w:rsid w:val="00BF23D8"/>
    <w:rsid w:val="00BF24EF"/>
    <w:rsid w:val="00BF27C7"/>
    <w:rsid w:val="00BF28E8"/>
    <w:rsid w:val="00BF2912"/>
    <w:rsid w:val="00BF2954"/>
    <w:rsid w:val="00BF2AC8"/>
    <w:rsid w:val="00BF2C15"/>
    <w:rsid w:val="00BF2C38"/>
    <w:rsid w:val="00BF2C52"/>
    <w:rsid w:val="00BF2C8D"/>
    <w:rsid w:val="00BF2FCA"/>
    <w:rsid w:val="00BF30E2"/>
    <w:rsid w:val="00BF3394"/>
    <w:rsid w:val="00BF3596"/>
    <w:rsid w:val="00BF35B8"/>
    <w:rsid w:val="00BF36D7"/>
    <w:rsid w:val="00BF36EA"/>
    <w:rsid w:val="00BF3A63"/>
    <w:rsid w:val="00BF3AC1"/>
    <w:rsid w:val="00BF3C00"/>
    <w:rsid w:val="00BF3CE3"/>
    <w:rsid w:val="00BF3EB9"/>
    <w:rsid w:val="00BF3F27"/>
    <w:rsid w:val="00BF415C"/>
    <w:rsid w:val="00BF41D7"/>
    <w:rsid w:val="00BF423B"/>
    <w:rsid w:val="00BF447F"/>
    <w:rsid w:val="00BF48A0"/>
    <w:rsid w:val="00BF49B0"/>
    <w:rsid w:val="00BF4BBB"/>
    <w:rsid w:val="00BF4DA5"/>
    <w:rsid w:val="00BF4FD3"/>
    <w:rsid w:val="00BF510D"/>
    <w:rsid w:val="00BF53EC"/>
    <w:rsid w:val="00BF5736"/>
    <w:rsid w:val="00BF57BA"/>
    <w:rsid w:val="00BF598B"/>
    <w:rsid w:val="00BF5A31"/>
    <w:rsid w:val="00BF5D3B"/>
    <w:rsid w:val="00BF5E53"/>
    <w:rsid w:val="00BF5E6B"/>
    <w:rsid w:val="00BF5F26"/>
    <w:rsid w:val="00BF635A"/>
    <w:rsid w:val="00BF66D5"/>
    <w:rsid w:val="00BF685C"/>
    <w:rsid w:val="00BF6874"/>
    <w:rsid w:val="00BF691E"/>
    <w:rsid w:val="00BF6D32"/>
    <w:rsid w:val="00BF6D79"/>
    <w:rsid w:val="00BF6D9D"/>
    <w:rsid w:val="00BF71E4"/>
    <w:rsid w:val="00BF7226"/>
    <w:rsid w:val="00BF7239"/>
    <w:rsid w:val="00BF7848"/>
    <w:rsid w:val="00BF78B8"/>
    <w:rsid w:val="00BF78C8"/>
    <w:rsid w:val="00BF79E4"/>
    <w:rsid w:val="00BF7AFC"/>
    <w:rsid w:val="00BF7D23"/>
    <w:rsid w:val="00BF7E74"/>
    <w:rsid w:val="00C0000A"/>
    <w:rsid w:val="00C000FC"/>
    <w:rsid w:val="00C00480"/>
    <w:rsid w:val="00C00A31"/>
    <w:rsid w:val="00C00A70"/>
    <w:rsid w:val="00C00B94"/>
    <w:rsid w:val="00C00E6A"/>
    <w:rsid w:val="00C00F3D"/>
    <w:rsid w:val="00C01130"/>
    <w:rsid w:val="00C01717"/>
    <w:rsid w:val="00C018E9"/>
    <w:rsid w:val="00C01A96"/>
    <w:rsid w:val="00C01DCA"/>
    <w:rsid w:val="00C01DCC"/>
    <w:rsid w:val="00C01E89"/>
    <w:rsid w:val="00C022CF"/>
    <w:rsid w:val="00C026BA"/>
    <w:rsid w:val="00C026D1"/>
    <w:rsid w:val="00C02782"/>
    <w:rsid w:val="00C027E4"/>
    <w:rsid w:val="00C02C54"/>
    <w:rsid w:val="00C02EB2"/>
    <w:rsid w:val="00C02ECD"/>
    <w:rsid w:val="00C03071"/>
    <w:rsid w:val="00C0308F"/>
    <w:rsid w:val="00C0331A"/>
    <w:rsid w:val="00C034EE"/>
    <w:rsid w:val="00C03645"/>
    <w:rsid w:val="00C036DE"/>
    <w:rsid w:val="00C03884"/>
    <w:rsid w:val="00C038E6"/>
    <w:rsid w:val="00C03B3D"/>
    <w:rsid w:val="00C03B68"/>
    <w:rsid w:val="00C03E48"/>
    <w:rsid w:val="00C03ED2"/>
    <w:rsid w:val="00C03F74"/>
    <w:rsid w:val="00C04554"/>
    <w:rsid w:val="00C0464B"/>
    <w:rsid w:val="00C046BD"/>
    <w:rsid w:val="00C046E9"/>
    <w:rsid w:val="00C04706"/>
    <w:rsid w:val="00C047BA"/>
    <w:rsid w:val="00C04910"/>
    <w:rsid w:val="00C04C04"/>
    <w:rsid w:val="00C04E95"/>
    <w:rsid w:val="00C04EF0"/>
    <w:rsid w:val="00C04F28"/>
    <w:rsid w:val="00C04F45"/>
    <w:rsid w:val="00C050D8"/>
    <w:rsid w:val="00C05245"/>
    <w:rsid w:val="00C05298"/>
    <w:rsid w:val="00C05339"/>
    <w:rsid w:val="00C0547F"/>
    <w:rsid w:val="00C055AA"/>
    <w:rsid w:val="00C058AC"/>
    <w:rsid w:val="00C058BF"/>
    <w:rsid w:val="00C0590E"/>
    <w:rsid w:val="00C05930"/>
    <w:rsid w:val="00C05A75"/>
    <w:rsid w:val="00C05AA0"/>
    <w:rsid w:val="00C05AD4"/>
    <w:rsid w:val="00C05E22"/>
    <w:rsid w:val="00C05EB6"/>
    <w:rsid w:val="00C060D4"/>
    <w:rsid w:val="00C0616F"/>
    <w:rsid w:val="00C061DF"/>
    <w:rsid w:val="00C062C9"/>
    <w:rsid w:val="00C06403"/>
    <w:rsid w:val="00C06609"/>
    <w:rsid w:val="00C0675A"/>
    <w:rsid w:val="00C0685E"/>
    <w:rsid w:val="00C0698E"/>
    <w:rsid w:val="00C06AA2"/>
    <w:rsid w:val="00C06C33"/>
    <w:rsid w:val="00C06DD3"/>
    <w:rsid w:val="00C06E8D"/>
    <w:rsid w:val="00C06ECD"/>
    <w:rsid w:val="00C06F0A"/>
    <w:rsid w:val="00C070C8"/>
    <w:rsid w:val="00C07166"/>
    <w:rsid w:val="00C0718B"/>
    <w:rsid w:val="00C07282"/>
    <w:rsid w:val="00C0737B"/>
    <w:rsid w:val="00C0743F"/>
    <w:rsid w:val="00C0768A"/>
    <w:rsid w:val="00C0784B"/>
    <w:rsid w:val="00C0795E"/>
    <w:rsid w:val="00C07B35"/>
    <w:rsid w:val="00C07B57"/>
    <w:rsid w:val="00C07BE3"/>
    <w:rsid w:val="00C07CBA"/>
    <w:rsid w:val="00C07D67"/>
    <w:rsid w:val="00C07D9A"/>
    <w:rsid w:val="00C07DA2"/>
    <w:rsid w:val="00C07E3A"/>
    <w:rsid w:val="00C07F21"/>
    <w:rsid w:val="00C101C5"/>
    <w:rsid w:val="00C1027B"/>
    <w:rsid w:val="00C1079C"/>
    <w:rsid w:val="00C1090C"/>
    <w:rsid w:val="00C109D1"/>
    <w:rsid w:val="00C10B7A"/>
    <w:rsid w:val="00C10BAC"/>
    <w:rsid w:val="00C10D3A"/>
    <w:rsid w:val="00C10E4B"/>
    <w:rsid w:val="00C10FEA"/>
    <w:rsid w:val="00C11160"/>
    <w:rsid w:val="00C11469"/>
    <w:rsid w:val="00C11470"/>
    <w:rsid w:val="00C115DF"/>
    <w:rsid w:val="00C1163D"/>
    <w:rsid w:val="00C11779"/>
    <w:rsid w:val="00C117F4"/>
    <w:rsid w:val="00C118DB"/>
    <w:rsid w:val="00C118FC"/>
    <w:rsid w:val="00C11957"/>
    <w:rsid w:val="00C11992"/>
    <w:rsid w:val="00C11BCC"/>
    <w:rsid w:val="00C11BDA"/>
    <w:rsid w:val="00C11E22"/>
    <w:rsid w:val="00C12201"/>
    <w:rsid w:val="00C1227D"/>
    <w:rsid w:val="00C12403"/>
    <w:rsid w:val="00C1252B"/>
    <w:rsid w:val="00C1261F"/>
    <w:rsid w:val="00C1262B"/>
    <w:rsid w:val="00C12693"/>
    <w:rsid w:val="00C12817"/>
    <w:rsid w:val="00C12913"/>
    <w:rsid w:val="00C12BCE"/>
    <w:rsid w:val="00C13023"/>
    <w:rsid w:val="00C13105"/>
    <w:rsid w:val="00C13156"/>
    <w:rsid w:val="00C1322F"/>
    <w:rsid w:val="00C135DF"/>
    <w:rsid w:val="00C137BB"/>
    <w:rsid w:val="00C137CB"/>
    <w:rsid w:val="00C138A3"/>
    <w:rsid w:val="00C1394F"/>
    <w:rsid w:val="00C13A19"/>
    <w:rsid w:val="00C13C8D"/>
    <w:rsid w:val="00C13E75"/>
    <w:rsid w:val="00C13EBE"/>
    <w:rsid w:val="00C13EC1"/>
    <w:rsid w:val="00C13F04"/>
    <w:rsid w:val="00C142C3"/>
    <w:rsid w:val="00C14382"/>
    <w:rsid w:val="00C144B0"/>
    <w:rsid w:val="00C14512"/>
    <w:rsid w:val="00C149DB"/>
    <w:rsid w:val="00C14B53"/>
    <w:rsid w:val="00C14D47"/>
    <w:rsid w:val="00C14D9B"/>
    <w:rsid w:val="00C14E2B"/>
    <w:rsid w:val="00C14EDE"/>
    <w:rsid w:val="00C14EDF"/>
    <w:rsid w:val="00C14FDC"/>
    <w:rsid w:val="00C152E9"/>
    <w:rsid w:val="00C15316"/>
    <w:rsid w:val="00C15397"/>
    <w:rsid w:val="00C153CB"/>
    <w:rsid w:val="00C1557E"/>
    <w:rsid w:val="00C15595"/>
    <w:rsid w:val="00C155B7"/>
    <w:rsid w:val="00C15688"/>
    <w:rsid w:val="00C15774"/>
    <w:rsid w:val="00C15818"/>
    <w:rsid w:val="00C15971"/>
    <w:rsid w:val="00C15996"/>
    <w:rsid w:val="00C15A68"/>
    <w:rsid w:val="00C15CD8"/>
    <w:rsid w:val="00C15EB1"/>
    <w:rsid w:val="00C1646D"/>
    <w:rsid w:val="00C16488"/>
    <w:rsid w:val="00C164EB"/>
    <w:rsid w:val="00C1657D"/>
    <w:rsid w:val="00C1663D"/>
    <w:rsid w:val="00C166F1"/>
    <w:rsid w:val="00C16751"/>
    <w:rsid w:val="00C1680B"/>
    <w:rsid w:val="00C1689C"/>
    <w:rsid w:val="00C16B4C"/>
    <w:rsid w:val="00C16CA4"/>
    <w:rsid w:val="00C16FF3"/>
    <w:rsid w:val="00C17056"/>
    <w:rsid w:val="00C173FF"/>
    <w:rsid w:val="00C1758A"/>
    <w:rsid w:val="00C176E6"/>
    <w:rsid w:val="00C1775E"/>
    <w:rsid w:val="00C177BF"/>
    <w:rsid w:val="00C17E89"/>
    <w:rsid w:val="00C17FF7"/>
    <w:rsid w:val="00C201A0"/>
    <w:rsid w:val="00C20254"/>
    <w:rsid w:val="00C202B3"/>
    <w:rsid w:val="00C203BF"/>
    <w:rsid w:val="00C207E5"/>
    <w:rsid w:val="00C209CE"/>
    <w:rsid w:val="00C20B5B"/>
    <w:rsid w:val="00C20BF0"/>
    <w:rsid w:val="00C20DC2"/>
    <w:rsid w:val="00C20EB3"/>
    <w:rsid w:val="00C210D1"/>
    <w:rsid w:val="00C2124B"/>
    <w:rsid w:val="00C213D9"/>
    <w:rsid w:val="00C2164B"/>
    <w:rsid w:val="00C216B1"/>
    <w:rsid w:val="00C217F9"/>
    <w:rsid w:val="00C2198F"/>
    <w:rsid w:val="00C21995"/>
    <w:rsid w:val="00C219A0"/>
    <w:rsid w:val="00C21A8F"/>
    <w:rsid w:val="00C21B0A"/>
    <w:rsid w:val="00C21D13"/>
    <w:rsid w:val="00C21EE0"/>
    <w:rsid w:val="00C21EF7"/>
    <w:rsid w:val="00C21EF9"/>
    <w:rsid w:val="00C22091"/>
    <w:rsid w:val="00C22270"/>
    <w:rsid w:val="00C223DF"/>
    <w:rsid w:val="00C227C3"/>
    <w:rsid w:val="00C227C9"/>
    <w:rsid w:val="00C22911"/>
    <w:rsid w:val="00C229EB"/>
    <w:rsid w:val="00C22B8D"/>
    <w:rsid w:val="00C22BCA"/>
    <w:rsid w:val="00C22C8A"/>
    <w:rsid w:val="00C22E12"/>
    <w:rsid w:val="00C22E14"/>
    <w:rsid w:val="00C23117"/>
    <w:rsid w:val="00C23155"/>
    <w:rsid w:val="00C23337"/>
    <w:rsid w:val="00C23398"/>
    <w:rsid w:val="00C234EB"/>
    <w:rsid w:val="00C235AE"/>
    <w:rsid w:val="00C236F3"/>
    <w:rsid w:val="00C23788"/>
    <w:rsid w:val="00C239E4"/>
    <w:rsid w:val="00C23B3E"/>
    <w:rsid w:val="00C23C41"/>
    <w:rsid w:val="00C23CDA"/>
    <w:rsid w:val="00C23FF9"/>
    <w:rsid w:val="00C24006"/>
    <w:rsid w:val="00C242CD"/>
    <w:rsid w:val="00C24445"/>
    <w:rsid w:val="00C24602"/>
    <w:rsid w:val="00C24661"/>
    <w:rsid w:val="00C24875"/>
    <w:rsid w:val="00C24A6F"/>
    <w:rsid w:val="00C24B29"/>
    <w:rsid w:val="00C24C2C"/>
    <w:rsid w:val="00C24E6B"/>
    <w:rsid w:val="00C24EA8"/>
    <w:rsid w:val="00C25084"/>
    <w:rsid w:val="00C25139"/>
    <w:rsid w:val="00C25143"/>
    <w:rsid w:val="00C25398"/>
    <w:rsid w:val="00C25448"/>
    <w:rsid w:val="00C25476"/>
    <w:rsid w:val="00C2558E"/>
    <w:rsid w:val="00C2576C"/>
    <w:rsid w:val="00C2583F"/>
    <w:rsid w:val="00C25906"/>
    <w:rsid w:val="00C25921"/>
    <w:rsid w:val="00C25C26"/>
    <w:rsid w:val="00C26275"/>
    <w:rsid w:val="00C262A4"/>
    <w:rsid w:val="00C26505"/>
    <w:rsid w:val="00C26736"/>
    <w:rsid w:val="00C267C4"/>
    <w:rsid w:val="00C26962"/>
    <w:rsid w:val="00C26A37"/>
    <w:rsid w:val="00C26E10"/>
    <w:rsid w:val="00C26EFA"/>
    <w:rsid w:val="00C26F90"/>
    <w:rsid w:val="00C27140"/>
    <w:rsid w:val="00C27156"/>
    <w:rsid w:val="00C272CB"/>
    <w:rsid w:val="00C27591"/>
    <w:rsid w:val="00C27642"/>
    <w:rsid w:val="00C278BD"/>
    <w:rsid w:val="00C27943"/>
    <w:rsid w:val="00C27BF3"/>
    <w:rsid w:val="00C27E50"/>
    <w:rsid w:val="00C27F38"/>
    <w:rsid w:val="00C27F81"/>
    <w:rsid w:val="00C30050"/>
    <w:rsid w:val="00C30185"/>
    <w:rsid w:val="00C30297"/>
    <w:rsid w:val="00C30470"/>
    <w:rsid w:val="00C3086D"/>
    <w:rsid w:val="00C30911"/>
    <w:rsid w:val="00C30964"/>
    <w:rsid w:val="00C30A11"/>
    <w:rsid w:val="00C30C7E"/>
    <w:rsid w:val="00C30CAC"/>
    <w:rsid w:val="00C30D09"/>
    <w:rsid w:val="00C30E6B"/>
    <w:rsid w:val="00C311BD"/>
    <w:rsid w:val="00C3141C"/>
    <w:rsid w:val="00C3149B"/>
    <w:rsid w:val="00C3184B"/>
    <w:rsid w:val="00C31A1F"/>
    <w:rsid w:val="00C31A46"/>
    <w:rsid w:val="00C31ADB"/>
    <w:rsid w:val="00C31AEF"/>
    <w:rsid w:val="00C31B8C"/>
    <w:rsid w:val="00C31CE3"/>
    <w:rsid w:val="00C31CED"/>
    <w:rsid w:val="00C31D77"/>
    <w:rsid w:val="00C31DDF"/>
    <w:rsid w:val="00C31F59"/>
    <w:rsid w:val="00C31F7C"/>
    <w:rsid w:val="00C32015"/>
    <w:rsid w:val="00C3210D"/>
    <w:rsid w:val="00C323BB"/>
    <w:rsid w:val="00C323C2"/>
    <w:rsid w:val="00C32798"/>
    <w:rsid w:val="00C32E10"/>
    <w:rsid w:val="00C32E3A"/>
    <w:rsid w:val="00C32F07"/>
    <w:rsid w:val="00C32F0B"/>
    <w:rsid w:val="00C32FA4"/>
    <w:rsid w:val="00C32FC3"/>
    <w:rsid w:val="00C33073"/>
    <w:rsid w:val="00C330E0"/>
    <w:rsid w:val="00C33304"/>
    <w:rsid w:val="00C33564"/>
    <w:rsid w:val="00C335C9"/>
    <w:rsid w:val="00C33892"/>
    <w:rsid w:val="00C338C5"/>
    <w:rsid w:val="00C338FF"/>
    <w:rsid w:val="00C33955"/>
    <w:rsid w:val="00C33961"/>
    <w:rsid w:val="00C33B62"/>
    <w:rsid w:val="00C3406C"/>
    <w:rsid w:val="00C344F5"/>
    <w:rsid w:val="00C3465A"/>
    <w:rsid w:val="00C3471B"/>
    <w:rsid w:val="00C347B7"/>
    <w:rsid w:val="00C34892"/>
    <w:rsid w:val="00C34D0B"/>
    <w:rsid w:val="00C34EBD"/>
    <w:rsid w:val="00C35093"/>
    <w:rsid w:val="00C350AA"/>
    <w:rsid w:val="00C351E7"/>
    <w:rsid w:val="00C3522B"/>
    <w:rsid w:val="00C3530C"/>
    <w:rsid w:val="00C35406"/>
    <w:rsid w:val="00C354A5"/>
    <w:rsid w:val="00C355EA"/>
    <w:rsid w:val="00C35706"/>
    <w:rsid w:val="00C35A54"/>
    <w:rsid w:val="00C35CD3"/>
    <w:rsid w:val="00C360AA"/>
    <w:rsid w:val="00C3612F"/>
    <w:rsid w:val="00C3618B"/>
    <w:rsid w:val="00C36244"/>
    <w:rsid w:val="00C364F2"/>
    <w:rsid w:val="00C364FA"/>
    <w:rsid w:val="00C36596"/>
    <w:rsid w:val="00C36862"/>
    <w:rsid w:val="00C36965"/>
    <w:rsid w:val="00C369F1"/>
    <w:rsid w:val="00C36BC4"/>
    <w:rsid w:val="00C36C87"/>
    <w:rsid w:val="00C36E33"/>
    <w:rsid w:val="00C36F54"/>
    <w:rsid w:val="00C37010"/>
    <w:rsid w:val="00C37295"/>
    <w:rsid w:val="00C3735B"/>
    <w:rsid w:val="00C374E5"/>
    <w:rsid w:val="00C37675"/>
    <w:rsid w:val="00C37A70"/>
    <w:rsid w:val="00C37B3B"/>
    <w:rsid w:val="00C37D84"/>
    <w:rsid w:val="00C401F0"/>
    <w:rsid w:val="00C40241"/>
    <w:rsid w:val="00C402C5"/>
    <w:rsid w:val="00C40526"/>
    <w:rsid w:val="00C4064F"/>
    <w:rsid w:val="00C40727"/>
    <w:rsid w:val="00C40763"/>
    <w:rsid w:val="00C40898"/>
    <w:rsid w:val="00C40A9A"/>
    <w:rsid w:val="00C40AB8"/>
    <w:rsid w:val="00C40B89"/>
    <w:rsid w:val="00C40BB8"/>
    <w:rsid w:val="00C40D9C"/>
    <w:rsid w:val="00C40E6D"/>
    <w:rsid w:val="00C4118C"/>
    <w:rsid w:val="00C4124A"/>
    <w:rsid w:val="00C4128E"/>
    <w:rsid w:val="00C41577"/>
    <w:rsid w:val="00C41713"/>
    <w:rsid w:val="00C419BE"/>
    <w:rsid w:val="00C41A6D"/>
    <w:rsid w:val="00C41B8C"/>
    <w:rsid w:val="00C41E80"/>
    <w:rsid w:val="00C41F83"/>
    <w:rsid w:val="00C420C5"/>
    <w:rsid w:val="00C42222"/>
    <w:rsid w:val="00C424BE"/>
    <w:rsid w:val="00C4256E"/>
    <w:rsid w:val="00C42588"/>
    <w:rsid w:val="00C42672"/>
    <w:rsid w:val="00C42723"/>
    <w:rsid w:val="00C42759"/>
    <w:rsid w:val="00C428ED"/>
    <w:rsid w:val="00C42904"/>
    <w:rsid w:val="00C42987"/>
    <w:rsid w:val="00C429A7"/>
    <w:rsid w:val="00C42A3A"/>
    <w:rsid w:val="00C42A96"/>
    <w:rsid w:val="00C42D6D"/>
    <w:rsid w:val="00C43102"/>
    <w:rsid w:val="00C43196"/>
    <w:rsid w:val="00C43369"/>
    <w:rsid w:val="00C4369B"/>
    <w:rsid w:val="00C43A1E"/>
    <w:rsid w:val="00C43A5E"/>
    <w:rsid w:val="00C43AC7"/>
    <w:rsid w:val="00C43CA6"/>
    <w:rsid w:val="00C43D05"/>
    <w:rsid w:val="00C43D65"/>
    <w:rsid w:val="00C43F40"/>
    <w:rsid w:val="00C43FC3"/>
    <w:rsid w:val="00C440EB"/>
    <w:rsid w:val="00C44190"/>
    <w:rsid w:val="00C4423C"/>
    <w:rsid w:val="00C4434A"/>
    <w:rsid w:val="00C44408"/>
    <w:rsid w:val="00C44484"/>
    <w:rsid w:val="00C44800"/>
    <w:rsid w:val="00C44839"/>
    <w:rsid w:val="00C44A44"/>
    <w:rsid w:val="00C44B02"/>
    <w:rsid w:val="00C44C1F"/>
    <w:rsid w:val="00C44C42"/>
    <w:rsid w:val="00C44DB4"/>
    <w:rsid w:val="00C44DF4"/>
    <w:rsid w:val="00C450A0"/>
    <w:rsid w:val="00C45129"/>
    <w:rsid w:val="00C451E7"/>
    <w:rsid w:val="00C45267"/>
    <w:rsid w:val="00C45314"/>
    <w:rsid w:val="00C45336"/>
    <w:rsid w:val="00C4537A"/>
    <w:rsid w:val="00C45418"/>
    <w:rsid w:val="00C45578"/>
    <w:rsid w:val="00C456CD"/>
    <w:rsid w:val="00C457AF"/>
    <w:rsid w:val="00C457CB"/>
    <w:rsid w:val="00C459F2"/>
    <w:rsid w:val="00C45A35"/>
    <w:rsid w:val="00C45EFE"/>
    <w:rsid w:val="00C45EFF"/>
    <w:rsid w:val="00C460A8"/>
    <w:rsid w:val="00C46158"/>
    <w:rsid w:val="00C46299"/>
    <w:rsid w:val="00C4640C"/>
    <w:rsid w:val="00C4652B"/>
    <w:rsid w:val="00C4684B"/>
    <w:rsid w:val="00C46BA6"/>
    <w:rsid w:val="00C46BED"/>
    <w:rsid w:val="00C46D77"/>
    <w:rsid w:val="00C4701E"/>
    <w:rsid w:val="00C47227"/>
    <w:rsid w:val="00C47382"/>
    <w:rsid w:val="00C4764C"/>
    <w:rsid w:val="00C4769D"/>
    <w:rsid w:val="00C477C8"/>
    <w:rsid w:val="00C47980"/>
    <w:rsid w:val="00C479D6"/>
    <w:rsid w:val="00C47B27"/>
    <w:rsid w:val="00C47BBF"/>
    <w:rsid w:val="00C47C30"/>
    <w:rsid w:val="00C47CD5"/>
    <w:rsid w:val="00C47CF2"/>
    <w:rsid w:val="00C47DD3"/>
    <w:rsid w:val="00C47F0E"/>
    <w:rsid w:val="00C500DD"/>
    <w:rsid w:val="00C502EE"/>
    <w:rsid w:val="00C50329"/>
    <w:rsid w:val="00C50666"/>
    <w:rsid w:val="00C50A34"/>
    <w:rsid w:val="00C50B48"/>
    <w:rsid w:val="00C50CDF"/>
    <w:rsid w:val="00C50E42"/>
    <w:rsid w:val="00C50F1E"/>
    <w:rsid w:val="00C50F21"/>
    <w:rsid w:val="00C51018"/>
    <w:rsid w:val="00C511DF"/>
    <w:rsid w:val="00C51382"/>
    <w:rsid w:val="00C51782"/>
    <w:rsid w:val="00C51975"/>
    <w:rsid w:val="00C51A59"/>
    <w:rsid w:val="00C51DC9"/>
    <w:rsid w:val="00C51EC3"/>
    <w:rsid w:val="00C51EF5"/>
    <w:rsid w:val="00C52158"/>
    <w:rsid w:val="00C522C5"/>
    <w:rsid w:val="00C523AC"/>
    <w:rsid w:val="00C523C0"/>
    <w:rsid w:val="00C52448"/>
    <w:rsid w:val="00C52576"/>
    <w:rsid w:val="00C52582"/>
    <w:rsid w:val="00C52639"/>
    <w:rsid w:val="00C52668"/>
    <w:rsid w:val="00C527AC"/>
    <w:rsid w:val="00C527D9"/>
    <w:rsid w:val="00C527EF"/>
    <w:rsid w:val="00C5288D"/>
    <w:rsid w:val="00C52943"/>
    <w:rsid w:val="00C52984"/>
    <w:rsid w:val="00C52ABF"/>
    <w:rsid w:val="00C52C5A"/>
    <w:rsid w:val="00C52F4B"/>
    <w:rsid w:val="00C5351A"/>
    <w:rsid w:val="00C5360B"/>
    <w:rsid w:val="00C537B8"/>
    <w:rsid w:val="00C53AB3"/>
    <w:rsid w:val="00C53BAD"/>
    <w:rsid w:val="00C53D2B"/>
    <w:rsid w:val="00C53E8D"/>
    <w:rsid w:val="00C540E0"/>
    <w:rsid w:val="00C5413E"/>
    <w:rsid w:val="00C54673"/>
    <w:rsid w:val="00C54764"/>
    <w:rsid w:val="00C549F3"/>
    <w:rsid w:val="00C54E37"/>
    <w:rsid w:val="00C54FCD"/>
    <w:rsid w:val="00C55039"/>
    <w:rsid w:val="00C550EF"/>
    <w:rsid w:val="00C5513E"/>
    <w:rsid w:val="00C55224"/>
    <w:rsid w:val="00C55259"/>
    <w:rsid w:val="00C55478"/>
    <w:rsid w:val="00C555AC"/>
    <w:rsid w:val="00C556DB"/>
    <w:rsid w:val="00C55781"/>
    <w:rsid w:val="00C55810"/>
    <w:rsid w:val="00C55886"/>
    <w:rsid w:val="00C5592F"/>
    <w:rsid w:val="00C55A0F"/>
    <w:rsid w:val="00C55ABE"/>
    <w:rsid w:val="00C55B23"/>
    <w:rsid w:val="00C55B35"/>
    <w:rsid w:val="00C55C6A"/>
    <w:rsid w:val="00C55FAF"/>
    <w:rsid w:val="00C5622F"/>
    <w:rsid w:val="00C562AD"/>
    <w:rsid w:val="00C564EF"/>
    <w:rsid w:val="00C56526"/>
    <w:rsid w:val="00C56553"/>
    <w:rsid w:val="00C56584"/>
    <w:rsid w:val="00C56736"/>
    <w:rsid w:val="00C56940"/>
    <w:rsid w:val="00C56B52"/>
    <w:rsid w:val="00C56C43"/>
    <w:rsid w:val="00C56E20"/>
    <w:rsid w:val="00C56F1B"/>
    <w:rsid w:val="00C570DC"/>
    <w:rsid w:val="00C57137"/>
    <w:rsid w:val="00C57145"/>
    <w:rsid w:val="00C57242"/>
    <w:rsid w:val="00C572A2"/>
    <w:rsid w:val="00C5789C"/>
    <w:rsid w:val="00C57A68"/>
    <w:rsid w:val="00C57F62"/>
    <w:rsid w:val="00C6006F"/>
    <w:rsid w:val="00C6008B"/>
    <w:rsid w:val="00C60215"/>
    <w:rsid w:val="00C603CB"/>
    <w:rsid w:val="00C60476"/>
    <w:rsid w:val="00C606FF"/>
    <w:rsid w:val="00C60941"/>
    <w:rsid w:val="00C60A26"/>
    <w:rsid w:val="00C60E21"/>
    <w:rsid w:val="00C60FBF"/>
    <w:rsid w:val="00C61063"/>
    <w:rsid w:val="00C613FF"/>
    <w:rsid w:val="00C614E6"/>
    <w:rsid w:val="00C61CD1"/>
    <w:rsid w:val="00C61E49"/>
    <w:rsid w:val="00C61ECF"/>
    <w:rsid w:val="00C62130"/>
    <w:rsid w:val="00C62299"/>
    <w:rsid w:val="00C6252D"/>
    <w:rsid w:val="00C62761"/>
    <w:rsid w:val="00C627F9"/>
    <w:rsid w:val="00C628EC"/>
    <w:rsid w:val="00C6292A"/>
    <w:rsid w:val="00C62D29"/>
    <w:rsid w:val="00C62FB9"/>
    <w:rsid w:val="00C63258"/>
    <w:rsid w:val="00C63365"/>
    <w:rsid w:val="00C6378B"/>
    <w:rsid w:val="00C63AA3"/>
    <w:rsid w:val="00C63B76"/>
    <w:rsid w:val="00C63D27"/>
    <w:rsid w:val="00C63E77"/>
    <w:rsid w:val="00C63FEC"/>
    <w:rsid w:val="00C640AA"/>
    <w:rsid w:val="00C64182"/>
    <w:rsid w:val="00C64195"/>
    <w:rsid w:val="00C643F6"/>
    <w:rsid w:val="00C64559"/>
    <w:rsid w:val="00C6468E"/>
    <w:rsid w:val="00C646AA"/>
    <w:rsid w:val="00C647C0"/>
    <w:rsid w:val="00C648A9"/>
    <w:rsid w:val="00C64954"/>
    <w:rsid w:val="00C64AB4"/>
    <w:rsid w:val="00C64B1A"/>
    <w:rsid w:val="00C64C5E"/>
    <w:rsid w:val="00C64ED4"/>
    <w:rsid w:val="00C64F75"/>
    <w:rsid w:val="00C64FBF"/>
    <w:rsid w:val="00C65007"/>
    <w:rsid w:val="00C651CC"/>
    <w:rsid w:val="00C652C7"/>
    <w:rsid w:val="00C653D8"/>
    <w:rsid w:val="00C65521"/>
    <w:rsid w:val="00C65734"/>
    <w:rsid w:val="00C6581A"/>
    <w:rsid w:val="00C65B66"/>
    <w:rsid w:val="00C65C97"/>
    <w:rsid w:val="00C65D07"/>
    <w:rsid w:val="00C65D25"/>
    <w:rsid w:val="00C65DC1"/>
    <w:rsid w:val="00C66183"/>
    <w:rsid w:val="00C66240"/>
    <w:rsid w:val="00C663CA"/>
    <w:rsid w:val="00C6647A"/>
    <w:rsid w:val="00C665F2"/>
    <w:rsid w:val="00C6674C"/>
    <w:rsid w:val="00C668A9"/>
    <w:rsid w:val="00C66B46"/>
    <w:rsid w:val="00C66C8B"/>
    <w:rsid w:val="00C66D27"/>
    <w:rsid w:val="00C66D67"/>
    <w:rsid w:val="00C67285"/>
    <w:rsid w:val="00C67292"/>
    <w:rsid w:val="00C67326"/>
    <w:rsid w:val="00C6733B"/>
    <w:rsid w:val="00C6757F"/>
    <w:rsid w:val="00C675A9"/>
    <w:rsid w:val="00C675DB"/>
    <w:rsid w:val="00C67611"/>
    <w:rsid w:val="00C678CB"/>
    <w:rsid w:val="00C67B36"/>
    <w:rsid w:val="00C702AA"/>
    <w:rsid w:val="00C70905"/>
    <w:rsid w:val="00C70B30"/>
    <w:rsid w:val="00C70BAB"/>
    <w:rsid w:val="00C70D9C"/>
    <w:rsid w:val="00C70DFB"/>
    <w:rsid w:val="00C70ECC"/>
    <w:rsid w:val="00C710A5"/>
    <w:rsid w:val="00C710BA"/>
    <w:rsid w:val="00C71172"/>
    <w:rsid w:val="00C713ED"/>
    <w:rsid w:val="00C71478"/>
    <w:rsid w:val="00C715EB"/>
    <w:rsid w:val="00C71639"/>
    <w:rsid w:val="00C71659"/>
    <w:rsid w:val="00C71676"/>
    <w:rsid w:val="00C717C0"/>
    <w:rsid w:val="00C71825"/>
    <w:rsid w:val="00C718AA"/>
    <w:rsid w:val="00C718D8"/>
    <w:rsid w:val="00C71AD0"/>
    <w:rsid w:val="00C71DE5"/>
    <w:rsid w:val="00C72072"/>
    <w:rsid w:val="00C72254"/>
    <w:rsid w:val="00C7227D"/>
    <w:rsid w:val="00C72318"/>
    <w:rsid w:val="00C7242F"/>
    <w:rsid w:val="00C724E6"/>
    <w:rsid w:val="00C7252D"/>
    <w:rsid w:val="00C72572"/>
    <w:rsid w:val="00C72715"/>
    <w:rsid w:val="00C727B4"/>
    <w:rsid w:val="00C727DD"/>
    <w:rsid w:val="00C72955"/>
    <w:rsid w:val="00C72A8C"/>
    <w:rsid w:val="00C72BF5"/>
    <w:rsid w:val="00C72DC1"/>
    <w:rsid w:val="00C72F26"/>
    <w:rsid w:val="00C72F92"/>
    <w:rsid w:val="00C73069"/>
    <w:rsid w:val="00C730EE"/>
    <w:rsid w:val="00C7313F"/>
    <w:rsid w:val="00C7361D"/>
    <w:rsid w:val="00C736E2"/>
    <w:rsid w:val="00C73758"/>
    <w:rsid w:val="00C738ED"/>
    <w:rsid w:val="00C73B5D"/>
    <w:rsid w:val="00C73D8F"/>
    <w:rsid w:val="00C73D94"/>
    <w:rsid w:val="00C73F81"/>
    <w:rsid w:val="00C7412F"/>
    <w:rsid w:val="00C741B7"/>
    <w:rsid w:val="00C74295"/>
    <w:rsid w:val="00C742FD"/>
    <w:rsid w:val="00C744C3"/>
    <w:rsid w:val="00C747A5"/>
    <w:rsid w:val="00C74957"/>
    <w:rsid w:val="00C74B23"/>
    <w:rsid w:val="00C74E07"/>
    <w:rsid w:val="00C7517F"/>
    <w:rsid w:val="00C7548D"/>
    <w:rsid w:val="00C75617"/>
    <w:rsid w:val="00C75626"/>
    <w:rsid w:val="00C75787"/>
    <w:rsid w:val="00C75CE2"/>
    <w:rsid w:val="00C75FDC"/>
    <w:rsid w:val="00C7601B"/>
    <w:rsid w:val="00C760BD"/>
    <w:rsid w:val="00C76253"/>
    <w:rsid w:val="00C7639A"/>
    <w:rsid w:val="00C764DD"/>
    <w:rsid w:val="00C765E5"/>
    <w:rsid w:val="00C76796"/>
    <w:rsid w:val="00C76995"/>
    <w:rsid w:val="00C76BC7"/>
    <w:rsid w:val="00C76BF1"/>
    <w:rsid w:val="00C76BFF"/>
    <w:rsid w:val="00C76F8B"/>
    <w:rsid w:val="00C77001"/>
    <w:rsid w:val="00C77074"/>
    <w:rsid w:val="00C77128"/>
    <w:rsid w:val="00C77136"/>
    <w:rsid w:val="00C77226"/>
    <w:rsid w:val="00C77320"/>
    <w:rsid w:val="00C774F7"/>
    <w:rsid w:val="00C775E9"/>
    <w:rsid w:val="00C776BB"/>
    <w:rsid w:val="00C77787"/>
    <w:rsid w:val="00C77AEE"/>
    <w:rsid w:val="00C77D61"/>
    <w:rsid w:val="00C77E99"/>
    <w:rsid w:val="00C80029"/>
    <w:rsid w:val="00C802BF"/>
    <w:rsid w:val="00C80366"/>
    <w:rsid w:val="00C80610"/>
    <w:rsid w:val="00C80648"/>
    <w:rsid w:val="00C80725"/>
    <w:rsid w:val="00C808C9"/>
    <w:rsid w:val="00C80C88"/>
    <w:rsid w:val="00C80DA8"/>
    <w:rsid w:val="00C80E24"/>
    <w:rsid w:val="00C80E8C"/>
    <w:rsid w:val="00C80ED7"/>
    <w:rsid w:val="00C814B9"/>
    <w:rsid w:val="00C814C2"/>
    <w:rsid w:val="00C81592"/>
    <w:rsid w:val="00C8161D"/>
    <w:rsid w:val="00C81763"/>
    <w:rsid w:val="00C8180C"/>
    <w:rsid w:val="00C81855"/>
    <w:rsid w:val="00C819F6"/>
    <w:rsid w:val="00C81A5F"/>
    <w:rsid w:val="00C81E9B"/>
    <w:rsid w:val="00C81F9B"/>
    <w:rsid w:val="00C8200A"/>
    <w:rsid w:val="00C8217A"/>
    <w:rsid w:val="00C82329"/>
    <w:rsid w:val="00C82461"/>
    <w:rsid w:val="00C8248F"/>
    <w:rsid w:val="00C824F6"/>
    <w:rsid w:val="00C825C2"/>
    <w:rsid w:val="00C82626"/>
    <w:rsid w:val="00C8267C"/>
    <w:rsid w:val="00C82865"/>
    <w:rsid w:val="00C82981"/>
    <w:rsid w:val="00C82A13"/>
    <w:rsid w:val="00C82B93"/>
    <w:rsid w:val="00C82D4F"/>
    <w:rsid w:val="00C82DED"/>
    <w:rsid w:val="00C82E88"/>
    <w:rsid w:val="00C82E8E"/>
    <w:rsid w:val="00C82E99"/>
    <w:rsid w:val="00C83130"/>
    <w:rsid w:val="00C833F3"/>
    <w:rsid w:val="00C83454"/>
    <w:rsid w:val="00C83515"/>
    <w:rsid w:val="00C8367A"/>
    <w:rsid w:val="00C83DD7"/>
    <w:rsid w:val="00C83FBD"/>
    <w:rsid w:val="00C8418D"/>
    <w:rsid w:val="00C8422E"/>
    <w:rsid w:val="00C842B2"/>
    <w:rsid w:val="00C842E6"/>
    <w:rsid w:val="00C84346"/>
    <w:rsid w:val="00C848C0"/>
    <w:rsid w:val="00C84A2F"/>
    <w:rsid w:val="00C84BB6"/>
    <w:rsid w:val="00C84CAB"/>
    <w:rsid w:val="00C84CB5"/>
    <w:rsid w:val="00C84D4A"/>
    <w:rsid w:val="00C84DD4"/>
    <w:rsid w:val="00C85011"/>
    <w:rsid w:val="00C850BA"/>
    <w:rsid w:val="00C85100"/>
    <w:rsid w:val="00C851D8"/>
    <w:rsid w:val="00C85299"/>
    <w:rsid w:val="00C85314"/>
    <w:rsid w:val="00C8539D"/>
    <w:rsid w:val="00C85432"/>
    <w:rsid w:val="00C8554C"/>
    <w:rsid w:val="00C8578C"/>
    <w:rsid w:val="00C858B3"/>
    <w:rsid w:val="00C85A79"/>
    <w:rsid w:val="00C85BF8"/>
    <w:rsid w:val="00C85C3C"/>
    <w:rsid w:val="00C85CEB"/>
    <w:rsid w:val="00C85E5C"/>
    <w:rsid w:val="00C86086"/>
    <w:rsid w:val="00C860BE"/>
    <w:rsid w:val="00C8618D"/>
    <w:rsid w:val="00C8670D"/>
    <w:rsid w:val="00C867A7"/>
    <w:rsid w:val="00C867AC"/>
    <w:rsid w:val="00C86990"/>
    <w:rsid w:val="00C86A74"/>
    <w:rsid w:val="00C86D09"/>
    <w:rsid w:val="00C86EC8"/>
    <w:rsid w:val="00C8730F"/>
    <w:rsid w:val="00C8738B"/>
    <w:rsid w:val="00C87480"/>
    <w:rsid w:val="00C87701"/>
    <w:rsid w:val="00C879EF"/>
    <w:rsid w:val="00C87AC0"/>
    <w:rsid w:val="00C87B2B"/>
    <w:rsid w:val="00C87BF2"/>
    <w:rsid w:val="00C87C7D"/>
    <w:rsid w:val="00C87D69"/>
    <w:rsid w:val="00C90103"/>
    <w:rsid w:val="00C90226"/>
    <w:rsid w:val="00C902C4"/>
    <w:rsid w:val="00C90389"/>
    <w:rsid w:val="00C9040C"/>
    <w:rsid w:val="00C904F8"/>
    <w:rsid w:val="00C905D5"/>
    <w:rsid w:val="00C9060C"/>
    <w:rsid w:val="00C90675"/>
    <w:rsid w:val="00C90709"/>
    <w:rsid w:val="00C9080C"/>
    <w:rsid w:val="00C90867"/>
    <w:rsid w:val="00C90CA5"/>
    <w:rsid w:val="00C90CA9"/>
    <w:rsid w:val="00C90DD0"/>
    <w:rsid w:val="00C90F67"/>
    <w:rsid w:val="00C9110E"/>
    <w:rsid w:val="00C914D5"/>
    <w:rsid w:val="00C915F4"/>
    <w:rsid w:val="00C916C0"/>
    <w:rsid w:val="00C916EA"/>
    <w:rsid w:val="00C9171B"/>
    <w:rsid w:val="00C918E7"/>
    <w:rsid w:val="00C918EF"/>
    <w:rsid w:val="00C91990"/>
    <w:rsid w:val="00C919AD"/>
    <w:rsid w:val="00C91B2A"/>
    <w:rsid w:val="00C91CBC"/>
    <w:rsid w:val="00C91E97"/>
    <w:rsid w:val="00C91F1B"/>
    <w:rsid w:val="00C91FC0"/>
    <w:rsid w:val="00C921DE"/>
    <w:rsid w:val="00C92314"/>
    <w:rsid w:val="00C92450"/>
    <w:rsid w:val="00C9252D"/>
    <w:rsid w:val="00C92554"/>
    <w:rsid w:val="00C92679"/>
    <w:rsid w:val="00C926D0"/>
    <w:rsid w:val="00C92885"/>
    <w:rsid w:val="00C929E5"/>
    <w:rsid w:val="00C92C30"/>
    <w:rsid w:val="00C92DF6"/>
    <w:rsid w:val="00C93443"/>
    <w:rsid w:val="00C935E0"/>
    <w:rsid w:val="00C937D3"/>
    <w:rsid w:val="00C93880"/>
    <w:rsid w:val="00C93886"/>
    <w:rsid w:val="00C938B5"/>
    <w:rsid w:val="00C93A2F"/>
    <w:rsid w:val="00C93ABD"/>
    <w:rsid w:val="00C941C0"/>
    <w:rsid w:val="00C945F0"/>
    <w:rsid w:val="00C946C0"/>
    <w:rsid w:val="00C9474D"/>
    <w:rsid w:val="00C947E3"/>
    <w:rsid w:val="00C948E7"/>
    <w:rsid w:val="00C94A8E"/>
    <w:rsid w:val="00C94A9F"/>
    <w:rsid w:val="00C94CD4"/>
    <w:rsid w:val="00C94D31"/>
    <w:rsid w:val="00C94E55"/>
    <w:rsid w:val="00C94F72"/>
    <w:rsid w:val="00C94FB2"/>
    <w:rsid w:val="00C94FDC"/>
    <w:rsid w:val="00C95369"/>
    <w:rsid w:val="00C95432"/>
    <w:rsid w:val="00C95444"/>
    <w:rsid w:val="00C954F9"/>
    <w:rsid w:val="00C955A0"/>
    <w:rsid w:val="00C955EE"/>
    <w:rsid w:val="00C956BF"/>
    <w:rsid w:val="00C95AF1"/>
    <w:rsid w:val="00C95C7B"/>
    <w:rsid w:val="00C95F72"/>
    <w:rsid w:val="00C95FD2"/>
    <w:rsid w:val="00C962DB"/>
    <w:rsid w:val="00C963A8"/>
    <w:rsid w:val="00C964D0"/>
    <w:rsid w:val="00C964E0"/>
    <w:rsid w:val="00C96555"/>
    <w:rsid w:val="00C9669F"/>
    <w:rsid w:val="00C96975"/>
    <w:rsid w:val="00C96F97"/>
    <w:rsid w:val="00C970B9"/>
    <w:rsid w:val="00C970CB"/>
    <w:rsid w:val="00C972AF"/>
    <w:rsid w:val="00C974AB"/>
    <w:rsid w:val="00C974BC"/>
    <w:rsid w:val="00C97664"/>
    <w:rsid w:val="00C979AC"/>
    <w:rsid w:val="00C97B07"/>
    <w:rsid w:val="00C97BA1"/>
    <w:rsid w:val="00C97BFD"/>
    <w:rsid w:val="00C97DA3"/>
    <w:rsid w:val="00CA0081"/>
    <w:rsid w:val="00CA0116"/>
    <w:rsid w:val="00CA03DD"/>
    <w:rsid w:val="00CA0427"/>
    <w:rsid w:val="00CA04FA"/>
    <w:rsid w:val="00CA0712"/>
    <w:rsid w:val="00CA0962"/>
    <w:rsid w:val="00CA0A35"/>
    <w:rsid w:val="00CA0D0F"/>
    <w:rsid w:val="00CA0D99"/>
    <w:rsid w:val="00CA0F38"/>
    <w:rsid w:val="00CA1036"/>
    <w:rsid w:val="00CA11E3"/>
    <w:rsid w:val="00CA139C"/>
    <w:rsid w:val="00CA1491"/>
    <w:rsid w:val="00CA156B"/>
    <w:rsid w:val="00CA1658"/>
    <w:rsid w:val="00CA1861"/>
    <w:rsid w:val="00CA1A8D"/>
    <w:rsid w:val="00CA1AD8"/>
    <w:rsid w:val="00CA1C95"/>
    <w:rsid w:val="00CA1D1B"/>
    <w:rsid w:val="00CA1E80"/>
    <w:rsid w:val="00CA2353"/>
    <w:rsid w:val="00CA24D6"/>
    <w:rsid w:val="00CA25EF"/>
    <w:rsid w:val="00CA2784"/>
    <w:rsid w:val="00CA279B"/>
    <w:rsid w:val="00CA279D"/>
    <w:rsid w:val="00CA299E"/>
    <w:rsid w:val="00CA2A96"/>
    <w:rsid w:val="00CA2B2E"/>
    <w:rsid w:val="00CA2F77"/>
    <w:rsid w:val="00CA3009"/>
    <w:rsid w:val="00CA30DC"/>
    <w:rsid w:val="00CA3179"/>
    <w:rsid w:val="00CA3186"/>
    <w:rsid w:val="00CA32E4"/>
    <w:rsid w:val="00CA3303"/>
    <w:rsid w:val="00CA3385"/>
    <w:rsid w:val="00CA34A8"/>
    <w:rsid w:val="00CA3549"/>
    <w:rsid w:val="00CA35C6"/>
    <w:rsid w:val="00CA35CC"/>
    <w:rsid w:val="00CA35E5"/>
    <w:rsid w:val="00CA37BB"/>
    <w:rsid w:val="00CA3868"/>
    <w:rsid w:val="00CA3887"/>
    <w:rsid w:val="00CA3A5F"/>
    <w:rsid w:val="00CA3B45"/>
    <w:rsid w:val="00CA3B50"/>
    <w:rsid w:val="00CA3C9E"/>
    <w:rsid w:val="00CA4173"/>
    <w:rsid w:val="00CA426D"/>
    <w:rsid w:val="00CA44A9"/>
    <w:rsid w:val="00CA4635"/>
    <w:rsid w:val="00CA4A1A"/>
    <w:rsid w:val="00CA4BC0"/>
    <w:rsid w:val="00CA4D99"/>
    <w:rsid w:val="00CA4FDE"/>
    <w:rsid w:val="00CA50F0"/>
    <w:rsid w:val="00CA5271"/>
    <w:rsid w:val="00CA527C"/>
    <w:rsid w:val="00CA5543"/>
    <w:rsid w:val="00CA574C"/>
    <w:rsid w:val="00CA579A"/>
    <w:rsid w:val="00CA5803"/>
    <w:rsid w:val="00CA59C8"/>
    <w:rsid w:val="00CA59E5"/>
    <w:rsid w:val="00CA5A28"/>
    <w:rsid w:val="00CA5AB6"/>
    <w:rsid w:val="00CA5B62"/>
    <w:rsid w:val="00CA5CA8"/>
    <w:rsid w:val="00CA5EFE"/>
    <w:rsid w:val="00CA61BE"/>
    <w:rsid w:val="00CA62A9"/>
    <w:rsid w:val="00CA6382"/>
    <w:rsid w:val="00CA649A"/>
    <w:rsid w:val="00CA671E"/>
    <w:rsid w:val="00CA67ED"/>
    <w:rsid w:val="00CA68B9"/>
    <w:rsid w:val="00CA68F4"/>
    <w:rsid w:val="00CA6A6F"/>
    <w:rsid w:val="00CA6D2E"/>
    <w:rsid w:val="00CA6F73"/>
    <w:rsid w:val="00CA70ED"/>
    <w:rsid w:val="00CA70F6"/>
    <w:rsid w:val="00CA71EB"/>
    <w:rsid w:val="00CA7276"/>
    <w:rsid w:val="00CA7492"/>
    <w:rsid w:val="00CA74B5"/>
    <w:rsid w:val="00CA750D"/>
    <w:rsid w:val="00CA75EA"/>
    <w:rsid w:val="00CA779E"/>
    <w:rsid w:val="00CA7BB9"/>
    <w:rsid w:val="00CA7C07"/>
    <w:rsid w:val="00CA7D1D"/>
    <w:rsid w:val="00CA7D84"/>
    <w:rsid w:val="00CA7D9C"/>
    <w:rsid w:val="00CA7E65"/>
    <w:rsid w:val="00CB0036"/>
    <w:rsid w:val="00CB0126"/>
    <w:rsid w:val="00CB0157"/>
    <w:rsid w:val="00CB017D"/>
    <w:rsid w:val="00CB01CC"/>
    <w:rsid w:val="00CB0319"/>
    <w:rsid w:val="00CB03B3"/>
    <w:rsid w:val="00CB042F"/>
    <w:rsid w:val="00CB0444"/>
    <w:rsid w:val="00CB05A1"/>
    <w:rsid w:val="00CB072A"/>
    <w:rsid w:val="00CB0825"/>
    <w:rsid w:val="00CB0840"/>
    <w:rsid w:val="00CB08C7"/>
    <w:rsid w:val="00CB09B7"/>
    <w:rsid w:val="00CB0B18"/>
    <w:rsid w:val="00CB0CAA"/>
    <w:rsid w:val="00CB0F13"/>
    <w:rsid w:val="00CB0F14"/>
    <w:rsid w:val="00CB0F29"/>
    <w:rsid w:val="00CB10FA"/>
    <w:rsid w:val="00CB14AC"/>
    <w:rsid w:val="00CB1597"/>
    <w:rsid w:val="00CB174E"/>
    <w:rsid w:val="00CB17BB"/>
    <w:rsid w:val="00CB1B27"/>
    <w:rsid w:val="00CB2293"/>
    <w:rsid w:val="00CB2335"/>
    <w:rsid w:val="00CB248E"/>
    <w:rsid w:val="00CB2513"/>
    <w:rsid w:val="00CB26C0"/>
    <w:rsid w:val="00CB2805"/>
    <w:rsid w:val="00CB2883"/>
    <w:rsid w:val="00CB28DA"/>
    <w:rsid w:val="00CB28E9"/>
    <w:rsid w:val="00CB2A1C"/>
    <w:rsid w:val="00CB2C7F"/>
    <w:rsid w:val="00CB2D1D"/>
    <w:rsid w:val="00CB2E3E"/>
    <w:rsid w:val="00CB2F2D"/>
    <w:rsid w:val="00CB30C4"/>
    <w:rsid w:val="00CB3354"/>
    <w:rsid w:val="00CB3425"/>
    <w:rsid w:val="00CB3650"/>
    <w:rsid w:val="00CB3691"/>
    <w:rsid w:val="00CB3B7D"/>
    <w:rsid w:val="00CB3C7E"/>
    <w:rsid w:val="00CB3C9F"/>
    <w:rsid w:val="00CB3D28"/>
    <w:rsid w:val="00CB3E49"/>
    <w:rsid w:val="00CB3ED9"/>
    <w:rsid w:val="00CB3F26"/>
    <w:rsid w:val="00CB3F40"/>
    <w:rsid w:val="00CB3FB8"/>
    <w:rsid w:val="00CB417E"/>
    <w:rsid w:val="00CB41B9"/>
    <w:rsid w:val="00CB42A0"/>
    <w:rsid w:val="00CB43A3"/>
    <w:rsid w:val="00CB460C"/>
    <w:rsid w:val="00CB469C"/>
    <w:rsid w:val="00CB46CB"/>
    <w:rsid w:val="00CB4966"/>
    <w:rsid w:val="00CB4A7C"/>
    <w:rsid w:val="00CB4B67"/>
    <w:rsid w:val="00CB4C3F"/>
    <w:rsid w:val="00CB4CA6"/>
    <w:rsid w:val="00CB4D9E"/>
    <w:rsid w:val="00CB4E7C"/>
    <w:rsid w:val="00CB5205"/>
    <w:rsid w:val="00CB525E"/>
    <w:rsid w:val="00CB52B3"/>
    <w:rsid w:val="00CB532E"/>
    <w:rsid w:val="00CB5342"/>
    <w:rsid w:val="00CB537D"/>
    <w:rsid w:val="00CB53B6"/>
    <w:rsid w:val="00CB54D7"/>
    <w:rsid w:val="00CB57F1"/>
    <w:rsid w:val="00CB5E88"/>
    <w:rsid w:val="00CB5F11"/>
    <w:rsid w:val="00CB5F54"/>
    <w:rsid w:val="00CB606B"/>
    <w:rsid w:val="00CB60A1"/>
    <w:rsid w:val="00CB60D1"/>
    <w:rsid w:val="00CB61F0"/>
    <w:rsid w:val="00CB62D8"/>
    <w:rsid w:val="00CB6347"/>
    <w:rsid w:val="00CB669E"/>
    <w:rsid w:val="00CB6778"/>
    <w:rsid w:val="00CB6926"/>
    <w:rsid w:val="00CB6D30"/>
    <w:rsid w:val="00CB6D4A"/>
    <w:rsid w:val="00CB711A"/>
    <w:rsid w:val="00CB7139"/>
    <w:rsid w:val="00CB717B"/>
    <w:rsid w:val="00CB72F8"/>
    <w:rsid w:val="00CB7363"/>
    <w:rsid w:val="00CB73E5"/>
    <w:rsid w:val="00CB7675"/>
    <w:rsid w:val="00CB7696"/>
    <w:rsid w:val="00CB79D2"/>
    <w:rsid w:val="00CB7C59"/>
    <w:rsid w:val="00CB7D20"/>
    <w:rsid w:val="00CB7ECE"/>
    <w:rsid w:val="00CB7F26"/>
    <w:rsid w:val="00CB7F85"/>
    <w:rsid w:val="00CB7FAD"/>
    <w:rsid w:val="00CC0126"/>
    <w:rsid w:val="00CC0157"/>
    <w:rsid w:val="00CC026C"/>
    <w:rsid w:val="00CC0315"/>
    <w:rsid w:val="00CC032A"/>
    <w:rsid w:val="00CC07BF"/>
    <w:rsid w:val="00CC0988"/>
    <w:rsid w:val="00CC09B3"/>
    <w:rsid w:val="00CC0A13"/>
    <w:rsid w:val="00CC0A50"/>
    <w:rsid w:val="00CC0A9B"/>
    <w:rsid w:val="00CC0ACB"/>
    <w:rsid w:val="00CC0BCE"/>
    <w:rsid w:val="00CC0C02"/>
    <w:rsid w:val="00CC0C93"/>
    <w:rsid w:val="00CC0F20"/>
    <w:rsid w:val="00CC1029"/>
    <w:rsid w:val="00CC102C"/>
    <w:rsid w:val="00CC1035"/>
    <w:rsid w:val="00CC1172"/>
    <w:rsid w:val="00CC125A"/>
    <w:rsid w:val="00CC1277"/>
    <w:rsid w:val="00CC12A4"/>
    <w:rsid w:val="00CC14E2"/>
    <w:rsid w:val="00CC155A"/>
    <w:rsid w:val="00CC1587"/>
    <w:rsid w:val="00CC16A0"/>
    <w:rsid w:val="00CC1728"/>
    <w:rsid w:val="00CC1892"/>
    <w:rsid w:val="00CC19CA"/>
    <w:rsid w:val="00CC1A69"/>
    <w:rsid w:val="00CC1B3F"/>
    <w:rsid w:val="00CC1B83"/>
    <w:rsid w:val="00CC1C21"/>
    <w:rsid w:val="00CC1F76"/>
    <w:rsid w:val="00CC230C"/>
    <w:rsid w:val="00CC2366"/>
    <w:rsid w:val="00CC2368"/>
    <w:rsid w:val="00CC23C0"/>
    <w:rsid w:val="00CC27DD"/>
    <w:rsid w:val="00CC29A6"/>
    <w:rsid w:val="00CC2BAE"/>
    <w:rsid w:val="00CC2C28"/>
    <w:rsid w:val="00CC2C43"/>
    <w:rsid w:val="00CC2C91"/>
    <w:rsid w:val="00CC2CA5"/>
    <w:rsid w:val="00CC2D3B"/>
    <w:rsid w:val="00CC3003"/>
    <w:rsid w:val="00CC31DE"/>
    <w:rsid w:val="00CC32DA"/>
    <w:rsid w:val="00CC3375"/>
    <w:rsid w:val="00CC33C8"/>
    <w:rsid w:val="00CC3454"/>
    <w:rsid w:val="00CC35F7"/>
    <w:rsid w:val="00CC3620"/>
    <w:rsid w:val="00CC3841"/>
    <w:rsid w:val="00CC38AC"/>
    <w:rsid w:val="00CC399B"/>
    <w:rsid w:val="00CC3A00"/>
    <w:rsid w:val="00CC3A6B"/>
    <w:rsid w:val="00CC3A73"/>
    <w:rsid w:val="00CC3BBE"/>
    <w:rsid w:val="00CC3CC4"/>
    <w:rsid w:val="00CC3EA6"/>
    <w:rsid w:val="00CC3FDE"/>
    <w:rsid w:val="00CC4216"/>
    <w:rsid w:val="00CC423F"/>
    <w:rsid w:val="00CC4A15"/>
    <w:rsid w:val="00CC4F65"/>
    <w:rsid w:val="00CC5080"/>
    <w:rsid w:val="00CC50A3"/>
    <w:rsid w:val="00CC52A5"/>
    <w:rsid w:val="00CC552B"/>
    <w:rsid w:val="00CC559D"/>
    <w:rsid w:val="00CC55A3"/>
    <w:rsid w:val="00CC5890"/>
    <w:rsid w:val="00CC589D"/>
    <w:rsid w:val="00CC5C29"/>
    <w:rsid w:val="00CC5E6A"/>
    <w:rsid w:val="00CC66F0"/>
    <w:rsid w:val="00CC6816"/>
    <w:rsid w:val="00CC6871"/>
    <w:rsid w:val="00CC6A3B"/>
    <w:rsid w:val="00CC6AB7"/>
    <w:rsid w:val="00CC6B35"/>
    <w:rsid w:val="00CC6B53"/>
    <w:rsid w:val="00CC6B6D"/>
    <w:rsid w:val="00CC6C46"/>
    <w:rsid w:val="00CC6E58"/>
    <w:rsid w:val="00CC711A"/>
    <w:rsid w:val="00CC7173"/>
    <w:rsid w:val="00CC74A5"/>
    <w:rsid w:val="00CC78F5"/>
    <w:rsid w:val="00CC7903"/>
    <w:rsid w:val="00CC79DE"/>
    <w:rsid w:val="00CC7D9B"/>
    <w:rsid w:val="00CC7E4C"/>
    <w:rsid w:val="00CD0001"/>
    <w:rsid w:val="00CD029C"/>
    <w:rsid w:val="00CD0591"/>
    <w:rsid w:val="00CD05E6"/>
    <w:rsid w:val="00CD0719"/>
    <w:rsid w:val="00CD0793"/>
    <w:rsid w:val="00CD079A"/>
    <w:rsid w:val="00CD0C13"/>
    <w:rsid w:val="00CD0E14"/>
    <w:rsid w:val="00CD0EA7"/>
    <w:rsid w:val="00CD0F1C"/>
    <w:rsid w:val="00CD0F78"/>
    <w:rsid w:val="00CD147C"/>
    <w:rsid w:val="00CD14EC"/>
    <w:rsid w:val="00CD163E"/>
    <w:rsid w:val="00CD1871"/>
    <w:rsid w:val="00CD1AB7"/>
    <w:rsid w:val="00CD1B7C"/>
    <w:rsid w:val="00CD1CFB"/>
    <w:rsid w:val="00CD21DC"/>
    <w:rsid w:val="00CD226B"/>
    <w:rsid w:val="00CD249E"/>
    <w:rsid w:val="00CD2596"/>
    <w:rsid w:val="00CD25DC"/>
    <w:rsid w:val="00CD26B4"/>
    <w:rsid w:val="00CD2720"/>
    <w:rsid w:val="00CD27A4"/>
    <w:rsid w:val="00CD29F9"/>
    <w:rsid w:val="00CD2A5C"/>
    <w:rsid w:val="00CD2AE7"/>
    <w:rsid w:val="00CD2D0D"/>
    <w:rsid w:val="00CD2DD1"/>
    <w:rsid w:val="00CD31C4"/>
    <w:rsid w:val="00CD323A"/>
    <w:rsid w:val="00CD3246"/>
    <w:rsid w:val="00CD32C9"/>
    <w:rsid w:val="00CD34EB"/>
    <w:rsid w:val="00CD366D"/>
    <w:rsid w:val="00CD3880"/>
    <w:rsid w:val="00CD394B"/>
    <w:rsid w:val="00CD3AEB"/>
    <w:rsid w:val="00CD3B44"/>
    <w:rsid w:val="00CD3CE2"/>
    <w:rsid w:val="00CD3E5B"/>
    <w:rsid w:val="00CD3FF3"/>
    <w:rsid w:val="00CD4394"/>
    <w:rsid w:val="00CD44DA"/>
    <w:rsid w:val="00CD4527"/>
    <w:rsid w:val="00CD470B"/>
    <w:rsid w:val="00CD47B0"/>
    <w:rsid w:val="00CD4876"/>
    <w:rsid w:val="00CD4A67"/>
    <w:rsid w:val="00CD4ACB"/>
    <w:rsid w:val="00CD4AD7"/>
    <w:rsid w:val="00CD4BC1"/>
    <w:rsid w:val="00CD4DAB"/>
    <w:rsid w:val="00CD4F11"/>
    <w:rsid w:val="00CD4FF6"/>
    <w:rsid w:val="00CD506D"/>
    <w:rsid w:val="00CD50C5"/>
    <w:rsid w:val="00CD50D0"/>
    <w:rsid w:val="00CD519F"/>
    <w:rsid w:val="00CD52E6"/>
    <w:rsid w:val="00CD5654"/>
    <w:rsid w:val="00CD589F"/>
    <w:rsid w:val="00CD5B7D"/>
    <w:rsid w:val="00CD5F44"/>
    <w:rsid w:val="00CD5FFB"/>
    <w:rsid w:val="00CD615E"/>
    <w:rsid w:val="00CD61A5"/>
    <w:rsid w:val="00CD6373"/>
    <w:rsid w:val="00CD63B4"/>
    <w:rsid w:val="00CD654B"/>
    <w:rsid w:val="00CD67E7"/>
    <w:rsid w:val="00CD684C"/>
    <w:rsid w:val="00CD6877"/>
    <w:rsid w:val="00CD697E"/>
    <w:rsid w:val="00CD69BF"/>
    <w:rsid w:val="00CD6BD8"/>
    <w:rsid w:val="00CD6E94"/>
    <w:rsid w:val="00CD6F54"/>
    <w:rsid w:val="00CD6F92"/>
    <w:rsid w:val="00CD70E7"/>
    <w:rsid w:val="00CD71B6"/>
    <w:rsid w:val="00CD740F"/>
    <w:rsid w:val="00CD7673"/>
    <w:rsid w:val="00CD7757"/>
    <w:rsid w:val="00CD778F"/>
    <w:rsid w:val="00CD790D"/>
    <w:rsid w:val="00CD7B47"/>
    <w:rsid w:val="00CD7BA4"/>
    <w:rsid w:val="00CD7C1E"/>
    <w:rsid w:val="00CD7C9B"/>
    <w:rsid w:val="00CD7DCA"/>
    <w:rsid w:val="00CE006E"/>
    <w:rsid w:val="00CE00BD"/>
    <w:rsid w:val="00CE01AF"/>
    <w:rsid w:val="00CE01B5"/>
    <w:rsid w:val="00CE03E4"/>
    <w:rsid w:val="00CE03E5"/>
    <w:rsid w:val="00CE042D"/>
    <w:rsid w:val="00CE04C2"/>
    <w:rsid w:val="00CE04DB"/>
    <w:rsid w:val="00CE0623"/>
    <w:rsid w:val="00CE0A1C"/>
    <w:rsid w:val="00CE0AC1"/>
    <w:rsid w:val="00CE0E3B"/>
    <w:rsid w:val="00CE1094"/>
    <w:rsid w:val="00CE10BE"/>
    <w:rsid w:val="00CE12C5"/>
    <w:rsid w:val="00CE1472"/>
    <w:rsid w:val="00CE17BC"/>
    <w:rsid w:val="00CE1861"/>
    <w:rsid w:val="00CE18D4"/>
    <w:rsid w:val="00CE1A46"/>
    <w:rsid w:val="00CE1DAD"/>
    <w:rsid w:val="00CE1FEA"/>
    <w:rsid w:val="00CE20EB"/>
    <w:rsid w:val="00CE211E"/>
    <w:rsid w:val="00CE223E"/>
    <w:rsid w:val="00CE2302"/>
    <w:rsid w:val="00CE230B"/>
    <w:rsid w:val="00CE231E"/>
    <w:rsid w:val="00CE2578"/>
    <w:rsid w:val="00CE26F4"/>
    <w:rsid w:val="00CE2957"/>
    <w:rsid w:val="00CE2AC5"/>
    <w:rsid w:val="00CE2AD7"/>
    <w:rsid w:val="00CE2B08"/>
    <w:rsid w:val="00CE2B74"/>
    <w:rsid w:val="00CE2D4D"/>
    <w:rsid w:val="00CE2EA6"/>
    <w:rsid w:val="00CE2FAE"/>
    <w:rsid w:val="00CE2FF8"/>
    <w:rsid w:val="00CE3109"/>
    <w:rsid w:val="00CE3383"/>
    <w:rsid w:val="00CE3487"/>
    <w:rsid w:val="00CE355D"/>
    <w:rsid w:val="00CE379A"/>
    <w:rsid w:val="00CE382E"/>
    <w:rsid w:val="00CE38E5"/>
    <w:rsid w:val="00CE3B58"/>
    <w:rsid w:val="00CE3C2A"/>
    <w:rsid w:val="00CE3D91"/>
    <w:rsid w:val="00CE3D95"/>
    <w:rsid w:val="00CE3DC6"/>
    <w:rsid w:val="00CE3E1E"/>
    <w:rsid w:val="00CE42BB"/>
    <w:rsid w:val="00CE42D6"/>
    <w:rsid w:val="00CE43E1"/>
    <w:rsid w:val="00CE43ED"/>
    <w:rsid w:val="00CE447E"/>
    <w:rsid w:val="00CE447F"/>
    <w:rsid w:val="00CE4599"/>
    <w:rsid w:val="00CE4768"/>
    <w:rsid w:val="00CE47B7"/>
    <w:rsid w:val="00CE4A2C"/>
    <w:rsid w:val="00CE4A8D"/>
    <w:rsid w:val="00CE4B8C"/>
    <w:rsid w:val="00CE4BE7"/>
    <w:rsid w:val="00CE512B"/>
    <w:rsid w:val="00CE51A7"/>
    <w:rsid w:val="00CE5553"/>
    <w:rsid w:val="00CE5751"/>
    <w:rsid w:val="00CE5923"/>
    <w:rsid w:val="00CE5B3E"/>
    <w:rsid w:val="00CE5B81"/>
    <w:rsid w:val="00CE5D24"/>
    <w:rsid w:val="00CE5DCF"/>
    <w:rsid w:val="00CE5F8C"/>
    <w:rsid w:val="00CE615B"/>
    <w:rsid w:val="00CE6454"/>
    <w:rsid w:val="00CE65FC"/>
    <w:rsid w:val="00CE661F"/>
    <w:rsid w:val="00CE66EE"/>
    <w:rsid w:val="00CE67FB"/>
    <w:rsid w:val="00CE682E"/>
    <w:rsid w:val="00CE6A9C"/>
    <w:rsid w:val="00CE6ADB"/>
    <w:rsid w:val="00CE6BFF"/>
    <w:rsid w:val="00CE6C23"/>
    <w:rsid w:val="00CE6C84"/>
    <w:rsid w:val="00CE6D7E"/>
    <w:rsid w:val="00CE6F1A"/>
    <w:rsid w:val="00CE726B"/>
    <w:rsid w:val="00CE72FC"/>
    <w:rsid w:val="00CE73A0"/>
    <w:rsid w:val="00CE76B8"/>
    <w:rsid w:val="00CE778A"/>
    <w:rsid w:val="00CE79F4"/>
    <w:rsid w:val="00CE7A84"/>
    <w:rsid w:val="00CE7B5D"/>
    <w:rsid w:val="00CE7D31"/>
    <w:rsid w:val="00CE7F7E"/>
    <w:rsid w:val="00CF0092"/>
    <w:rsid w:val="00CF0163"/>
    <w:rsid w:val="00CF01EB"/>
    <w:rsid w:val="00CF048F"/>
    <w:rsid w:val="00CF050D"/>
    <w:rsid w:val="00CF0552"/>
    <w:rsid w:val="00CF0572"/>
    <w:rsid w:val="00CF05F1"/>
    <w:rsid w:val="00CF06DA"/>
    <w:rsid w:val="00CF09A3"/>
    <w:rsid w:val="00CF0E60"/>
    <w:rsid w:val="00CF0F6C"/>
    <w:rsid w:val="00CF0FDE"/>
    <w:rsid w:val="00CF1027"/>
    <w:rsid w:val="00CF10D4"/>
    <w:rsid w:val="00CF110B"/>
    <w:rsid w:val="00CF11BE"/>
    <w:rsid w:val="00CF1218"/>
    <w:rsid w:val="00CF13C8"/>
    <w:rsid w:val="00CF167F"/>
    <w:rsid w:val="00CF171B"/>
    <w:rsid w:val="00CF225E"/>
    <w:rsid w:val="00CF250B"/>
    <w:rsid w:val="00CF25B9"/>
    <w:rsid w:val="00CF2634"/>
    <w:rsid w:val="00CF26FA"/>
    <w:rsid w:val="00CF271C"/>
    <w:rsid w:val="00CF2786"/>
    <w:rsid w:val="00CF28B0"/>
    <w:rsid w:val="00CF28D4"/>
    <w:rsid w:val="00CF2B3F"/>
    <w:rsid w:val="00CF3014"/>
    <w:rsid w:val="00CF31D0"/>
    <w:rsid w:val="00CF33A8"/>
    <w:rsid w:val="00CF345D"/>
    <w:rsid w:val="00CF3518"/>
    <w:rsid w:val="00CF3739"/>
    <w:rsid w:val="00CF3949"/>
    <w:rsid w:val="00CF3B9B"/>
    <w:rsid w:val="00CF3F0D"/>
    <w:rsid w:val="00CF3F82"/>
    <w:rsid w:val="00CF405F"/>
    <w:rsid w:val="00CF41E3"/>
    <w:rsid w:val="00CF41E6"/>
    <w:rsid w:val="00CF42C1"/>
    <w:rsid w:val="00CF44D1"/>
    <w:rsid w:val="00CF44FF"/>
    <w:rsid w:val="00CF469A"/>
    <w:rsid w:val="00CF46CE"/>
    <w:rsid w:val="00CF497F"/>
    <w:rsid w:val="00CF4AA8"/>
    <w:rsid w:val="00CF4BE1"/>
    <w:rsid w:val="00CF4DBE"/>
    <w:rsid w:val="00CF4DF7"/>
    <w:rsid w:val="00CF4F0F"/>
    <w:rsid w:val="00CF4F43"/>
    <w:rsid w:val="00CF51E9"/>
    <w:rsid w:val="00CF525F"/>
    <w:rsid w:val="00CF5401"/>
    <w:rsid w:val="00CF54F1"/>
    <w:rsid w:val="00CF5701"/>
    <w:rsid w:val="00CF590E"/>
    <w:rsid w:val="00CF5C35"/>
    <w:rsid w:val="00CF5C60"/>
    <w:rsid w:val="00CF5C66"/>
    <w:rsid w:val="00CF5D4D"/>
    <w:rsid w:val="00CF5D67"/>
    <w:rsid w:val="00CF5D8A"/>
    <w:rsid w:val="00CF5E25"/>
    <w:rsid w:val="00CF5E4C"/>
    <w:rsid w:val="00CF60AD"/>
    <w:rsid w:val="00CF63E5"/>
    <w:rsid w:val="00CF645D"/>
    <w:rsid w:val="00CF65D1"/>
    <w:rsid w:val="00CF6688"/>
    <w:rsid w:val="00CF668D"/>
    <w:rsid w:val="00CF68DA"/>
    <w:rsid w:val="00CF69DD"/>
    <w:rsid w:val="00CF6B4B"/>
    <w:rsid w:val="00CF6B91"/>
    <w:rsid w:val="00CF6EFC"/>
    <w:rsid w:val="00CF6FDF"/>
    <w:rsid w:val="00CF6FE4"/>
    <w:rsid w:val="00CF74EA"/>
    <w:rsid w:val="00CF77BB"/>
    <w:rsid w:val="00CF7805"/>
    <w:rsid w:val="00CF7A93"/>
    <w:rsid w:val="00CF7B38"/>
    <w:rsid w:val="00CF7B6C"/>
    <w:rsid w:val="00CF7B75"/>
    <w:rsid w:val="00CF7BF5"/>
    <w:rsid w:val="00CF7C32"/>
    <w:rsid w:val="00CF7C44"/>
    <w:rsid w:val="00CF7C56"/>
    <w:rsid w:val="00CF7C91"/>
    <w:rsid w:val="00D00283"/>
    <w:rsid w:val="00D0033E"/>
    <w:rsid w:val="00D00406"/>
    <w:rsid w:val="00D0081D"/>
    <w:rsid w:val="00D008D9"/>
    <w:rsid w:val="00D00A7D"/>
    <w:rsid w:val="00D00ABD"/>
    <w:rsid w:val="00D00E68"/>
    <w:rsid w:val="00D01036"/>
    <w:rsid w:val="00D0120A"/>
    <w:rsid w:val="00D01229"/>
    <w:rsid w:val="00D01606"/>
    <w:rsid w:val="00D01764"/>
    <w:rsid w:val="00D017C3"/>
    <w:rsid w:val="00D01802"/>
    <w:rsid w:val="00D01A0B"/>
    <w:rsid w:val="00D01F5F"/>
    <w:rsid w:val="00D020CA"/>
    <w:rsid w:val="00D020DD"/>
    <w:rsid w:val="00D02157"/>
    <w:rsid w:val="00D0232D"/>
    <w:rsid w:val="00D023D4"/>
    <w:rsid w:val="00D02509"/>
    <w:rsid w:val="00D025C2"/>
    <w:rsid w:val="00D02631"/>
    <w:rsid w:val="00D026C3"/>
    <w:rsid w:val="00D02AED"/>
    <w:rsid w:val="00D02B41"/>
    <w:rsid w:val="00D02BD6"/>
    <w:rsid w:val="00D02C54"/>
    <w:rsid w:val="00D02CE9"/>
    <w:rsid w:val="00D02F32"/>
    <w:rsid w:val="00D02FAD"/>
    <w:rsid w:val="00D0303F"/>
    <w:rsid w:val="00D03087"/>
    <w:rsid w:val="00D03152"/>
    <w:rsid w:val="00D031DB"/>
    <w:rsid w:val="00D033D9"/>
    <w:rsid w:val="00D0373B"/>
    <w:rsid w:val="00D039D0"/>
    <w:rsid w:val="00D03BEF"/>
    <w:rsid w:val="00D03E80"/>
    <w:rsid w:val="00D03FC2"/>
    <w:rsid w:val="00D04064"/>
    <w:rsid w:val="00D0406B"/>
    <w:rsid w:val="00D04307"/>
    <w:rsid w:val="00D0430E"/>
    <w:rsid w:val="00D0471A"/>
    <w:rsid w:val="00D04943"/>
    <w:rsid w:val="00D04AB1"/>
    <w:rsid w:val="00D04B0D"/>
    <w:rsid w:val="00D04B5F"/>
    <w:rsid w:val="00D05172"/>
    <w:rsid w:val="00D051AD"/>
    <w:rsid w:val="00D05256"/>
    <w:rsid w:val="00D052DF"/>
    <w:rsid w:val="00D052F2"/>
    <w:rsid w:val="00D05366"/>
    <w:rsid w:val="00D05417"/>
    <w:rsid w:val="00D0547E"/>
    <w:rsid w:val="00D05520"/>
    <w:rsid w:val="00D055BF"/>
    <w:rsid w:val="00D055D9"/>
    <w:rsid w:val="00D0582D"/>
    <w:rsid w:val="00D058CE"/>
    <w:rsid w:val="00D05983"/>
    <w:rsid w:val="00D05AAF"/>
    <w:rsid w:val="00D05BC3"/>
    <w:rsid w:val="00D05D68"/>
    <w:rsid w:val="00D05E22"/>
    <w:rsid w:val="00D05FFD"/>
    <w:rsid w:val="00D061AC"/>
    <w:rsid w:val="00D06356"/>
    <w:rsid w:val="00D06363"/>
    <w:rsid w:val="00D0645C"/>
    <w:rsid w:val="00D06575"/>
    <w:rsid w:val="00D06749"/>
    <w:rsid w:val="00D06792"/>
    <w:rsid w:val="00D067BE"/>
    <w:rsid w:val="00D06B58"/>
    <w:rsid w:val="00D06D00"/>
    <w:rsid w:val="00D06D44"/>
    <w:rsid w:val="00D06F83"/>
    <w:rsid w:val="00D070A1"/>
    <w:rsid w:val="00D0723E"/>
    <w:rsid w:val="00D07286"/>
    <w:rsid w:val="00D07489"/>
    <w:rsid w:val="00D078E4"/>
    <w:rsid w:val="00D0792B"/>
    <w:rsid w:val="00D07A7A"/>
    <w:rsid w:val="00D07AC3"/>
    <w:rsid w:val="00D07B7C"/>
    <w:rsid w:val="00D07E58"/>
    <w:rsid w:val="00D07EFE"/>
    <w:rsid w:val="00D07F4F"/>
    <w:rsid w:val="00D07FA2"/>
    <w:rsid w:val="00D07FEA"/>
    <w:rsid w:val="00D07FFC"/>
    <w:rsid w:val="00D101F7"/>
    <w:rsid w:val="00D1026A"/>
    <w:rsid w:val="00D102A2"/>
    <w:rsid w:val="00D103E2"/>
    <w:rsid w:val="00D107DA"/>
    <w:rsid w:val="00D10B1D"/>
    <w:rsid w:val="00D10C94"/>
    <w:rsid w:val="00D10DC4"/>
    <w:rsid w:val="00D1100A"/>
    <w:rsid w:val="00D110F3"/>
    <w:rsid w:val="00D111E6"/>
    <w:rsid w:val="00D11361"/>
    <w:rsid w:val="00D11389"/>
    <w:rsid w:val="00D11772"/>
    <w:rsid w:val="00D117C5"/>
    <w:rsid w:val="00D117ED"/>
    <w:rsid w:val="00D11816"/>
    <w:rsid w:val="00D11A5C"/>
    <w:rsid w:val="00D11B27"/>
    <w:rsid w:val="00D11C74"/>
    <w:rsid w:val="00D11DB7"/>
    <w:rsid w:val="00D12119"/>
    <w:rsid w:val="00D1214A"/>
    <w:rsid w:val="00D121F4"/>
    <w:rsid w:val="00D123F7"/>
    <w:rsid w:val="00D12422"/>
    <w:rsid w:val="00D125FB"/>
    <w:rsid w:val="00D1265A"/>
    <w:rsid w:val="00D126A4"/>
    <w:rsid w:val="00D12713"/>
    <w:rsid w:val="00D12765"/>
    <w:rsid w:val="00D127B6"/>
    <w:rsid w:val="00D1288B"/>
    <w:rsid w:val="00D128C6"/>
    <w:rsid w:val="00D1290A"/>
    <w:rsid w:val="00D12AD1"/>
    <w:rsid w:val="00D12AD3"/>
    <w:rsid w:val="00D12D5E"/>
    <w:rsid w:val="00D13146"/>
    <w:rsid w:val="00D131DB"/>
    <w:rsid w:val="00D131F9"/>
    <w:rsid w:val="00D13406"/>
    <w:rsid w:val="00D13489"/>
    <w:rsid w:val="00D1355F"/>
    <w:rsid w:val="00D13825"/>
    <w:rsid w:val="00D138E1"/>
    <w:rsid w:val="00D13A99"/>
    <w:rsid w:val="00D13E00"/>
    <w:rsid w:val="00D13E2B"/>
    <w:rsid w:val="00D13EED"/>
    <w:rsid w:val="00D14251"/>
    <w:rsid w:val="00D145F5"/>
    <w:rsid w:val="00D14B5E"/>
    <w:rsid w:val="00D14C3A"/>
    <w:rsid w:val="00D14D41"/>
    <w:rsid w:val="00D14DC7"/>
    <w:rsid w:val="00D1515D"/>
    <w:rsid w:val="00D151CF"/>
    <w:rsid w:val="00D154BC"/>
    <w:rsid w:val="00D15506"/>
    <w:rsid w:val="00D1558A"/>
    <w:rsid w:val="00D155D6"/>
    <w:rsid w:val="00D155EA"/>
    <w:rsid w:val="00D15850"/>
    <w:rsid w:val="00D158E9"/>
    <w:rsid w:val="00D15C9D"/>
    <w:rsid w:val="00D15F65"/>
    <w:rsid w:val="00D1617C"/>
    <w:rsid w:val="00D1632B"/>
    <w:rsid w:val="00D1652E"/>
    <w:rsid w:val="00D169CA"/>
    <w:rsid w:val="00D169D6"/>
    <w:rsid w:val="00D16CA9"/>
    <w:rsid w:val="00D16D15"/>
    <w:rsid w:val="00D16D3C"/>
    <w:rsid w:val="00D16DB6"/>
    <w:rsid w:val="00D16F21"/>
    <w:rsid w:val="00D17089"/>
    <w:rsid w:val="00D17269"/>
    <w:rsid w:val="00D177D1"/>
    <w:rsid w:val="00D17801"/>
    <w:rsid w:val="00D17822"/>
    <w:rsid w:val="00D17BD9"/>
    <w:rsid w:val="00D17C00"/>
    <w:rsid w:val="00D17DE6"/>
    <w:rsid w:val="00D17EBF"/>
    <w:rsid w:val="00D17F7A"/>
    <w:rsid w:val="00D17FE1"/>
    <w:rsid w:val="00D202C9"/>
    <w:rsid w:val="00D20374"/>
    <w:rsid w:val="00D205FE"/>
    <w:rsid w:val="00D2067D"/>
    <w:rsid w:val="00D20CBF"/>
    <w:rsid w:val="00D20CFD"/>
    <w:rsid w:val="00D20D26"/>
    <w:rsid w:val="00D20D5D"/>
    <w:rsid w:val="00D20E8C"/>
    <w:rsid w:val="00D2102A"/>
    <w:rsid w:val="00D2107C"/>
    <w:rsid w:val="00D213AA"/>
    <w:rsid w:val="00D2153D"/>
    <w:rsid w:val="00D2165E"/>
    <w:rsid w:val="00D216C3"/>
    <w:rsid w:val="00D21743"/>
    <w:rsid w:val="00D21871"/>
    <w:rsid w:val="00D21A1B"/>
    <w:rsid w:val="00D21E4F"/>
    <w:rsid w:val="00D21EC0"/>
    <w:rsid w:val="00D22110"/>
    <w:rsid w:val="00D222CC"/>
    <w:rsid w:val="00D222EC"/>
    <w:rsid w:val="00D22326"/>
    <w:rsid w:val="00D22973"/>
    <w:rsid w:val="00D22CD4"/>
    <w:rsid w:val="00D22D61"/>
    <w:rsid w:val="00D231C4"/>
    <w:rsid w:val="00D233C3"/>
    <w:rsid w:val="00D234EA"/>
    <w:rsid w:val="00D236FD"/>
    <w:rsid w:val="00D23748"/>
    <w:rsid w:val="00D23997"/>
    <w:rsid w:val="00D239F0"/>
    <w:rsid w:val="00D240D3"/>
    <w:rsid w:val="00D24125"/>
    <w:rsid w:val="00D24184"/>
    <w:rsid w:val="00D241C1"/>
    <w:rsid w:val="00D2420F"/>
    <w:rsid w:val="00D2426C"/>
    <w:rsid w:val="00D24335"/>
    <w:rsid w:val="00D24A97"/>
    <w:rsid w:val="00D24AEC"/>
    <w:rsid w:val="00D24DB9"/>
    <w:rsid w:val="00D24DE5"/>
    <w:rsid w:val="00D251E3"/>
    <w:rsid w:val="00D251FC"/>
    <w:rsid w:val="00D25775"/>
    <w:rsid w:val="00D257C9"/>
    <w:rsid w:val="00D2597D"/>
    <w:rsid w:val="00D25B18"/>
    <w:rsid w:val="00D25B91"/>
    <w:rsid w:val="00D25C07"/>
    <w:rsid w:val="00D25C68"/>
    <w:rsid w:val="00D25C85"/>
    <w:rsid w:val="00D25D1C"/>
    <w:rsid w:val="00D25D97"/>
    <w:rsid w:val="00D26086"/>
    <w:rsid w:val="00D26168"/>
    <w:rsid w:val="00D261C0"/>
    <w:rsid w:val="00D26824"/>
    <w:rsid w:val="00D2687A"/>
    <w:rsid w:val="00D26B26"/>
    <w:rsid w:val="00D26C5D"/>
    <w:rsid w:val="00D26F21"/>
    <w:rsid w:val="00D27157"/>
    <w:rsid w:val="00D2731F"/>
    <w:rsid w:val="00D27507"/>
    <w:rsid w:val="00D277AB"/>
    <w:rsid w:val="00D2785C"/>
    <w:rsid w:val="00D27969"/>
    <w:rsid w:val="00D27AC6"/>
    <w:rsid w:val="00D27B3C"/>
    <w:rsid w:val="00D27D2C"/>
    <w:rsid w:val="00D27DD8"/>
    <w:rsid w:val="00D27E3D"/>
    <w:rsid w:val="00D27E87"/>
    <w:rsid w:val="00D27E8B"/>
    <w:rsid w:val="00D27F81"/>
    <w:rsid w:val="00D27FE6"/>
    <w:rsid w:val="00D301D6"/>
    <w:rsid w:val="00D30321"/>
    <w:rsid w:val="00D30710"/>
    <w:rsid w:val="00D307F0"/>
    <w:rsid w:val="00D3087C"/>
    <w:rsid w:val="00D30B4F"/>
    <w:rsid w:val="00D30E49"/>
    <w:rsid w:val="00D30F9F"/>
    <w:rsid w:val="00D311AE"/>
    <w:rsid w:val="00D31456"/>
    <w:rsid w:val="00D3148F"/>
    <w:rsid w:val="00D314C3"/>
    <w:rsid w:val="00D31664"/>
    <w:rsid w:val="00D31685"/>
    <w:rsid w:val="00D316A1"/>
    <w:rsid w:val="00D317EA"/>
    <w:rsid w:val="00D3183C"/>
    <w:rsid w:val="00D318C9"/>
    <w:rsid w:val="00D31943"/>
    <w:rsid w:val="00D3199F"/>
    <w:rsid w:val="00D319B6"/>
    <w:rsid w:val="00D31C0E"/>
    <w:rsid w:val="00D31F02"/>
    <w:rsid w:val="00D31F14"/>
    <w:rsid w:val="00D32174"/>
    <w:rsid w:val="00D32262"/>
    <w:rsid w:val="00D32488"/>
    <w:rsid w:val="00D3266F"/>
    <w:rsid w:val="00D32697"/>
    <w:rsid w:val="00D329F1"/>
    <w:rsid w:val="00D32B38"/>
    <w:rsid w:val="00D32B4D"/>
    <w:rsid w:val="00D32B66"/>
    <w:rsid w:val="00D33084"/>
    <w:rsid w:val="00D33266"/>
    <w:rsid w:val="00D336EA"/>
    <w:rsid w:val="00D33788"/>
    <w:rsid w:val="00D33D24"/>
    <w:rsid w:val="00D33F4E"/>
    <w:rsid w:val="00D34271"/>
    <w:rsid w:val="00D343EC"/>
    <w:rsid w:val="00D34423"/>
    <w:rsid w:val="00D34498"/>
    <w:rsid w:val="00D349D7"/>
    <w:rsid w:val="00D34A58"/>
    <w:rsid w:val="00D34E08"/>
    <w:rsid w:val="00D34F2C"/>
    <w:rsid w:val="00D34F4F"/>
    <w:rsid w:val="00D35180"/>
    <w:rsid w:val="00D3527D"/>
    <w:rsid w:val="00D35581"/>
    <w:rsid w:val="00D355F0"/>
    <w:rsid w:val="00D3562A"/>
    <w:rsid w:val="00D3572D"/>
    <w:rsid w:val="00D35765"/>
    <w:rsid w:val="00D35909"/>
    <w:rsid w:val="00D35915"/>
    <w:rsid w:val="00D3591E"/>
    <w:rsid w:val="00D35BBC"/>
    <w:rsid w:val="00D35F27"/>
    <w:rsid w:val="00D3615C"/>
    <w:rsid w:val="00D36249"/>
    <w:rsid w:val="00D363B0"/>
    <w:rsid w:val="00D363F6"/>
    <w:rsid w:val="00D364EA"/>
    <w:rsid w:val="00D3666A"/>
    <w:rsid w:val="00D368E5"/>
    <w:rsid w:val="00D36B09"/>
    <w:rsid w:val="00D36BB9"/>
    <w:rsid w:val="00D36CBF"/>
    <w:rsid w:val="00D36FAB"/>
    <w:rsid w:val="00D3703C"/>
    <w:rsid w:val="00D37128"/>
    <w:rsid w:val="00D371E6"/>
    <w:rsid w:val="00D371E9"/>
    <w:rsid w:val="00D372C7"/>
    <w:rsid w:val="00D3738D"/>
    <w:rsid w:val="00D374C6"/>
    <w:rsid w:val="00D37712"/>
    <w:rsid w:val="00D37C0F"/>
    <w:rsid w:val="00D37CCD"/>
    <w:rsid w:val="00D37ED5"/>
    <w:rsid w:val="00D37F8D"/>
    <w:rsid w:val="00D400FA"/>
    <w:rsid w:val="00D403B2"/>
    <w:rsid w:val="00D40627"/>
    <w:rsid w:val="00D40688"/>
    <w:rsid w:val="00D406CE"/>
    <w:rsid w:val="00D40730"/>
    <w:rsid w:val="00D407B4"/>
    <w:rsid w:val="00D407E9"/>
    <w:rsid w:val="00D40852"/>
    <w:rsid w:val="00D408A6"/>
    <w:rsid w:val="00D40D1E"/>
    <w:rsid w:val="00D40EC5"/>
    <w:rsid w:val="00D4103F"/>
    <w:rsid w:val="00D41188"/>
    <w:rsid w:val="00D41416"/>
    <w:rsid w:val="00D41494"/>
    <w:rsid w:val="00D414B1"/>
    <w:rsid w:val="00D41526"/>
    <w:rsid w:val="00D416C8"/>
    <w:rsid w:val="00D416E7"/>
    <w:rsid w:val="00D41758"/>
    <w:rsid w:val="00D41857"/>
    <w:rsid w:val="00D418BF"/>
    <w:rsid w:val="00D418C5"/>
    <w:rsid w:val="00D41977"/>
    <w:rsid w:val="00D41A41"/>
    <w:rsid w:val="00D41AB8"/>
    <w:rsid w:val="00D41C58"/>
    <w:rsid w:val="00D420CF"/>
    <w:rsid w:val="00D42150"/>
    <w:rsid w:val="00D422AC"/>
    <w:rsid w:val="00D4243F"/>
    <w:rsid w:val="00D424F0"/>
    <w:rsid w:val="00D42AB7"/>
    <w:rsid w:val="00D42B4C"/>
    <w:rsid w:val="00D42BD7"/>
    <w:rsid w:val="00D42C5D"/>
    <w:rsid w:val="00D42DA8"/>
    <w:rsid w:val="00D42EFB"/>
    <w:rsid w:val="00D42F12"/>
    <w:rsid w:val="00D43011"/>
    <w:rsid w:val="00D4302E"/>
    <w:rsid w:val="00D43077"/>
    <w:rsid w:val="00D430BD"/>
    <w:rsid w:val="00D430D6"/>
    <w:rsid w:val="00D43311"/>
    <w:rsid w:val="00D43450"/>
    <w:rsid w:val="00D43518"/>
    <w:rsid w:val="00D4363F"/>
    <w:rsid w:val="00D4392E"/>
    <w:rsid w:val="00D43A75"/>
    <w:rsid w:val="00D43AC8"/>
    <w:rsid w:val="00D43ADC"/>
    <w:rsid w:val="00D43AEC"/>
    <w:rsid w:val="00D43B8F"/>
    <w:rsid w:val="00D43C02"/>
    <w:rsid w:val="00D43E2F"/>
    <w:rsid w:val="00D4417C"/>
    <w:rsid w:val="00D44336"/>
    <w:rsid w:val="00D44386"/>
    <w:rsid w:val="00D4442D"/>
    <w:rsid w:val="00D444DA"/>
    <w:rsid w:val="00D44545"/>
    <w:rsid w:val="00D44745"/>
    <w:rsid w:val="00D44A8B"/>
    <w:rsid w:val="00D44AEC"/>
    <w:rsid w:val="00D44F22"/>
    <w:rsid w:val="00D452A3"/>
    <w:rsid w:val="00D4550C"/>
    <w:rsid w:val="00D45617"/>
    <w:rsid w:val="00D4563A"/>
    <w:rsid w:val="00D4581D"/>
    <w:rsid w:val="00D4595A"/>
    <w:rsid w:val="00D45996"/>
    <w:rsid w:val="00D45C8D"/>
    <w:rsid w:val="00D45E0A"/>
    <w:rsid w:val="00D45E4F"/>
    <w:rsid w:val="00D46077"/>
    <w:rsid w:val="00D460BD"/>
    <w:rsid w:val="00D46301"/>
    <w:rsid w:val="00D46386"/>
    <w:rsid w:val="00D46BFE"/>
    <w:rsid w:val="00D46DA6"/>
    <w:rsid w:val="00D46E29"/>
    <w:rsid w:val="00D46F79"/>
    <w:rsid w:val="00D471A8"/>
    <w:rsid w:val="00D473BC"/>
    <w:rsid w:val="00D473D5"/>
    <w:rsid w:val="00D4769B"/>
    <w:rsid w:val="00D4772B"/>
    <w:rsid w:val="00D47A4A"/>
    <w:rsid w:val="00D47ACD"/>
    <w:rsid w:val="00D47BA2"/>
    <w:rsid w:val="00D47CEC"/>
    <w:rsid w:val="00D47E51"/>
    <w:rsid w:val="00D47E6C"/>
    <w:rsid w:val="00D47EB5"/>
    <w:rsid w:val="00D47F80"/>
    <w:rsid w:val="00D50339"/>
    <w:rsid w:val="00D50459"/>
    <w:rsid w:val="00D504AD"/>
    <w:rsid w:val="00D5056B"/>
    <w:rsid w:val="00D505B8"/>
    <w:rsid w:val="00D5073A"/>
    <w:rsid w:val="00D50767"/>
    <w:rsid w:val="00D50792"/>
    <w:rsid w:val="00D507E6"/>
    <w:rsid w:val="00D50879"/>
    <w:rsid w:val="00D50901"/>
    <w:rsid w:val="00D50B3F"/>
    <w:rsid w:val="00D50FB6"/>
    <w:rsid w:val="00D51020"/>
    <w:rsid w:val="00D511DA"/>
    <w:rsid w:val="00D511DB"/>
    <w:rsid w:val="00D51437"/>
    <w:rsid w:val="00D51530"/>
    <w:rsid w:val="00D51610"/>
    <w:rsid w:val="00D51641"/>
    <w:rsid w:val="00D516CA"/>
    <w:rsid w:val="00D519BA"/>
    <w:rsid w:val="00D51BB4"/>
    <w:rsid w:val="00D51DA1"/>
    <w:rsid w:val="00D51E5C"/>
    <w:rsid w:val="00D52067"/>
    <w:rsid w:val="00D52130"/>
    <w:rsid w:val="00D521B5"/>
    <w:rsid w:val="00D52349"/>
    <w:rsid w:val="00D525AD"/>
    <w:rsid w:val="00D52657"/>
    <w:rsid w:val="00D5281F"/>
    <w:rsid w:val="00D52892"/>
    <w:rsid w:val="00D529A9"/>
    <w:rsid w:val="00D52C3A"/>
    <w:rsid w:val="00D52EAB"/>
    <w:rsid w:val="00D530EE"/>
    <w:rsid w:val="00D5339D"/>
    <w:rsid w:val="00D5359F"/>
    <w:rsid w:val="00D536F3"/>
    <w:rsid w:val="00D53992"/>
    <w:rsid w:val="00D53AE0"/>
    <w:rsid w:val="00D53B4F"/>
    <w:rsid w:val="00D53D0E"/>
    <w:rsid w:val="00D53E61"/>
    <w:rsid w:val="00D53E6D"/>
    <w:rsid w:val="00D53EFB"/>
    <w:rsid w:val="00D5415B"/>
    <w:rsid w:val="00D54174"/>
    <w:rsid w:val="00D541DE"/>
    <w:rsid w:val="00D5446D"/>
    <w:rsid w:val="00D54481"/>
    <w:rsid w:val="00D54629"/>
    <w:rsid w:val="00D54783"/>
    <w:rsid w:val="00D54A9A"/>
    <w:rsid w:val="00D54B93"/>
    <w:rsid w:val="00D54D20"/>
    <w:rsid w:val="00D54DDD"/>
    <w:rsid w:val="00D54DEB"/>
    <w:rsid w:val="00D54E92"/>
    <w:rsid w:val="00D54F14"/>
    <w:rsid w:val="00D5534D"/>
    <w:rsid w:val="00D553B0"/>
    <w:rsid w:val="00D5561C"/>
    <w:rsid w:val="00D55797"/>
    <w:rsid w:val="00D5585E"/>
    <w:rsid w:val="00D559E8"/>
    <w:rsid w:val="00D55BF0"/>
    <w:rsid w:val="00D55E0E"/>
    <w:rsid w:val="00D56113"/>
    <w:rsid w:val="00D56164"/>
    <w:rsid w:val="00D56549"/>
    <w:rsid w:val="00D566B8"/>
    <w:rsid w:val="00D567DD"/>
    <w:rsid w:val="00D569DA"/>
    <w:rsid w:val="00D56A98"/>
    <w:rsid w:val="00D56C59"/>
    <w:rsid w:val="00D56EAC"/>
    <w:rsid w:val="00D5759D"/>
    <w:rsid w:val="00D57665"/>
    <w:rsid w:val="00D5782A"/>
    <w:rsid w:val="00D5794B"/>
    <w:rsid w:val="00D57AE5"/>
    <w:rsid w:val="00D57AEC"/>
    <w:rsid w:val="00D57B20"/>
    <w:rsid w:val="00D57B78"/>
    <w:rsid w:val="00D57C67"/>
    <w:rsid w:val="00D57C76"/>
    <w:rsid w:val="00D57D3B"/>
    <w:rsid w:val="00D57D61"/>
    <w:rsid w:val="00D6010C"/>
    <w:rsid w:val="00D60151"/>
    <w:rsid w:val="00D601D5"/>
    <w:rsid w:val="00D6021E"/>
    <w:rsid w:val="00D60290"/>
    <w:rsid w:val="00D6034D"/>
    <w:rsid w:val="00D604B7"/>
    <w:rsid w:val="00D6065A"/>
    <w:rsid w:val="00D6066C"/>
    <w:rsid w:val="00D609B5"/>
    <w:rsid w:val="00D609F1"/>
    <w:rsid w:val="00D60B73"/>
    <w:rsid w:val="00D60C0A"/>
    <w:rsid w:val="00D60C36"/>
    <w:rsid w:val="00D60C5E"/>
    <w:rsid w:val="00D60EF4"/>
    <w:rsid w:val="00D61059"/>
    <w:rsid w:val="00D6122E"/>
    <w:rsid w:val="00D61414"/>
    <w:rsid w:val="00D61810"/>
    <w:rsid w:val="00D619FA"/>
    <w:rsid w:val="00D61B6F"/>
    <w:rsid w:val="00D61BA7"/>
    <w:rsid w:val="00D61C14"/>
    <w:rsid w:val="00D61C73"/>
    <w:rsid w:val="00D61DC2"/>
    <w:rsid w:val="00D61E15"/>
    <w:rsid w:val="00D61E40"/>
    <w:rsid w:val="00D61F16"/>
    <w:rsid w:val="00D61F4D"/>
    <w:rsid w:val="00D6216D"/>
    <w:rsid w:val="00D622D8"/>
    <w:rsid w:val="00D62523"/>
    <w:rsid w:val="00D625B8"/>
    <w:rsid w:val="00D625D8"/>
    <w:rsid w:val="00D62A13"/>
    <w:rsid w:val="00D62A60"/>
    <w:rsid w:val="00D62C5F"/>
    <w:rsid w:val="00D62C78"/>
    <w:rsid w:val="00D62E88"/>
    <w:rsid w:val="00D62FD9"/>
    <w:rsid w:val="00D6330F"/>
    <w:rsid w:val="00D63460"/>
    <w:rsid w:val="00D63533"/>
    <w:rsid w:val="00D6353D"/>
    <w:rsid w:val="00D6369D"/>
    <w:rsid w:val="00D639E4"/>
    <w:rsid w:val="00D63A51"/>
    <w:rsid w:val="00D63B20"/>
    <w:rsid w:val="00D63C2A"/>
    <w:rsid w:val="00D63DAE"/>
    <w:rsid w:val="00D63EA7"/>
    <w:rsid w:val="00D64036"/>
    <w:rsid w:val="00D641B9"/>
    <w:rsid w:val="00D64235"/>
    <w:rsid w:val="00D643F4"/>
    <w:rsid w:val="00D64A44"/>
    <w:rsid w:val="00D64BA5"/>
    <w:rsid w:val="00D64C22"/>
    <w:rsid w:val="00D64CEC"/>
    <w:rsid w:val="00D64DDE"/>
    <w:rsid w:val="00D64FD4"/>
    <w:rsid w:val="00D65126"/>
    <w:rsid w:val="00D6548A"/>
    <w:rsid w:val="00D65516"/>
    <w:rsid w:val="00D65691"/>
    <w:rsid w:val="00D6581D"/>
    <w:rsid w:val="00D65DED"/>
    <w:rsid w:val="00D65E80"/>
    <w:rsid w:val="00D65EB1"/>
    <w:rsid w:val="00D65F2D"/>
    <w:rsid w:val="00D66005"/>
    <w:rsid w:val="00D661A5"/>
    <w:rsid w:val="00D66326"/>
    <w:rsid w:val="00D66433"/>
    <w:rsid w:val="00D664BD"/>
    <w:rsid w:val="00D6682B"/>
    <w:rsid w:val="00D6689E"/>
    <w:rsid w:val="00D66A57"/>
    <w:rsid w:val="00D66D5E"/>
    <w:rsid w:val="00D66D6C"/>
    <w:rsid w:val="00D66D85"/>
    <w:rsid w:val="00D66E1B"/>
    <w:rsid w:val="00D66E66"/>
    <w:rsid w:val="00D66E7D"/>
    <w:rsid w:val="00D67141"/>
    <w:rsid w:val="00D672B6"/>
    <w:rsid w:val="00D672F2"/>
    <w:rsid w:val="00D67367"/>
    <w:rsid w:val="00D673A0"/>
    <w:rsid w:val="00D6745E"/>
    <w:rsid w:val="00D67512"/>
    <w:rsid w:val="00D6766E"/>
    <w:rsid w:val="00D67844"/>
    <w:rsid w:val="00D679E1"/>
    <w:rsid w:val="00D67B24"/>
    <w:rsid w:val="00D67B5D"/>
    <w:rsid w:val="00D67DA1"/>
    <w:rsid w:val="00D67EF4"/>
    <w:rsid w:val="00D70009"/>
    <w:rsid w:val="00D700B1"/>
    <w:rsid w:val="00D70377"/>
    <w:rsid w:val="00D70398"/>
    <w:rsid w:val="00D7068D"/>
    <w:rsid w:val="00D7083B"/>
    <w:rsid w:val="00D70889"/>
    <w:rsid w:val="00D7099F"/>
    <w:rsid w:val="00D709B9"/>
    <w:rsid w:val="00D70BEF"/>
    <w:rsid w:val="00D70C6C"/>
    <w:rsid w:val="00D70CFD"/>
    <w:rsid w:val="00D70D54"/>
    <w:rsid w:val="00D70E47"/>
    <w:rsid w:val="00D711BD"/>
    <w:rsid w:val="00D715C2"/>
    <w:rsid w:val="00D71673"/>
    <w:rsid w:val="00D7178B"/>
    <w:rsid w:val="00D71826"/>
    <w:rsid w:val="00D71857"/>
    <w:rsid w:val="00D7187B"/>
    <w:rsid w:val="00D71C90"/>
    <w:rsid w:val="00D71D39"/>
    <w:rsid w:val="00D71EF0"/>
    <w:rsid w:val="00D71F51"/>
    <w:rsid w:val="00D71FAD"/>
    <w:rsid w:val="00D72201"/>
    <w:rsid w:val="00D722DF"/>
    <w:rsid w:val="00D72347"/>
    <w:rsid w:val="00D7235C"/>
    <w:rsid w:val="00D726A8"/>
    <w:rsid w:val="00D7278C"/>
    <w:rsid w:val="00D72A91"/>
    <w:rsid w:val="00D72BDB"/>
    <w:rsid w:val="00D72DF9"/>
    <w:rsid w:val="00D73265"/>
    <w:rsid w:val="00D7336D"/>
    <w:rsid w:val="00D73376"/>
    <w:rsid w:val="00D73400"/>
    <w:rsid w:val="00D734E2"/>
    <w:rsid w:val="00D7356A"/>
    <w:rsid w:val="00D7367B"/>
    <w:rsid w:val="00D738E8"/>
    <w:rsid w:val="00D7395F"/>
    <w:rsid w:val="00D73ABA"/>
    <w:rsid w:val="00D73C02"/>
    <w:rsid w:val="00D73D2B"/>
    <w:rsid w:val="00D73ECC"/>
    <w:rsid w:val="00D740AC"/>
    <w:rsid w:val="00D741BA"/>
    <w:rsid w:val="00D7427A"/>
    <w:rsid w:val="00D7432A"/>
    <w:rsid w:val="00D74553"/>
    <w:rsid w:val="00D7461F"/>
    <w:rsid w:val="00D74670"/>
    <w:rsid w:val="00D74687"/>
    <w:rsid w:val="00D74770"/>
    <w:rsid w:val="00D74A2D"/>
    <w:rsid w:val="00D74B36"/>
    <w:rsid w:val="00D750FF"/>
    <w:rsid w:val="00D7518D"/>
    <w:rsid w:val="00D75272"/>
    <w:rsid w:val="00D75620"/>
    <w:rsid w:val="00D756CC"/>
    <w:rsid w:val="00D75861"/>
    <w:rsid w:val="00D75AE4"/>
    <w:rsid w:val="00D75B39"/>
    <w:rsid w:val="00D75B85"/>
    <w:rsid w:val="00D75D4B"/>
    <w:rsid w:val="00D75DAF"/>
    <w:rsid w:val="00D75E29"/>
    <w:rsid w:val="00D75F02"/>
    <w:rsid w:val="00D75F37"/>
    <w:rsid w:val="00D75F6F"/>
    <w:rsid w:val="00D75F76"/>
    <w:rsid w:val="00D76157"/>
    <w:rsid w:val="00D761BD"/>
    <w:rsid w:val="00D765AD"/>
    <w:rsid w:val="00D765C3"/>
    <w:rsid w:val="00D768F8"/>
    <w:rsid w:val="00D7693F"/>
    <w:rsid w:val="00D76B4A"/>
    <w:rsid w:val="00D76D14"/>
    <w:rsid w:val="00D77260"/>
    <w:rsid w:val="00D77386"/>
    <w:rsid w:val="00D77674"/>
    <w:rsid w:val="00D7769D"/>
    <w:rsid w:val="00D77707"/>
    <w:rsid w:val="00D777CF"/>
    <w:rsid w:val="00D778DA"/>
    <w:rsid w:val="00D77AE9"/>
    <w:rsid w:val="00D77C61"/>
    <w:rsid w:val="00D77CF0"/>
    <w:rsid w:val="00D8024D"/>
    <w:rsid w:val="00D809F2"/>
    <w:rsid w:val="00D80A36"/>
    <w:rsid w:val="00D80A78"/>
    <w:rsid w:val="00D80B98"/>
    <w:rsid w:val="00D80C1B"/>
    <w:rsid w:val="00D80CE2"/>
    <w:rsid w:val="00D813CE"/>
    <w:rsid w:val="00D815CA"/>
    <w:rsid w:val="00D817A5"/>
    <w:rsid w:val="00D8184B"/>
    <w:rsid w:val="00D81864"/>
    <w:rsid w:val="00D81A8B"/>
    <w:rsid w:val="00D81B61"/>
    <w:rsid w:val="00D81C35"/>
    <w:rsid w:val="00D81C83"/>
    <w:rsid w:val="00D81E5E"/>
    <w:rsid w:val="00D82049"/>
    <w:rsid w:val="00D822A0"/>
    <w:rsid w:val="00D82307"/>
    <w:rsid w:val="00D823D0"/>
    <w:rsid w:val="00D825F9"/>
    <w:rsid w:val="00D8261B"/>
    <w:rsid w:val="00D82699"/>
    <w:rsid w:val="00D8288A"/>
    <w:rsid w:val="00D82CFA"/>
    <w:rsid w:val="00D82D6D"/>
    <w:rsid w:val="00D83157"/>
    <w:rsid w:val="00D833D9"/>
    <w:rsid w:val="00D834A9"/>
    <w:rsid w:val="00D834C8"/>
    <w:rsid w:val="00D83653"/>
    <w:rsid w:val="00D83749"/>
    <w:rsid w:val="00D83827"/>
    <w:rsid w:val="00D839E7"/>
    <w:rsid w:val="00D83B5E"/>
    <w:rsid w:val="00D83BD9"/>
    <w:rsid w:val="00D83C33"/>
    <w:rsid w:val="00D83D8D"/>
    <w:rsid w:val="00D83EAE"/>
    <w:rsid w:val="00D83F4D"/>
    <w:rsid w:val="00D83FD9"/>
    <w:rsid w:val="00D84191"/>
    <w:rsid w:val="00D84209"/>
    <w:rsid w:val="00D8488E"/>
    <w:rsid w:val="00D84AB4"/>
    <w:rsid w:val="00D84B0C"/>
    <w:rsid w:val="00D84BF1"/>
    <w:rsid w:val="00D8548F"/>
    <w:rsid w:val="00D854E0"/>
    <w:rsid w:val="00D855D0"/>
    <w:rsid w:val="00D856BD"/>
    <w:rsid w:val="00D85752"/>
    <w:rsid w:val="00D8597A"/>
    <w:rsid w:val="00D85C17"/>
    <w:rsid w:val="00D85CBD"/>
    <w:rsid w:val="00D85F6B"/>
    <w:rsid w:val="00D86067"/>
    <w:rsid w:val="00D86360"/>
    <w:rsid w:val="00D8640B"/>
    <w:rsid w:val="00D86496"/>
    <w:rsid w:val="00D86835"/>
    <w:rsid w:val="00D86932"/>
    <w:rsid w:val="00D8698A"/>
    <w:rsid w:val="00D86A50"/>
    <w:rsid w:val="00D86A83"/>
    <w:rsid w:val="00D86BB4"/>
    <w:rsid w:val="00D86BCC"/>
    <w:rsid w:val="00D86C0D"/>
    <w:rsid w:val="00D86ED8"/>
    <w:rsid w:val="00D87375"/>
    <w:rsid w:val="00D877AB"/>
    <w:rsid w:val="00D877B0"/>
    <w:rsid w:val="00D8787B"/>
    <w:rsid w:val="00D87A3B"/>
    <w:rsid w:val="00D87B1B"/>
    <w:rsid w:val="00D902B7"/>
    <w:rsid w:val="00D90445"/>
    <w:rsid w:val="00D904CD"/>
    <w:rsid w:val="00D9050D"/>
    <w:rsid w:val="00D905A8"/>
    <w:rsid w:val="00D906B2"/>
    <w:rsid w:val="00D9073D"/>
    <w:rsid w:val="00D9092D"/>
    <w:rsid w:val="00D90A97"/>
    <w:rsid w:val="00D90BD3"/>
    <w:rsid w:val="00D90C2C"/>
    <w:rsid w:val="00D90C41"/>
    <w:rsid w:val="00D90CAD"/>
    <w:rsid w:val="00D90D24"/>
    <w:rsid w:val="00D90E0B"/>
    <w:rsid w:val="00D90E2F"/>
    <w:rsid w:val="00D90E6D"/>
    <w:rsid w:val="00D90F03"/>
    <w:rsid w:val="00D90FC4"/>
    <w:rsid w:val="00D9104D"/>
    <w:rsid w:val="00D91077"/>
    <w:rsid w:val="00D910F7"/>
    <w:rsid w:val="00D91275"/>
    <w:rsid w:val="00D912A3"/>
    <w:rsid w:val="00D9137B"/>
    <w:rsid w:val="00D915DD"/>
    <w:rsid w:val="00D916B7"/>
    <w:rsid w:val="00D917E8"/>
    <w:rsid w:val="00D91829"/>
    <w:rsid w:val="00D91873"/>
    <w:rsid w:val="00D91BB5"/>
    <w:rsid w:val="00D91CF0"/>
    <w:rsid w:val="00D91EA6"/>
    <w:rsid w:val="00D91F1E"/>
    <w:rsid w:val="00D91FF0"/>
    <w:rsid w:val="00D92150"/>
    <w:rsid w:val="00D9259E"/>
    <w:rsid w:val="00D92668"/>
    <w:rsid w:val="00D926F7"/>
    <w:rsid w:val="00D92ABD"/>
    <w:rsid w:val="00D92EBB"/>
    <w:rsid w:val="00D92FB9"/>
    <w:rsid w:val="00D930EE"/>
    <w:rsid w:val="00D9325A"/>
    <w:rsid w:val="00D932D4"/>
    <w:rsid w:val="00D93345"/>
    <w:rsid w:val="00D9342C"/>
    <w:rsid w:val="00D93475"/>
    <w:rsid w:val="00D93534"/>
    <w:rsid w:val="00D935C2"/>
    <w:rsid w:val="00D937A2"/>
    <w:rsid w:val="00D937C8"/>
    <w:rsid w:val="00D93A7F"/>
    <w:rsid w:val="00D93B30"/>
    <w:rsid w:val="00D93D58"/>
    <w:rsid w:val="00D93DAD"/>
    <w:rsid w:val="00D93DB7"/>
    <w:rsid w:val="00D93E22"/>
    <w:rsid w:val="00D93E87"/>
    <w:rsid w:val="00D94174"/>
    <w:rsid w:val="00D94209"/>
    <w:rsid w:val="00D9420D"/>
    <w:rsid w:val="00D9439D"/>
    <w:rsid w:val="00D944CA"/>
    <w:rsid w:val="00D9455E"/>
    <w:rsid w:val="00D947D3"/>
    <w:rsid w:val="00D94845"/>
    <w:rsid w:val="00D94AD3"/>
    <w:rsid w:val="00D94C61"/>
    <w:rsid w:val="00D94DCF"/>
    <w:rsid w:val="00D94DF8"/>
    <w:rsid w:val="00D94EAE"/>
    <w:rsid w:val="00D94EBA"/>
    <w:rsid w:val="00D94ED8"/>
    <w:rsid w:val="00D94FC5"/>
    <w:rsid w:val="00D9500A"/>
    <w:rsid w:val="00D951DD"/>
    <w:rsid w:val="00D955F7"/>
    <w:rsid w:val="00D9570C"/>
    <w:rsid w:val="00D95938"/>
    <w:rsid w:val="00D959DF"/>
    <w:rsid w:val="00D95AB8"/>
    <w:rsid w:val="00D95BA0"/>
    <w:rsid w:val="00D95E58"/>
    <w:rsid w:val="00D95F27"/>
    <w:rsid w:val="00D9619F"/>
    <w:rsid w:val="00D9627B"/>
    <w:rsid w:val="00D962AA"/>
    <w:rsid w:val="00D962DC"/>
    <w:rsid w:val="00D96468"/>
    <w:rsid w:val="00D9667E"/>
    <w:rsid w:val="00D96797"/>
    <w:rsid w:val="00D96951"/>
    <w:rsid w:val="00D96B7A"/>
    <w:rsid w:val="00D96BC6"/>
    <w:rsid w:val="00D96CF6"/>
    <w:rsid w:val="00D96D0A"/>
    <w:rsid w:val="00D96E18"/>
    <w:rsid w:val="00D96E90"/>
    <w:rsid w:val="00D96E91"/>
    <w:rsid w:val="00D96EF2"/>
    <w:rsid w:val="00D96F5C"/>
    <w:rsid w:val="00D97000"/>
    <w:rsid w:val="00D9730A"/>
    <w:rsid w:val="00D97402"/>
    <w:rsid w:val="00D97480"/>
    <w:rsid w:val="00D97492"/>
    <w:rsid w:val="00D975DB"/>
    <w:rsid w:val="00D975E3"/>
    <w:rsid w:val="00D9764D"/>
    <w:rsid w:val="00D97785"/>
    <w:rsid w:val="00D978D6"/>
    <w:rsid w:val="00D97A76"/>
    <w:rsid w:val="00D97AB7"/>
    <w:rsid w:val="00D97AC6"/>
    <w:rsid w:val="00D97BE4"/>
    <w:rsid w:val="00D97D11"/>
    <w:rsid w:val="00D97D3D"/>
    <w:rsid w:val="00DA0200"/>
    <w:rsid w:val="00DA02E0"/>
    <w:rsid w:val="00DA0416"/>
    <w:rsid w:val="00DA0490"/>
    <w:rsid w:val="00DA0560"/>
    <w:rsid w:val="00DA063F"/>
    <w:rsid w:val="00DA08FE"/>
    <w:rsid w:val="00DA09AD"/>
    <w:rsid w:val="00DA0A94"/>
    <w:rsid w:val="00DA0AA5"/>
    <w:rsid w:val="00DA0BA6"/>
    <w:rsid w:val="00DA0DD9"/>
    <w:rsid w:val="00DA0E33"/>
    <w:rsid w:val="00DA0FE2"/>
    <w:rsid w:val="00DA10E9"/>
    <w:rsid w:val="00DA1113"/>
    <w:rsid w:val="00DA1295"/>
    <w:rsid w:val="00DA12C2"/>
    <w:rsid w:val="00DA13B5"/>
    <w:rsid w:val="00DA1644"/>
    <w:rsid w:val="00DA1784"/>
    <w:rsid w:val="00DA194F"/>
    <w:rsid w:val="00DA1973"/>
    <w:rsid w:val="00DA1A16"/>
    <w:rsid w:val="00DA1A81"/>
    <w:rsid w:val="00DA1B87"/>
    <w:rsid w:val="00DA1C18"/>
    <w:rsid w:val="00DA1C47"/>
    <w:rsid w:val="00DA1CC9"/>
    <w:rsid w:val="00DA1CFC"/>
    <w:rsid w:val="00DA1D73"/>
    <w:rsid w:val="00DA1DBF"/>
    <w:rsid w:val="00DA1E86"/>
    <w:rsid w:val="00DA21C9"/>
    <w:rsid w:val="00DA23CA"/>
    <w:rsid w:val="00DA24F5"/>
    <w:rsid w:val="00DA2531"/>
    <w:rsid w:val="00DA2536"/>
    <w:rsid w:val="00DA2631"/>
    <w:rsid w:val="00DA2844"/>
    <w:rsid w:val="00DA290A"/>
    <w:rsid w:val="00DA29D6"/>
    <w:rsid w:val="00DA2A37"/>
    <w:rsid w:val="00DA2C19"/>
    <w:rsid w:val="00DA2C80"/>
    <w:rsid w:val="00DA2E12"/>
    <w:rsid w:val="00DA2E83"/>
    <w:rsid w:val="00DA30D3"/>
    <w:rsid w:val="00DA3112"/>
    <w:rsid w:val="00DA31A0"/>
    <w:rsid w:val="00DA31FA"/>
    <w:rsid w:val="00DA3271"/>
    <w:rsid w:val="00DA32F2"/>
    <w:rsid w:val="00DA341D"/>
    <w:rsid w:val="00DA3554"/>
    <w:rsid w:val="00DA3567"/>
    <w:rsid w:val="00DA365A"/>
    <w:rsid w:val="00DA37BA"/>
    <w:rsid w:val="00DA38ED"/>
    <w:rsid w:val="00DA390A"/>
    <w:rsid w:val="00DA397B"/>
    <w:rsid w:val="00DA3A23"/>
    <w:rsid w:val="00DA3A4D"/>
    <w:rsid w:val="00DA3B41"/>
    <w:rsid w:val="00DA3FED"/>
    <w:rsid w:val="00DA4224"/>
    <w:rsid w:val="00DA424C"/>
    <w:rsid w:val="00DA45F2"/>
    <w:rsid w:val="00DA4B0B"/>
    <w:rsid w:val="00DA4D94"/>
    <w:rsid w:val="00DA51D2"/>
    <w:rsid w:val="00DA51DA"/>
    <w:rsid w:val="00DA565E"/>
    <w:rsid w:val="00DA586F"/>
    <w:rsid w:val="00DA5971"/>
    <w:rsid w:val="00DA5D2C"/>
    <w:rsid w:val="00DA5DE1"/>
    <w:rsid w:val="00DA5E12"/>
    <w:rsid w:val="00DA5E4C"/>
    <w:rsid w:val="00DA60BE"/>
    <w:rsid w:val="00DA6252"/>
    <w:rsid w:val="00DA6573"/>
    <w:rsid w:val="00DA6587"/>
    <w:rsid w:val="00DA664E"/>
    <w:rsid w:val="00DA66D0"/>
    <w:rsid w:val="00DA671A"/>
    <w:rsid w:val="00DA67B0"/>
    <w:rsid w:val="00DA684E"/>
    <w:rsid w:val="00DA686C"/>
    <w:rsid w:val="00DA69CC"/>
    <w:rsid w:val="00DA6A06"/>
    <w:rsid w:val="00DA6C35"/>
    <w:rsid w:val="00DA6DB9"/>
    <w:rsid w:val="00DA6EA3"/>
    <w:rsid w:val="00DA70C7"/>
    <w:rsid w:val="00DA70D3"/>
    <w:rsid w:val="00DA7394"/>
    <w:rsid w:val="00DA7538"/>
    <w:rsid w:val="00DA75C9"/>
    <w:rsid w:val="00DA781F"/>
    <w:rsid w:val="00DA7825"/>
    <w:rsid w:val="00DA790C"/>
    <w:rsid w:val="00DA7B17"/>
    <w:rsid w:val="00DA7B7C"/>
    <w:rsid w:val="00DA7B96"/>
    <w:rsid w:val="00DA7C78"/>
    <w:rsid w:val="00DA7DE2"/>
    <w:rsid w:val="00DA7DE6"/>
    <w:rsid w:val="00DA7E31"/>
    <w:rsid w:val="00DA7E53"/>
    <w:rsid w:val="00DA7F28"/>
    <w:rsid w:val="00DB044D"/>
    <w:rsid w:val="00DB06F4"/>
    <w:rsid w:val="00DB07DC"/>
    <w:rsid w:val="00DB0843"/>
    <w:rsid w:val="00DB08DA"/>
    <w:rsid w:val="00DB0A5C"/>
    <w:rsid w:val="00DB0AC4"/>
    <w:rsid w:val="00DB120A"/>
    <w:rsid w:val="00DB1438"/>
    <w:rsid w:val="00DB15D0"/>
    <w:rsid w:val="00DB1B5C"/>
    <w:rsid w:val="00DB1C54"/>
    <w:rsid w:val="00DB1F00"/>
    <w:rsid w:val="00DB2615"/>
    <w:rsid w:val="00DB282D"/>
    <w:rsid w:val="00DB28DB"/>
    <w:rsid w:val="00DB2A19"/>
    <w:rsid w:val="00DB2C5D"/>
    <w:rsid w:val="00DB2C89"/>
    <w:rsid w:val="00DB2CA7"/>
    <w:rsid w:val="00DB2CC2"/>
    <w:rsid w:val="00DB2DF4"/>
    <w:rsid w:val="00DB31EB"/>
    <w:rsid w:val="00DB322B"/>
    <w:rsid w:val="00DB3258"/>
    <w:rsid w:val="00DB34D9"/>
    <w:rsid w:val="00DB366A"/>
    <w:rsid w:val="00DB3715"/>
    <w:rsid w:val="00DB3819"/>
    <w:rsid w:val="00DB3914"/>
    <w:rsid w:val="00DB3922"/>
    <w:rsid w:val="00DB3A29"/>
    <w:rsid w:val="00DB3A8A"/>
    <w:rsid w:val="00DB3B4C"/>
    <w:rsid w:val="00DB41AB"/>
    <w:rsid w:val="00DB4223"/>
    <w:rsid w:val="00DB42F6"/>
    <w:rsid w:val="00DB451E"/>
    <w:rsid w:val="00DB463F"/>
    <w:rsid w:val="00DB478A"/>
    <w:rsid w:val="00DB49DB"/>
    <w:rsid w:val="00DB4D17"/>
    <w:rsid w:val="00DB4F78"/>
    <w:rsid w:val="00DB507E"/>
    <w:rsid w:val="00DB5101"/>
    <w:rsid w:val="00DB5380"/>
    <w:rsid w:val="00DB5472"/>
    <w:rsid w:val="00DB555E"/>
    <w:rsid w:val="00DB5E47"/>
    <w:rsid w:val="00DB5E82"/>
    <w:rsid w:val="00DB5E8A"/>
    <w:rsid w:val="00DB5F13"/>
    <w:rsid w:val="00DB5F7C"/>
    <w:rsid w:val="00DB6003"/>
    <w:rsid w:val="00DB61CE"/>
    <w:rsid w:val="00DB622B"/>
    <w:rsid w:val="00DB6363"/>
    <w:rsid w:val="00DB6695"/>
    <w:rsid w:val="00DB6944"/>
    <w:rsid w:val="00DB697A"/>
    <w:rsid w:val="00DB6CD4"/>
    <w:rsid w:val="00DB6F1E"/>
    <w:rsid w:val="00DB71B7"/>
    <w:rsid w:val="00DB7266"/>
    <w:rsid w:val="00DB7669"/>
    <w:rsid w:val="00DB76AE"/>
    <w:rsid w:val="00DB7793"/>
    <w:rsid w:val="00DB781C"/>
    <w:rsid w:val="00DB7A3C"/>
    <w:rsid w:val="00DB7CBF"/>
    <w:rsid w:val="00DB7EBB"/>
    <w:rsid w:val="00DB7F09"/>
    <w:rsid w:val="00DC00E8"/>
    <w:rsid w:val="00DC029A"/>
    <w:rsid w:val="00DC054B"/>
    <w:rsid w:val="00DC05C1"/>
    <w:rsid w:val="00DC06F8"/>
    <w:rsid w:val="00DC0756"/>
    <w:rsid w:val="00DC0A02"/>
    <w:rsid w:val="00DC0B98"/>
    <w:rsid w:val="00DC0EFA"/>
    <w:rsid w:val="00DC0FD8"/>
    <w:rsid w:val="00DC110D"/>
    <w:rsid w:val="00DC12F3"/>
    <w:rsid w:val="00DC1494"/>
    <w:rsid w:val="00DC17BA"/>
    <w:rsid w:val="00DC17E5"/>
    <w:rsid w:val="00DC1872"/>
    <w:rsid w:val="00DC18BB"/>
    <w:rsid w:val="00DC19E0"/>
    <w:rsid w:val="00DC1A94"/>
    <w:rsid w:val="00DC1AD0"/>
    <w:rsid w:val="00DC1BE1"/>
    <w:rsid w:val="00DC1C56"/>
    <w:rsid w:val="00DC1E2C"/>
    <w:rsid w:val="00DC1E68"/>
    <w:rsid w:val="00DC1EDD"/>
    <w:rsid w:val="00DC1FFF"/>
    <w:rsid w:val="00DC204B"/>
    <w:rsid w:val="00DC20E3"/>
    <w:rsid w:val="00DC217A"/>
    <w:rsid w:val="00DC2199"/>
    <w:rsid w:val="00DC225B"/>
    <w:rsid w:val="00DC25C3"/>
    <w:rsid w:val="00DC26BD"/>
    <w:rsid w:val="00DC277A"/>
    <w:rsid w:val="00DC2A84"/>
    <w:rsid w:val="00DC2C93"/>
    <w:rsid w:val="00DC2FBF"/>
    <w:rsid w:val="00DC3108"/>
    <w:rsid w:val="00DC315B"/>
    <w:rsid w:val="00DC31C0"/>
    <w:rsid w:val="00DC354C"/>
    <w:rsid w:val="00DC3558"/>
    <w:rsid w:val="00DC3AC6"/>
    <w:rsid w:val="00DC3B51"/>
    <w:rsid w:val="00DC3B71"/>
    <w:rsid w:val="00DC3CB3"/>
    <w:rsid w:val="00DC3D83"/>
    <w:rsid w:val="00DC3E8F"/>
    <w:rsid w:val="00DC4068"/>
    <w:rsid w:val="00DC40CD"/>
    <w:rsid w:val="00DC44F6"/>
    <w:rsid w:val="00DC452B"/>
    <w:rsid w:val="00DC45C6"/>
    <w:rsid w:val="00DC4622"/>
    <w:rsid w:val="00DC4665"/>
    <w:rsid w:val="00DC4756"/>
    <w:rsid w:val="00DC4B54"/>
    <w:rsid w:val="00DC4B75"/>
    <w:rsid w:val="00DC4C95"/>
    <w:rsid w:val="00DC4EB4"/>
    <w:rsid w:val="00DC5600"/>
    <w:rsid w:val="00DC56A7"/>
    <w:rsid w:val="00DC5863"/>
    <w:rsid w:val="00DC5BC0"/>
    <w:rsid w:val="00DC6169"/>
    <w:rsid w:val="00DC62FC"/>
    <w:rsid w:val="00DC6379"/>
    <w:rsid w:val="00DC659B"/>
    <w:rsid w:val="00DC65A7"/>
    <w:rsid w:val="00DC6760"/>
    <w:rsid w:val="00DC67EB"/>
    <w:rsid w:val="00DC693D"/>
    <w:rsid w:val="00DC6AAD"/>
    <w:rsid w:val="00DC6C9C"/>
    <w:rsid w:val="00DC6CE9"/>
    <w:rsid w:val="00DC6E0E"/>
    <w:rsid w:val="00DC6F91"/>
    <w:rsid w:val="00DC7092"/>
    <w:rsid w:val="00DC75F2"/>
    <w:rsid w:val="00DC7652"/>
    <w:rsid w:val="00DC772D"/>
    <w:rsid w:val="00DC78CB"/>
    <w:rsid w:val="00DC791B"/>
    <w:rsid w:val="00DC79B3"/>
    <w:rsid w:val="00DC7AD1"/>
    <w:rsid w:val="00DC7AE0"/>
    <w:rsid w:val="00DC7C85"/>
    <w:rsid w:val="00DC7F08"/>
    <w:rsid w:val="00DC7F14"/>
    <w:rsid w:val="00DD00E8"/>
    <w:rsid w:val="00DD0362"/>
    <w:rsid w:val="00DD04B5"/>
    <w:rsid w:val="00DD0673"/>
    <w:rsid w:val="00DD0884"/>
    <w:rsid w:val="00DD089D"/>
    <w:rsid w:val="00DD0936"/>
    <w:rsid w:val="00DD0B31"/>
    <w:rsid w:val="00DD0CCA"/>
    <w:rsid w:val="00DD0DC2"/>
    <w:rsid w:val="00DD0F4B"/>
    <w:rsid w:val="00DD10A2"/>
    <w:rsid w:val="00DD116A"/>
    <w:rsid w:val="00DD1346"/>
    <w:rsid w:val="00DD191F"/>
    <w:rsid w:val="00DD1936"/>
    <w:rsid w:val="00DD1939"/>
    <w:rsid w:val="00DD19BC"/>
    <w:rsid w:val="00DD1BAE"/>
    <w:rsid w:val="00DD1C65"/>
    <w:rsid w:val="00DD1C6E"/>
    <w:rsid w:val="00DD1CCC"/>
    <w:rsid w:val="00DD1DEA"/>
    <w:rsid w:val="00DD1E1B"/>
    <w:rsid w:val="00DD1ECC"/>
    <w:rsid w:val="00DD1F20"/>
    <w:rsid w:val="00DD21EF"/>
    <w:rsid w:val="00DD22C9"/>
    <w:rsid w:val="00DD23CD"/>
    <w:rsid w:val="00DD279A"/>
    <w:rsid w:val="00DD284F"/>
    <w:rsid w:val="00DD2868"/>
    <w:rsid w:val="00DD2873"/>
    <w:rsid w:val="00DD29C0"/>
    <w:rsid w:val="00DD29F8"/>
    <w:rsid w:val="00DD2EA2"/>
    <w:rsid w:val="00DD2ED8"/>
    <w:rsid w:val="00DD2F6C"/>
    <w:rsid w:val="00DD31E9"/>
    <w:rsid w:val="00DD32BD"/>
    <w:rsid w:val="00DD32F9"/>
    <w:rsid w:val="00DD32FA"/>
    <w:rsid w:val="00DD356B"/>
    <w:rsid w:val="00DD35EC"/>
    <w:rsid w:val="00DD373C"/>
    <w:rsid w:val="00DD389A"/>
    <w:rsid w:val="00DD38B5"/>
    <w:rsid w:val="00DD3973"/>
    <w:rsid w:val="00DD3A3A"/>
    <w:rsid w:val="00DD3BEF"/>
    <w:rsid w:val="00DD3C1B"/>
    <w:rsid w:val="00DD3C9A"/>
    <w:rsid w:val="00DD3DFA"/>
    <w:rsid w:val="00DD3E20"/>
    <w:rsid w:val="00DD4143"/>
    <w:rsid w:val="00DD4264"/>
    <w:rsid w:val="00DD4443"/>
    <w:rsid w:val="00DD4494"/>
    <w:rsid w:val="00DD4959"/>
    <w:rsid w:val="00DD4BBF"/>
    <w:rsid w:val="00DD4FC4"/>
    <w:rsid w:val="00DD533D"/>
    <w:rsid w:val="00DD534D"/>
    <w:rsid w:val="00DD540E"/>
    <w:rsid w:val="00DD554F"/>
    <w:rsid w:val="00DD55E4"/>
    <w:rsid w:val="00DD56DF"/>
    <w:rsid w:val="00DD5D31"/>
    <w:rsid w:val="00DD5D87"/>
    <w:rsid w:val="00DD6049"/>
    <w:rsid w:val="00DD6153"/>
    <w:rsid w:val="00DD62A5"/>
    <w:rsid w:val="00DD6346"/>
    <w:rsid w:val="00DD6488"/>
    <w:rsid w:val="00DD66EE"/>
    <w:rsid w:val="00DD6B37"/>
    <w:rsid w:val="00DD6C36"/>
    <w:rsid w:val="00DD6D2B"/>
    <w:rsid w:val="00DD6FDA"/>
    <w:rsid w:val="00DD7059"/>
    <w:rsid w:val="00DD73F9"/>
    <w:rsid w:val="00DD7445"/>
    <w:rsid w:val="00DD7513"/>
    <w:rsid w:val="00DD779A"/>
    <w:rsid w:val="00DD7812"/>
    <w:rsid w:val="00DD7908"/>
    <w:rsid w:val="00DD7979"/>
    <w:rsid w:val="00DD7AEB"/>
    <w:rsid w:val="00DD7CB8"/>
    <w:rsid w:val="00DD7CD4"/>
    <w:rsid w:val="00DD7CEF"/>
    <w:rsid w:val="00DD7EE2"/>
    <w:rsid w:val="00DE0105"/>
    <w:rsid w:val="00DE01F3"/>
    <w:rsid w:val="00DE042E"/>
    <w:rsid w:val="00DE07B7"/>
    <w:rsid w:val="00DE080C"/>
    <w:rsid w:val="00DE097D"/>
    <w:rsid w:val="00DE0C87"/>
    <w:rsid w:val="00DE0CDC"/>
    <w:rsid w:val="00DE0D10"/>
    <w:rsid w:val="00DE0D99"/>
    <w:rsid w:val="00DE0EC9"/>
    <w:rsid w:val="00DE0ED7"/>
    <w:rsid w:val="00DE108C"/>
    <w:rsid w:val="00DE1113"/>
    <w:rsid w:val="00DE1529"/>
    <w:rsid w:val="00DE1543"/>
    <w:rsid w:val="00DE16D0"/>
    <w:rsid w:val="00DE17DE"/>
    <w:rsid w:val="00DE17E6"/>
    <w:rsid w:val="00DE1AB0"/>
    <w:rsid w:val="00DE1D47"/>
    <w:rsid w:val="00DE20C6"/>
    <w:rsid w:val="00DE2147"/>
    <w:rsid w:val="00DE2465"/>
    <w:rsid w:val="00DE2763"/>
    <w:rsid w:val="00DE2AB6"/>
    <w:rsid w:val="00DE2B3D"/>
    <w:rsid w:val="00DE2CB5"/>
    <w:rsid w:val="00DE2E52"/>
    <w:rsid w:val="00DE30B4"/>
    <w:rsid w:val="00DE311C"/>
    <w:rsid w:val="00DE3218"/>
    <w:rsid w:val="00DE3734"/>
    <w:rsid w:val="00DE3738"/>
    <w:rsid w:val="00DE3958"/>
    <w:rsid w:val="00DE3A53"/>
    <w:rsid w:val="00DE3C77"/>
    <w:rsid w:val="00DE3D75"/>
    <w:rsid w:val="00DE3DF2"/>
    <w:rsid w:val="00DE3E7D"/>
    <w:rsid w:val="00DE40A4"/>
    <w:rsid w:val="00DE41F2"/>
    <w:rsid w:val="00DE422F"/>
    <w:rsid w:val="00DE426A"/>
    <w:rsid w:val="00DE42E6"/>
    <w:rsid w:val="00DE4341"/>
    <w:rsid w:val="00DE4476"/>
    <w:rsid w:val="00DE4503"/>
    <w:rsid w:val="00DE4573"/>
    <w:rsid w:val="00DE4601"/>
    <w:rsid w:val="00DE4A35"/>
    <w:rsid w:val="00DE4AF8"/>
    <w:rsid w:val="00DE4BA0"/>
    <w:rsid w:val="00DE4C0C"/>
    <w:rsid w:val="00DE4D16"/>
    <w:rsid w:val="00DE4DCC"/>
    <w:rsid w:val="00DE4DF7"/>
    <w:rsid w:val="00DE4E19"/>
    <w:rsid w:val="00DE4E59"/>
    <w:rsid w:val="00DE4FD7"/>
    <w:rsid w:val="00DE5073"/>
    <w:rsid w:val="00DE51EB"/>
    <w:rsid w:val="00DE527E"/>
    <w:rsid w:val="00DE54DB"/>
    <w:rsid w:val="00DE5630"/>
    <w:rsid w:val="00DE569B"/>
    <w:rsid w:val="00DE5A6B"/>
    <w:rsid w:val="00DE5AF9"/>
    <w:rsid w:val="00DE5BB9"/>
    <w:rsid w:val="00DE5E15"/>
    <w:rsid w:val="00DE5F47"/>
    <w:rsid w:val="00DE6068"/>
    <w:rsid w:val="00DE6206"/>
    <w:rsid w:val="00DE6511"/>
    <w:rsid w:val="00DE658B"/>
    <w:rsid w:val="00DE65B9"/>
    <w:rsid w:val="00DE6716"/>
    <w:rsid w:val="00DE6AB0"/>
    <w:rsid w:val="00DE6D5F"/>
    <w:rsid w:val="00DE6D64"/>
    <w:rsid w:val="00DE6DF4"/>
    <w:rsid w:val="00DE6F50"/>
    <w:rsid w:val="00DE70E5"/>
    <w:rsid w:val="00DE70F1"/>
    <w:rsid w:val="00DE731D"/>
    <w:rsid w:val="00DE74BA"/>
    <w:rsid w:val="00DE758D"/>
    <w:rsid w:val="00DE7A95"/>
    <w:rsid w:val="00DE7B11"/>
    <w:rsid w:val="00DE7CB9"/>
    <w:rsid w:val="00DF0014"/>
    <w:rsid w:val="00DF009D"/>
    <w:rsid w:val="00DF049E"/>
    <w:rsid w:val="00DF04BE"/>
    <w:rsid w:val="00DF050A"/>
    <w:rsid w:val="00DF057D"/>
    <w:rsid w:val="00DF05C8"/>
    <w:rsid w:val="00DF0670"/>
    <w:rsid w:val="00DF0CCC"/>
    <w:rsid w:val="00DF0F06"/>
    <w:rsid w:val="00DF0F2A"/>
    <w:rsid w:val="00DF1205"/>
    <w:rsid w:val="00DF12E7"/>
    <w:rsid w:val="00DF1342"/>
    <w:rsid w:val="00DF137C"/>
    <w:rsid w:val="00DF1544"/>
    <w:rsid w:val="00DF157B"/>
    <w:rsid w:val="00DF161E"/>
    <w:rsid w:val="00DF171F"/>
    <w:rsid w:val="00DF1962"/>
    <w:rsid w:val="00DF1C35"/>
    <w:rsid w:val="00DF1F1D"/>
    <w:rsid w:val="00DF207F"/>
    <w:rsid w:val="00DF2310"/>
    <w:rsid w:val="00DF237C"/>
    <w:rsid w:val="00DF2400"/>
    <w:rsid w:val="00DF2459"/>
    <w:rsid w:val="00DF2A3D"/>
    <w:rsid w:val="00DF2B96"/>
    <w:rsid w:val="00DF2C89"/>
    <w:rsid w:val="00DF2F0A"/>
    <w:rsid w:val="00DF2F4D"/>
    <w:rsid w:val="00DF2F89"/>
    <w:rsid w:val="00DF2FB9"/>
    <w:rsid w:val="00DF3156"/>
    <w:rsid w:val="00DF3299"/>
    <w:rsid w:val="00DF32E2"/>
    <w:rsid w:val="00DF3440"/>
    <w:rsid w:val="00DF3538"/>
    <w:rsid w:val="00DF3823"/>
    <w:rsid w:val="00DF38D0"/>
    <w:rsid w:val="00DF3AC3"/>
    <w:rsid w:val="00DF3B4E"/>
    <w:rsid w:val="00DF3D5F"/>
    <w:rsid w:val="00DF4094"/>
    <w:rsid w:val="00DF412D"/>
    <w:rsid w:val="00DF4271"/>
    <w:rsid w:val="00DF42A0"/>
    <w:rsid w:val="00DF450A"/>
    <w:rsid w:val="00DF4928"/>
    <w:rsid w:val="00DF49AA"/>
    <w:rsid w:val="00DF4C06"/>
    <w:rsid w:val="00DF4E47"/>
    <w:rsid w:val="00DF4E64"/>
    <w:rsid w:val="00DF4F4B"/>
    <w:rsid w:val="00DF506E"/>
    <w:rsid w:val="00DF50B2"/>
    <w:rsid w:val="00DF5151"/>
    <w:rsid w:val="00DF519E"/>
    <w:rsid w:val="00DF5352"/>
    <w:rsid w:val="00DF5697"/>
    <w:rsid w:val="00DF5833"/>
    <w:rsid w:val="00DF589E"/>
    <w:rsid w:val="00DF58E0"/>
    <w:rsid w:val="00DF5910"/>
    <w:rsid w:val="00DF59EB"/>
    <w:rsid w:val="00DF5AC3"/>
    <w:rsid w:val="00DF5E39"/>
    <w:rsid w:val="00DF5FBD"/>
    <w:rsid w:val="00DF6107"/>
    <w:rsid w:val="00DF611C"/>
    <w:rsid w:val="00DF6293"/>
    <w:rsid w:val="00DF62EB"/>
    <w:rsid w:val="00DF6729"/>
    <w:rsid w:val="00DF693A"/>
    <w:rsid w:val="00DF6A45"/>
    <w:rsid w:val="00DF6B54"/>
    <w:rsid w:val="00DF6B7C"/>
    <w:rsid w:val="00DF6C05"/>
    <w:rsid w:val="00DF6DE3"/>
    <w:rsid w:val="00DF6E44"/>
    <w:rsid w:val="00DF6E63"/>
    <w:rsid w:val="00DF6E83"/>
    <w:rsid w:val="00DF6F61"/>
    <w:rsid w:val="00DF7058"/>
    <w:rsid w:val="00DF71A6"/>
    <w:rsid w:val="00DF780A"/>
    <w:rsid w:val="00DF7A53"/>
    <w:rsid w:val="00DF7B49"/>
    <w:rsid w:val="00E00211"/>
    <w:rsid w:val="00E00447"/>
    <w:rsid w:val="00E00489"/>
    <w:rsid w:val="00E005C4"/>
    <w:rsid w:val="00E006DB"/>
    <w:rsid w:val="00E0070C"/>
    <w:rsid w:val="00E00926"/>
    <w:rsid w:val="00E00AE8"/>
    <w:rsid w:val="00E00DE2"/>
    <w:rsid w:val="00E0119D"/>
    <w:rsid w:val="00E01230"/>
    <w:rsid w:val="00E013CE"/>
    <w:rsid w:val="00E0151B"/>
    <w:rsid w:val="00E0159B"/>
    <w:rsid w:val="00E0168D"/>
    <w:rsid w:val="00E0176A"/>
    <w:rsid w:val="00E01D24"/>
    <w:rsid w:val="00E01DB5"/>
    <w:rsid w:val="00E02019"/>
    <w:rsid w:val="00E02146"/>
    <w:rsid w:val="00E022F9"/>
    <w:rsid w:val="00E023C5"/>
    <w:rsid w:val="00E02454"/>
    <w:rsid w:val="00E024BA"/>
    <w:rsid w:val="00E025A2"/>
    <w:rsid w:val="00E02646"/>
    <w:rsid w:val="00E026FC"/>
    <w:rsid w:val="00E0273C"/>
    <w:rsid w:val="00E028B7"/>
    <w:rsid w:val="00E02B0A"/>
    <w:rsid w:val="00E02F0F"/>
    <w:rsid w:val="00E02F22"/>
    <w:rsid w:val="00E02FC6"/>
    <w:rsid w:val="00E03184"/>
    <w:rsid w:val="00E0321D"/>
    <w:rsid w:val="00E03311"/>
    <w:rsid w:val="00E03339"/>
    <w:rsid w:val="00E0345A"/>
    <w:rsid w:val="00E0362D"/>
    <w:rsid w:val="00E03633"/>
    <w:rsid w:val="00E036F8"/>
    <w:rsid w:val="00E03780"/>
    <w:rsid w:val="00E03985"/>
    <w:rsid w:val="00E03A0E"/>
    <w:rsid w:val="00E03B3D"/>
    <w:rsid w:val="00E03B70"/>
    <w:rsid w:val="00E03D7C"/>
    <w:rsid w:val="00E03DDA"/>
    <w:rsid w:val="00E0409F"/>
    <w:rsid w:val="00E04468"/>
    <w:rsid w:val="00E044F4"/>
    <w:rsid w:val="00E046BB"/>
    <w:rsid w:val="00E04875"/>
    <w:rsid w:val="00E048D6"/>
    <w:rsid w:val="00E04AAB"/>
    <w:rsid w:val="00E04B00"/>
    <w:rsid w:val="00E04C61"/>
    <w:rsid w:val="00E04DF7"/>
    <w:rsid w:val="00E053AE"/>
    <w:rsid w:val="00E05430"/>
    <w:rsid w:val="00E0549B"/>
    <w:rsid w:val="00E05618"/>
    <w:rsid w:val="00E0562B"/>
    <w:rsid w:val="00E05ACA"/>
    <w:rsid w:val="00E05F74"/>
    <w:rsid w:val="00E06272"/>
    <w:rsid w:val="00E065FF"/>
    <w:rsid w:val="00E067F2"/>
    <w:rsid w:val="00E06811"/>
    <w:rsid w:val="00E06941"/>
    <w:rsid w:val="00E06AD6"/>
    <w:rsid w:val="00E06B75"/>
    <w:rsid w:val="00E06C79"/>
    <w:rsid w:val="00E06D21"/>
    <w:rsid w:val="00E06E3F"/>
    <w:rsid w:val="00E06F2A"/>
    <w:rsid w:val="00E06FE8"/>
    <w:rsid w:val="00E0709C"/>
    <w:rsid w:val="00E073CF"/>
    <w:rsid w:val="00E07438"/>
    <w:rsid w:val="00E07464"/>
    <w:rsid w:val="00E07489"/>
    <w:rsid w:val="00E07495"/>
    <w:rsid w:val="00E0749E"/>
    <w:rsid w:val="00E074AC"/>
    <w:rsid w:val="00E0758B"/>
    <w:rsid w:val="00E078C8"/>
    <w:rsid w:val="00E079B4"/>
    <w:rsid w:val="00E07E5C"/>
    <w:rsid w:val="00E07EA0"/>
    <w:rsid w:val="00E1002D"/>
    <w:rsid w:val="00E101B3"/>
    <w:rsid w:val="00E101C6"/>
    <w:rsid w:val="00E1026D"/>
    <w:rsid w:val="00E10534"/>
    <w:rsid w:val="00E106F6"/>
    <w:rsid w:val="00E1078C"/>
    <w:rsid w:val="00E10899"/>
    <w:rsid w:val="00E10ABA"/>
    <w:rsid w:val="00E10BA3"/>
    <w:rsid w:val="00E10F25"/>
    <w:rsid w:val="00E10F44"/>
    <w:rsid w:val="00E1108A"/>
    <w:rsid w:val="00E111A7"/>
    <w:rsid w:val="00E11319"/>
    <w:rsid w:val="00E11440"/>
    <w:rsid w:val="00E1148E"/>
    <w:rsid w:val="00E11633"/>
    <w:rsid w:val="00E117E6"/>
    <w:rsid w:val="00E11833"/>
    <w:rsid w:val="00E118B5"/>
    <w:rsid w:val="00E11A09"/>
    <w:rsid w:val="00E11A98"/>
    <w:rsid w:val="00E11B19"/>
    <w:rsid w:val="00E11C3F"/>
    <w:rsid w:val="00E11FEB"/>
    <w:rsid w:val="00E1204F"/>
    <w:rsid w:val="00E12215"/>
    <w:rsid w:val="00E1235A"/>
    <w:rsid w:val="00E123C0"/>
    <w:rsid w:val="00E12479"/>
    <w:rsid w:val="00E126A6"/>
    <w:rsid w:val="00E127DD"/>
    <w:rsid w:val="00E12DF4"/>
    <w:rsid w:val="00E13004"/>
    <w:rsid w:val="00E13350"/>
    <w:rsid w:val="00E13436"/>
    <w:rsid w:val="00E13481"/>
    <w:rsid w:val="00E13491"/>
    <w:rsid w:val="00E13833"/>
    <w:rsid w:val="00E13A07"/>
    <w:rsid w:val="00E13ACB"/>
    <w:rsid w:val="00E13B1A"/>
    <w:rsid w:val="00E14192"/>
    <w:rsid w:val="00E141ED"/>
    <w:rsid w:val="00E1444D"/>
    <w:rsid w:val="00E1446A"/>
    <w:rsid w:val="00E145DB"/>
    <w:rsid w:val="00E1462A"/>
    <w:rsid w:val="00E14696"/>
    <w:rsid w:val="00E14AD6"/>
    <w:rsid w:val="00E14B8C"/>
    <w:rsid w:val="00E14C46"/>
    <w:rsid w:val="00E1534E"/>
    <w:rsid w:val="00E153A4"/>
    <w:rsid w:val="00E1544E"/>
    <w:rsid w:val="00E1558D"/>
    <w:rsid w:val="00E15EDF"/>
    <w:rsid w:val="00E15F68"/>
    <w:rsid w:val="00E1635A"/>
    <w:rsid w:val="00E16361"/>
    <w:rsid w:val="00E16476"/>
    <w:rsid w:val="00E166A5"/>
    <w:rsid w:val="00E166C7"/>
    <w:rsid w:val="00E168A9"/>
    <w:rsid w:val="00E168E3"/>
    <w:rsid w:val="00E16BE9"/>
    <w:rsid w:val="00E16E5A"/>
    <w:rsid w:val="00E16E5C"/>
    <w:rsid w:val="00E171D3"/>
    <w:rsid w:val="00E174C2"/>
    <w:rsid w:val="00E17523"/>
    <w:rsid w:val="00E1756A"/>
    <w:rsid w:val="00E175BB"/>
    <w:rsid w:val="00E17857"/>
    <w:rsid w:val="00E178A6"/>
    <w:rsid w:val="00E17969"/>
    <w:rsid w:val="00E179ED"/>
    <w:rsid w:val="00E17B2E"/>
    <w:rsid w:val="00E17BC0"/>
    <w:rsid w:val="00E17CB7"/>
    <w:rsid w:val="00E17DCD"/>
    <w:rsid w:val="00E17EA9"/>
    <w:rsid w:val="00E17FA0"/>
    <w:rsid w:val="00E2040C"/>
    <w:rsid w:val="00E20858"/>
    <w:rsid w:val="00E20875"/>
    <w:rsid w:val="00E208C3"/>
    <w:rsid w:val="00E20A3A"/>
    <w:rsid w:val="00E20C5C"/>
    <w:rsid w:val="00E20CCD"/>
    <w:rsid w:val="00E20DAB"/>
    <w:rsid w:val="00E2100F"/>
    <w:rsid w:val="00E210BB"/>
    <w:rsid w:val="00E213EA"/>
    <w:rsid w:val="00E21581"/>
    <w:rsid w:val="00E216A1"/>
    <w:rsid w:val="00E217CA"/>
    <w:rsid w:val="00E218E4"/>
    <w:rsid w:val="00E21AB7"/>
    <w:rsid w:val="00E21B84"/>
    <w:rsid w:val="00E21DBB"/>
    <w:rsid w:val="00E22204"/>
    <w:rsid w:val="00E225E9"/>
    <w:rsid w:val="00E226F3"/>
    <w:rsid w:val="00E228DC"/>
    <w:rsid w:val="00E22C48"/>
    <w:rsid w:val="00E22CFE"/>
    <w:rsid w:val="00E22D51"/>
    <w:rsid w:val="00E22E9C"/>
    <w:rsid w:val="00E232B0"/>
    <w:rsid w:val="00E234BD"/>
    <w:rsid w:val="00E234F7"/>
    <w:rsid w:val="00E2358C"/>
    <w:rsid w:val="00E23899"/>
    <w:rsid w:val="00E23B4E"/>
    <w:rsid w:val="00E23EE8"/>
    <w:rsid w:val="00E23FAE"/>
    <w:rsid w:val="00E2405D"/>
    <w:rsid w:val="00E24082"/>
    <w:rsid w:val="00E240E9"/>
    <w:rsid w:val="00E241DC"/>
    <w:rsid w:val="00E24242"/>
    <w:rsid w:val="00E24253"/>
    <w:rsid w:val="00E2429E"/>
    <w:rsid w:val="00E242BA"/>
    <w:rsid w:val="00E2438B"/>
    <w:rsid w:val="00E243E9"/>
    <w:rsid w:val="00E2442D"/>
    <w:rsid w:val="00E244A2"/>
    <w:rsid w:val="00E247F9"/>
    <w:rsid w:val="00E2484F"/>
    <w:rsid w:val="00E24BD8"/>
    <w:rsid w:val="00E24BD9"/>
    <w:rsid w:val="00E24D07"/>
    <w:rsid w:val="00E24F79"/>
    <w:rsid w:val="00E2509C"/>
    <w:rsid w:val="00E25115"/>
    <w:rsid w:val="00E25264"/>
    <w:rsid w:val="00E252EC"/>
    <w:rsid w:val="00E25400"/>
    <w:rsid w:val="00E2543E"/>
    <w:rsid w:val="00E254A0"/>
    <w:rsid w:val="00E25739"/>
    <w:rsid w:val="00E25896"/>
    <w:rsid w:val="00E258AB"/>
    <w:rsid w:val="00E25B4C"/>
    <w:rsid w:val="00E25C7C"/>
    <w:rsid w:val="00E25CDE"/>
    <w:rsid w:val="00E25D05"/>
    <w:rsid w:val="00E25D75"/>
    <w:rsid w:val="00E25FD1"/>
    <w:rsid w:val="00E26246"/>
    <w:rsid w:val="00E26302"/>
    <w:rsid w:val="00E2638B"/>
    <w:rsid w:val="00E264B5"/>
    <w:rsid w:val="00E26507"/>
    <w:rsid w:val="00E2659C"/>
    <w:rsid w:val="00E266B3"/>
    <w:rsid w:val="00E2687F"/>
    <w:rsid w:val="00E26909"/>
    <w:rsid w:val="00E2694B"/>
    <w:rsid w:val="00E26950"/>
    <w:rsid w:val="00E26A79"/>
    <w:rsid w:val="00E26C2B"/>
    <w:rsid w:val="00E26C39"/>
    <w:rsid w:val="00E26D00"/>
    <w:rsid w:val="00E26D3D"/>
    <w:rsid w:val="00E26F2E"/>
    <w:rsid w:val="00E2707D"/>
    <w:rsid w:val="00E270A9"/>
    <w:rsid w:val="00E2729C"/>
    <w:rsid w:val="00E272E0"/>
    <w:rsid w:val="00E276E1"/>
    <w:rsid w:val="00E279FC"/>
    <w:rsid w:val="00E27ACA"/>
    <w:rsid w:val="00E27B28"/>
    <w:rsid w:val="00E27B31"/>
    <w:rsid w:val="00E27F87"/>
    <w:rsid w:val="00E30006"/>
    <w:rsid w:val="00E3000D"/>
    <w:rsid w:val="00E301D4"/>
    <w:rsid w:val="00E30542"/>
    <w:rsid w:val="00E30788"/>
    <w:rsid w:val="00E30A27"/>
    <w:rsid w:val="00E30E68"/>
    <w:rsid w:val="00E30E8C"/>
    <w:rsid w:val="00E3115E"/>
    <w:rsid w:val="00E318AD"/>
    <w:rsid w:val="00E31CAA"/>
    <w:rsid w:val="00E31DDA"/>
    <w:rsid w:val="00E31EFD"/>
    <w:rsid w:val="00E32058"/>
    <w:rsid w:val="00E324DD"/>
    <w:rsid w:val="00E3270E"/>
    <w:rsid w:val="00E327F6"/>
    <w:rsid w:val="00E32940"/>
    <w:rsid w:val="00E3296E"/>
    <w:rsid w:val="00E32ACC"/>
    <w:rsid w:val="00E32DDC"/>
    <w:rsid w:val="00E32DE0"/>
    <w:rsid w:val="00E32EB8"/>
    <w:rsid w:val="00E32FD8"/>
    <w:rsid w:val="00E33240"/>
    <w:rsid w:val="00E332F0"/>
    <w:rsid w:val="00E3339F"/>
    <w:rsid w:val="00E33408"/>
    <w:rsid w:val="00E334B7"/>
    <w:rsid w:val="00E33500"/>
    <w:rsid w:val="00E33533"/>
    <w:rsid w:val="00E335CC"/>
    <w:rsid w:val="00E3371D"/>
    <w:rsid w:val="00E33781"/>
    <w:rsid w:val="00E33810"/>
    <w:rsid w:val="00E33821"/>
    <w:rsid w:val="00E3389E"/>
    <w:rsid w:val="00E338A6"/>
    <w:rsid w:val="00E33BCD"/>
    <w:rsid w:val="00E33CC5"/>
    <w:rsid w:val="00E33FC3"/>
    <w:rsid w:val="00E34364"/>
    <w:rsid w:val="00E34886"/>
    <w:rsid w:val="00E348B8"/>
    <w:rsid w:val="00E3498E"/>
    <w:rsid w:val="00E349A7"/>
    <w:rsid w:val="00E34B26"/>
    <w:rsid w:val="00E34C59"/>
    <w:rsid w:val="00E34D8B"/>
    <w:rsid w:val="00E34EEB"/>
    <w:rsid w:val="00E34F08"/>
    <w:rsid w:val="00E34F75"/>
    <w:rsid w:val="00E3507C"/>
    <w:rsid w:val="00E35220"/>
    <w:rsid w:val="00E35493"/>
    <w:rsid w:val="00E3551F"/>
    <w:rsid w:val="00E355A6"/>
    <w:rsid w:val="00E3567B"/>
    <w:rsid w:val="00E356F3"/>
    <w:rsid w:val="00E357CA"/>
    <w:rsid w:val="00E35865"/>
    <w:rsid w:val="00E35936"/>
    <w:rsid w:val="00E35BC5"/>
    <w:rsid w:val="00E35C90"/>
    <w:rsid w:val="00E35D03"/>
    <w:rsid w:val="00E35F42"/>
    <w:rsid w:val="00E3625F"/>
    <w:rsid w:val="00E364F8"/>
    <w:rsid w:val="00E3656D"/>
    <w:rsid w:val="00E3665F"/>
    <w:rsid w:val="00E36690"/>
    <w:rsid w:val="00E367DA"/>
    <w:rsid w:val="00E36980"/>
    <w:rsid w:val="00E36AD9"/>
    <w:rsid w:val="00E36AFA"/>
    <w:rsid w:val="00E36BD2"/>
    <w:rsid w:val="00E36CD0"/>
    <w:rsid w:val="00E36DEA"/>
    <w:rsid w:val="00E36EE6"/>
    <w:rsid w:val="00E370F4"/>
    <w:rsid w:val="00E3715B"/>
    <w:rsid w:val="00E373A6"/>
    <w:rsid w:val="00E3755D"/>
    <w:rsid w:val="00E37998"/>
    <w:rsid w:val="00E37AB1"/>
    <w:rsid w:val="00E37BFD"/>
    <w:rsid w:val="00E37C64"/>
    <w:rsid w:val="00E37CD1"/>
    <w:rsid w:val="00E37CDA"/>
    <w:rsid w:val="00E37FBE"/>
    <w:rsid w:val="00E40029"/>
    <w:rsid w:val="00E400C4"/>
    <w:rsid w:val="00E40115"/>
    <w:rsid w:val="00E40449"/>
    <w:rsid w:val="00E40677"/>
    <w:rsid w:val="00E40684"/>
    <w:rsid w:val="00E40740"/>
    <w:rsid w:val="00E40858"/>
    <w:rsid w:val="00E40AD3"/>
    <w:rsid w:val="00E40DC1"/>
    <w:rsid w:val="00E40E87"/>
    <w:rsid w:val="00E40F48"/>
    <w:rsid w:val="00E412DC"/>
    <w:rsid w:val="00E4149E"/>
    <w:rsid w:val="00E414B4"/>
    <w:rsid w:val="00E4169F"/>
    <w:rsid w:val="00E41700"/>
    <w:rsid w:val="00E41796"/>
    <w:rsid w:val="00E417F5"/>
    <w:rsid w:val="00E418B3"/>
    <w:rsid w:val="00E418D4"/>
    <w:rsid w:val="00E419AA"/>
    <w:rsid w:val="00E41AD8"/>
    <w:rsid w:val="00E41C48"/>
    <w:rsid w:val="00E41DBB"/>
    <w:rsid w:val="00E41E00"/>
    <w:rsid w:val="00E41EA8"/>
    <w:rsid w:val="00E41F6E"/>
    <w:rsid w:val="00E420EE"/>
    <w:rsid w:val="00E424FE"/>
    <w:rsid w:val="00E42628"/>
    <w:rsid w:val="00E42697"/>
    <w:rsid w:val="00E426B5"/>
    <w:rsid w:val="00E42976"/>
    <w:rsid w:val="00E42F0B"/>
    <w:rsid w:val="00E42F8E"/>
    <w:rsid w:val="00E430E4"/>
    <w:rsid w:val="00E4315A"/>
    <w:rsid w:val="00E43196"/>
    <w:rsid w:val="00E431D9"/>
    <w:rsid w:val="00E432CF"/>
    <w:rsid w:val="00E432D4"/>
    <w:rsid w:val="00E432D5"/>
    <w:rsid w:val="00E432FD"/>
    <w:rsid w:val="00E4340D"/>
    <w:rsid w:val="00E43573"/>
    <w:rsid w:val="00E43856"/>
    <w:rsid w:val="00E438BF"/>
    <w:rsid w:val="00E43925"/>
    <w:rsid w:val="00E43A98"/>
    <w:rsid w:val="00E43DDB"/>
    <w:rsid w:val="00E43E77"/>
    <w:rsid w:val="00E44091"/>
    <w:rsid w:val="00E44181"/>
    <w:rsid w:val="00E442AD"/>
    <w:rsid w:val="00E44444"/>
    <w:rsid w:val="00E446AD"/>
    <w:rsid w:val="00E44739"/>
    <w:rsid w:val="00E44818"/>
    <w:rsid w:val="00E449DA"/>
    <w:rsid w:val="00E44A75"/>
    <w:rsid w:val="00E44B87"/>
    <w:rsid w:val="00E44DE5"/>
    <w:rsid w:val="00E44E19"/>
    <w:rsid w:val="00E44F25"/>
    <w:rsid w:val="00E4505E"/>
    <w:rsid w:val="00E45166"/>
    <w:rsid w:val="00E455E2"/>
    <w:rsid w:val="00E45680"/>
    <w:rsid w:val="00E45690"/>
    <w:rsid w:val="00E4592B"/>
    <w:rsid w:val="00E4592D"/>
    <w:rsid w:val="00E459F8"/>
    <w:rsid w:val="00E45BD3"/>
    <w:rsid w:val="00E45CE6"/>
    <w:rsid w:val="00E45D00"/>
    <w:rsid w:val="00E45DD2"/>
    <w:rsid w:val="00E45F5A"/>
    <w:rsid w:val="00E45FD4"/>
    <w:rsid w:val="00E45FEC"/>
    <w:rsid w:val="00E4603D"/>
    <w:rsid w:val="00E46061"/>
    <w:rsid w:val="00E4608A"/>
    <w:rsid w:val="00E460F0"/>
    <w:rsid w:val="00E46254"/>
    <w:rsid w:val="00E462CD"/>
    <w:rsid w:val="00E462F5"/>
    <w:rsid w:val="00E4673D"/>
    <w:rsid w:val="00E46850"/>
    <w:rsid w:val="00E46891"/>
    <w:rsid w:val="00E46C88"/>
    <w:rsid w:val="00E46CF2"/>
    <w:rsid w:val="00E473D3"/>
    <w:rsid w:val="00E47533"/>
    <w:rsid w:val="00E47668"/>
    <w:rsid w:val="00E476E6"/>
    <w:rsid w:val="00E4796D"/>
    <w:rsid w:val="00E479C1"/>
    <w:rsid w:val="00E479EE"/>
    <w:rsid w:val="00E47B29"/>
    <w:rsid w:val="00E47C37"/>
    <w:rsid w:val="00E47CA7"/>
    <w:rsid w:val="00E47CC5"/>
    <w:rsid w:val="00E47E33"/>
    <w:rsid w:val="00E47F34"/>
    <w:rsid w:val="00E47FFC"/>
    <w:rsid w:val="00E5018F"/>
    <w:rsid w:val="00E503D3"/>
    <w:rsid w:val="00E5048C"/>
    <w:rsid w:val="00E50A67"/>
    <w:rsid w:val="00E50BD3"/>
    <w:rsid w:val="00E50E46"/>
    <w:rsid w:val="00E50E6F"/>
    <w:rsid w:val="00E50E7C"/>
    <w:rsid w:val="00E50EF8"/>
    <w:rsid w:val="00E51002"/>
    <w:rsid w:val="00E512ED"/>
    <w:rsid w:val="00E51497"/>
    <w:rsid w:val="00E51545"/>
    <w:rsid w:val="00E51627"/>
    <w:rsid w:val="00E51883"/>
    <w:rsid w:val="00E519D7"/>
    <w:rsid w:val="00E51A1F"/>
    <w:rsid w:val="00E51B0D"/>
    <w:rsid w:val="00E51BB1"/>
    <w:rsid w:val="00E51C33"/>
    <w:rsid w:val="00E51C6E"/>
    <w:rsid w:val="00E51CED"/>
    <w:rsid w:val="00E51D9E"/>
    <w:rsid w:val="00E521E6"/>
    <w:rsid w:val="00E52226"/>
    <w:rsid w:val="00E522D7"/>
    <w:rsid w:val="00E52546"/>
    <w:rsid w:val="00E52582"/>
    <w:rsid w:val="00E52721"/>
    <w:rsid w:val="00E52974"/>
    <w:rsid w:val="00E52B39"/>
    <w:rsid w:val="00E52B96"/>
    <w:rsid w:val="00E52D13"/>
    <w:rsid w:val="00E52F6A"/>
    <w:rsid w:val="00E52F72"/>
    <w:rsid w:val="00E531D7"/>
    <w:rsid w:val="00E531E4"/>
    <w:rsid w:val="00E531F5"/>
    <w:rsid w:val="00E532E7"/>
    <w:rsid w:val="00E53465"/>
    <w:rsid w:val="00E53498"/>
    <w:rsid w:val="00E53754"/>
    <w:rsid w:val="00E537D1"/>
    <w:rsid w:val="00E53899"/>
    <w:rsid w:val="00E53923"/>
    <w:rsid w:val="00E53935"/>
    <w:rsid w:val="00E53A5B"/>
    <w:rsid w:val="00E53B40"/>
    <w:rsid w:val="00E53EE4"/>
    <w:rsid w:val="00E54298"/>
    <w:rsid w:val="00E542E6"/>
    <w:rsid w:val="00E544C2"/>
    <w:rsid w:val="00E54514"/>
    <w:rsid w:val="00E5451D"/>
    <w:rsid w:val="00E546D9"/>
    <w:rsid w:val="00E54753"/>
    <w:rsid w:val="00E547D3"/>
    <w:rsid w:val="00E54898"/>
    <w:rsid w:val="00E549EA"/>
    <w:rsid w:val="00E54CCE"/>
    <w:rsid w:val="00E5504B"/>
    <w:rsid w:val="00E550DC"/>
    <w:rsid w:val="00E551D3"/>
    <w:rsid w:val="00E551DF"/>
    <w:rsid w:val="00E551F9"/>
    <w:rsid w:val="00E552BD"/>
    <w:rsid w:val="00E555C8"/>
    <w:rsid w:val="00E55A0A"/>
    <w:rsid w:val="00E55AD6"/>
    <w:rsid w:val="00E55CD9"/>
    <w:rsid w:val="00E55D1D"/>
    <w:rsid w:val="00E55DAB"/>
    <w:rsid w:val="00E55F1F"/>
    <w:rsid w:val="00E56157"/>
    <w:rsid w:val="00E5617E"/>
    <w:rsid w:val="00E5622E"/>
    <w:rsid w:val="00E56354"/>
    <w:rsid w:val="00E56379"/>
    <w:rsid w:val="00E566AD"/>
    <w:rsid w:val="00E567E6"/>
    <w:rsid w:val="00E56805"/>
    <w:rsid w:val="00E56971"/>
    <w:rsid w:val="00E569DE"/>
    <w:rsid w:val="00E56A99"/>
    <w:rsid w:val="00E56C11"/>
    <w:rsid w:val="00E57074"/>
    <w:rsid w:val="00E57145"/>
    <w:rsid w:val="00E571AD"/>
    <w:rsid w:val="00E571D3"/>
    <w:rsid w:val="00E57335"/>
    <w:rsid w:val="00E575CB"/>
    <w:rsid w:val="00E577F3"/>
    <w:rsid w:val="00E57876"/>
    <w:rsid w:val="00E57A0E"/>
    <w:rsid w:val="00E57B18"/>
    <w:rsid w:val="00E57B1C"/>
    <w:rsid w:val="00E57B87"/>
    <w:rsid w:val="00E57D05"/>
    <w:rsid w:val="00E602C2"/>
    <w:rsid w:val="00E6075B"/>
    <w:rsid w:val="00E6078B"/>
    <w:rsid w:val="00E60797"/>
    <w:rsid w:val="00E60901"/>
    <w:rsid w:val="00E60A47"/>
    <w:rsid w:val="00E60A83"/>
    <w:rsid w:val="00E60A86"/>
    <w:rsid w:val="00E60BEE"/>
    <w:rsid w:val="00E60E0F"/>
    <w:rsid w:val="00E60EA5"/>
    <w:rsid w:val="00E60F0E"/>
    <w:rsid w:val="00E60F4F"/>
    <w:rsid w:val="00E6118D"/>
    <w:rsid w:val="00E611CA"/>
    <w:rsid w:val="00E612D9"/>
    <w:rsid w:val="00E61484"/>
    <w:rsid w:val="00E614DB"/>
    <w:rsid w:val="00E614F3"/>
    <w:rsid w:val="00E6168E"/>
    <w:rsid w:val="00E616BB"/>
    <w:rsid w:val="00E61730"/>
    <w:rsid w:val="00E617FA"/>
    <w:rsid w:val="00E61932"/>
    <w:rsid w:val="00E619A9"/>
    <w:rsid w:val="00E61ADE"/>
    <w:rsid w:val="00E62079"/>
    <w:rsid w:val="00E621A7"/>
    <w:rsid w:val="00E621CB"/>
    <w:rsid w:val="00E621FB"/>
    <w:rsid w:val="00E6222E"/>
    <w:rsid w:val="00E62369"/>
    <w:rsid w:val="00E62605"/>
    <w:rsid w:val="00E627C5"/>
    <w:rsid w:val="00E62AB2"/>
    <w:rsid w:val="00E62B52"/>
    <w:rsid w:val="00E62E36"/>
    <w:rsid w:val="00E62FE5"/>
    <w:rsid w:val="00E632CB"/>
    <w:rsid w:val="00E63337"/>
    <w:rsid w:val="00E63586"/>
    <w:rsid w:val="00E63715"/>
    <w:rsid w:val="00E6399D"/>
    <w:rsid w:val="00E63A72"/>
    <w:rsid w:val="00E63C64"/>
    <w:rsid w:val="00E63F9D"/>
    <w:rsid w:val="00E6420A"/>
    <w:rsid w:val="00E6425F"/>
    <w:rsid w:val="00E647A1"/>
    <w:rsid w:val="00E647EB"/>
    <w:rsid w:val="00E64817"/>
    <w:rsid w:val="00E648CE"/>
    <w:rsid w:val="00E64981"/>
    <w:rsid w:val="00E64B8F"/>
    <w:rsid w:val="00E64D32"/>
    <w:rsid w:val="00E64F61"/>
    <w:rsid w:val="00E65023"/>
    <w:rsid w:val="00E65077"/>
    <w:rsid w:val="00E65224"/>
    <w:rsid w:val="00E6529B"/>
    <w:rsid w:val="00E652FC"/>
    <w:rsid w:val="00E65324"/>
    <w:rsid w:val="00E65389"/>
    <w:rsid w:val="00E6542F"/>
    <w:rsid w:val="00E65753"/>
    <w:rsid w:val="00E65B4E"/>
    <w:rsid w:val="00E65B81"/>
    <w:rsid w:val="00E65C20"/>
    <w:rsid w:val="00E65CB4"/>
    <w:rsid w:val="00E65E79"/>
    <w:rsid w:val="00E66090"/>
    <w:rsid w:val="00E66197"/>
    <w:rsid w:val="00E6655A"/>
    <w:rsid w:val="00E666A0"/>
    <w:rsid w:val="00E66743"/>
    <w:rsid w:val="00E66760"/>
    <w:rsid w:val="00E66862"/>
    <w:rsid w:val="00E66890"/>
    <w:rsid w:val="00E669BD"/>
    <w:rsid w:val="00E66B86"/>
    <w:rsid w:val="00E66B92"/>
    <w:rsid w:val="00E66C35"/>
    <w:rsid w:val="00E66E7A"/>
    <w:rsid w:val="00E66F00"/>
    <w:rsid w:val="00E671B1"/>
    <w:rsid w:val="00E6724B"/>
    <w:rsid w:val="00E67356"/>
    <w:rsid w:val="00E67408"/>
    <w:rsid w:val="00E6752E"/>
    <w:rsid w:val="00E675EA"/>
    <w:rsid w:val="00E67795"/>
    <w:rsid w:val="00E67FFA"/>
    <w:rsid w:val="00E70011"/>
    <w:rsid w:val="00E70065"/>
    <w:rsid w:val="00E7017C"/>
    <w:rsid w:val="00E70287"/>
    <w:rsid w:val="00E70339"/>
    <w:rsid w:val="00E70497"/>
    <w:rsid w:val="00E70504"/>
    <w:rsid w:val="00E705A2"/>
    <w:rsid w:val="00E70702"/>
    <w:rsid w:val="00E707F0"/>
    <w:rsid w:val="00E7093D"/>
    <w:rsid w:val="00E70993"/>
    <w:rsid w:val="00E70A61"/>
    <w:rsid w:val="00E70E71"/>
    <w:rsid w:val="00E70FB9"/>
    <w:rsid w:val="00E710F8"/>
    <w:rsid w:val="00E711D7"/>
    <w:rsid w:val="00E71447"/>
    <w:rsid w:val="00E7144A"/>
    <w:rsid w:val="00E7144F"/>
    <w:rsid w:val="00E7159C"/>
    <w:rsid w:val="00E71803"/>
    <w:rsid w:val="00E71881"/>
    <w:rsid w:val="00E71892"/>
    <w:rsid w:val="00E718E3"/>
    <w:rsid w:val="00E719C1"/>
    <w:rsid w:val="00E71AA8"/>
    <w:rsid w:val="00E71D27"/>
    <w:rsid w:val="00E72386"/>
    <w:rsid w:val="00E723DC"/>
    <w:rsid w:val="00E726B7"/>
    <w:rsid w:val="00E728A7"/>
    <w:rsid w:val="00E7294D"/>
    <w:rsid w:val="00E72BC7"/>
    <w:rsid w:val="00E72C03"/>
    <w:rsid w:val="00E72E41"/>
    <w:rsid w:val="00E72F8C"/>
    <w:rsid w:val="00E72FE2"/>
    <w:rsid w:val="00E731B4"/>
    <w:rsid w:val="00E73256"/>
    <w:rsid w:val="00E73351"/>
    <w:rsid w:val="00E73435"/>
    <w:rsid w:val="00E734F9"/>
    <w:rsid w:val="00E7362C"/>
    <w:rsid w:val="00E736F9"/>
    <w:rsid w:val="00E73746"/>
    <w:rsid w:val="00E7387A"/>
    <w:rsid w:val="00E738AE"/>
    <w:rsid w:val="00E73C29"/>
    <w:rsid w:val="00E73DFA"/>
    <w:rsid w:val="00E73E7F"/>
    <w:rsid w:val="00E73FD0"/>
    <w:rsid w:val="00E740F9"/>
    <w:rsid w:val="00E741C8"/>
    <w:rsid w:val="00E741E1"/>
    <w:rsid w:val="00E74400"/>
    <w:rsid w:val="00E744BC"/>
    <w:rsid w:val="00E745D3"/>
    <w:rsid w:val="00E746A9"/>
    <w:rsid w:val="00E74840"/>
    <w:rsid w:val="00E748CD"/>
    <w:rsid w:val="00E74AA7"/>
    <w:rsid w:val="00E74E6B"/>
    <w:rsid w:val="00E74FA6"/>
    <w:rsid w:val="00E75150"/>
    <w:rsid w:val="00E75229"/>
    <w:rsid w:val="00E75253"/>
    <w:rsid w:val="00E752C5"/>
    <w:rsid w:val="00E753F5"/>
    <w:rsid w:val="00E7550A"/>
    <w:rsid w:val="00E7554C"/>
    <w:rsid w:val="00E75562"/>
    <w:rsid w:val="00E75636"/>
    <w:rsid w:val="00E757B3"/>
    <w:rsid w:val="00E757C4"/>
    <w:rsid w:val="00E759D0"/>
    <w:rsid w:val="00E75E40"/>
    <w:rsid w:val="00E75F33"/>
    <w:rsid w:val="00E7619B"/>
    <w:rsid w:val="00E76795"/>
    <w:rsid w:val="00E76812"/>
    <w:rsid w:val="00E768BE"/>
    <w:rsid w:val="00E768E9"/>
    <w:rsid w:val="00E76974"/>
    <w:rsid w:val="00E76AF6"/>
    <w:rsid w:val="00E76CDC"/>
    <w:rsid w:val="00E76DCD"/>
    <w:rsid w:val="00E76E71"/>
    <w:rsid w:val="00E76EAC"/>
    <w:rsid w:val="00E76F91"/>
    <w:rsid w:val="00E76FB5"/>
    <w:rsid w:val="00E7721A"/>
    <w:rsid w:val="00E772DE"/>
    <w:rsid w:val="00E77400"/>
    <w:rsid w:val="00E7747C"/>
    <w:rsid w:val="00E77552"/>
    <w:rsid w:val="00E775DE"/>
    <w:rsid w:val="00E7768C"/>
    <w:rsid w:val="00E776B6"/>
    <w:rsid w:val="00E776E5"/>
    <w:rsid w:val="00E777A2"/>
    <w:rsid w:val="00E77CDD"/>
    <w:rsid w:val="00E77DED"/>
    <w:rsid w:val="00E8000E"/>
    <w:rsid w:val="00E80538"/>
    <w:rsid w:val="00E806B6"/>
    <w:rsid w:val="00E80BAB"/>
    <w:rsid w:val="00E80BD4"/>
    <w:rsid w:val="00E80BFF"/>
    <w:rsid w:val="00E80D45"/>
    <w:rsid w:val="00E80F21"/>
    <w:rsid w:val="00E80F8A"/>
    <w:rsid w:val="00E81150"/>
    <w:rsid w:val="00E81394"/>
    <w:rsid w:val="00E8147D"/>
    <w:rsid w:val="00E815E1"/>
    <w:rsid w:val="00E81A32"/>
    <w:rsid w:val="00E81AED"/>
    <w:rsid w:val="00E81BDF"/>
    <w:rsid w:val="00E81C25"/>
    <w:rsid w:val="00E81C63"/>
    <w:rsid w:val="00E81C80"/>
    <w:rsid w:val="00E81EB5"/>
    <w:rsid w:val="00E82097"/>
    <w:rsid w:val="00E823E9"/>
    <w:rsid w:val="00E82574"/>
    <w:rsid w:val="00E82593"/>
    <w:rsid w:val="00E826A0"/>
    <w:rsid w:val="00E826B7"/>
    <w:rsid w:val="00E8284A"/>
    <w:rsid w:val="00E8297E"/>
    <w:rsid w:val="00E82C83"/>
    <w:rsid w:val="00E82D2B"/>
    <w:rsid w:val="00E82E60"/>
    <w:rsid w:val="00E832BA"/>
    <w:rsid w:val="00E834D8"/>
    <w:rsid w:val="00E83A27"/>
    <w:rsid w:val="00E83D3C"/>
    <w:rsid w:val="00E83D97"/>
    <w:rsid w:val="00E83E37"/>
    <w:rsid w:val="00E83F45"/>
    <w:rsid w:val="00E83F8D"/>
    <w:rsid w:val="00E83FAD"/>
    <w:rsid w:val="00E84049"/>
    <w:rsid w:val="00E84169"/>
    <w:rsid w:val="00E84223"/>
    <w:rsid w:val="00E848DF"/>
    <w:rsid w:val="00E8493C"/>
    <w:rsid w:val="00E849F2"/>
    <w:rsid w:val="00E84BB0"/>
    <w:rsid w:val="00E84DDF"/>
    <w:rsid w:val="00E84E22"/>
    <w:rsid w:val="00E84E32"/>
    <w:rsid w:val="00E8536B"/>
    <w:rsid w:val="00E85581"/>
    <w:rsid w:val="00E858F3"/>
    <w:rsid w:val="00E85A1E"/>
    <w:rsid w:val="00E85BEF"/>
    <w:rsid w:val="00E85C60"/>
    <w:rsid w:val="00E85DCA"/>
    <w:rsid w:val="00E85E5D"/>
    <w:rsid w:val="00E85E60"/>
    <w:rsid w:val="00E86105"/>
    <w:rsid w:val="00E86318"/>
    <w:rsid w:val="00E86560"/>
    <w:rsid w:val="00E8656B"/>
    <w:rsid w:val="00E86591"/>
    <w:rsid w:val="00E8660B"/>
    <w:rsid w:val="00E867AE"/>
    <w:rsid w:val="00E86A7E"/>
    <w:rsid w:val="00E86B75"/>
    <w:rsid w:val="00E86C1B"/>
    <w:rsid w:val="00E86CDD"/>
    <w:rsid w:val="00E86D64"/>
    <w:rsid w:val="00E86DA1"/>
    <w:rsid w:val="00E86E03"/>
    <w:rsid w:val="00E86EF2"/>
    <w:rsid w:val="00E87028"/>
    <w:rsid w:val="00E87297"/>
    <w:rsid w:val="00E872E9"/>
    <w:rsid w:val="00E875D1"/>
    <w:rsid w:val="00E877AA"/>
    <w:rsid w:val="00E8788A"/>
    <w:rsid w:val="00E87B05"/>
    <w:rsid w:val="00E87DBC"/>
    <w:rsid w:val="00E87F92"/>
    <w:rsid w:val="00E900AA"/>
    <w:rsid w:val="00E9021F"/>
    <w:rsid w:val="00E902B0"/>
    <w:rsid w:val="00E902E8"/>
    <w:rsid w:val="00E9055D"/>
    <w:rsid w:val="00E906F1"/>
    <w:rsid w:val="00E9096B"/>
    <w:rsid w:val="00E90C3E"/>
    <w:rsid w:val="00E90C4F"/>
    <w:rsid w:val="00E90DE8"/>
    <w:rsid w:val="00E90E4F"/>
    <w:rsid w:val="00E90E65"/>
    <w:rsid w:val="00E91139"/>
    <w:rsid w:val="00E911ED"/>
    <w:rsid w:val="00E911EE"/>
    <w:rsid w:val="00E91701"/>
    <w:rsid w:val="00E9174A"/>
    <w:rsid w:val="00E91879"/>
    <w:rsid w:val="00E91ADF"/>
    <w:rsid w:val="00E91D67"/>
    <w:rsid w:val="00E91DAE"/>
    <w:rsid w:val="00E92072"/>
    <w:rsid w:val="00E922F5"/>
    <w:rsid w:val="00E92308"/>
    <w:rsid w:val="00E9258A"/>
    <w:rsid w:val="00E926C3"/>
    <w:rsid w:val="00E92837"/>
    <w:rsid w:val="00E9296B"/>
    <w:rsid w:val="00E92AE0"/>
    <w:rsid w:val="00E92BF4"/>
    <w:rsid w:val="00E92DD7"/>
    <w:rsid w:val="00E930F0"/>
    <w:rsid w:val="00E931A9"/>
    <w:rsid w:val="00E934F5"/>
    <w:rsid w:val="00E93525"/>
    <w:rsid w:val="00E9354E"/>
    <w:rsid w:val="00E935EF"/>
    <w:rsid w:val="00E938F4"/>
    <w:rsid w:val="00E9398E"/>
    <w:rsid w:val="00E93CAE"/>
    <w:rsid w:val="00E93D7C"/>
    <w:rsid w:val="00E93D80"/>
    <w:rsid w:val="00E93E2E"/>
    <w:rsid w:val="00E93F50"/>
    <w:rsid w:val="00E93F60"/>
    <w:rsid w:val="00E94093"/>
    <w:rsid w:val="00E9410D"/>
    <w:rsid w:val="00E9448D"/>
    <w:rsid w:val="00E945C2"/>
    <w:rsid w:val="00E9464E"/>
    <w:rsid w:val="00E9481D"/>
    <w:rsid w:val="00E949EA"/>
    <w:rsid w:val="00E94A6D"/>
    <w:rsid w:val="00E94C67"/>
    <w:rsid w:val="00E94CE8"/>
    <w:rsid w:val="00E94ECE"/>
    <w:rsid w:val="00E94F14"/>
    <w:rsid w:val="00E94FE2"/>
    <w:rsid w:val="00E9505C"/>
    <w:rsid w:val="00E95136"/>
    <w:rsid w:val="00E95175"/>
    <w:rsid w:val="00E95185"/>
    <w:rsid w:val="00E951C5"/>
    <w:rsid w:val="00E9530B"/>
    <w:rsid w:val="00E95ABC"/>
    <w:rsid w:val="00E95C72"/>
    <w:rsid w:val="00E96148"/>
    <w:rsid w:val="00E96172"/>
    <w:rsid w:val="00E9624B"/>
    <w:rsid w:val="00E963A1"/>
    <w:rsid w:val="00E9648C"/>
    <w:rsid w:val="00E964F1"/>
    <w:rsid w:val="00E9686A"/>
    <w:rsid w:val="00E96966"/>
    <w:rsid w:val="00E96AFE"/>
    <w:rsid w:val="00E96B24"/>
    <w:rsid w:val="00E96BD3"/>
    <w:rsid w:val="00E96E00"/>
    <w:rsid w:val="00E971F4"/>
    <w:rsid w:val="00E9732E"/>
    <w:rsid w:val="00E97A0E"/>
    <w:rsid w:val="00E97B51"/>
    <w:rsid w:val="00E97C19"/>
    <w:rsid w:val="00E97C56"/>
    <w:rsid w:val="00E97E0A"/>
    <w:rsid w:val="00E97F4E"/>
    <w:rsid w:val="00E97FAD"/>
    <w:rsid w:val="00EA0048"/>
    <w:rsid w:val="00EA0291"/>
    <w:rsid w:val="00EA0336"/>
    <w:rsid w:val="00EA0487"/>
    <w:rsid w:val="00EA0489"/>
    <w:rsid w:val="00EA04B1"/>
    <w:rsid w:val="00EA05E2"/>
    <w:rsid w:val="00EA0822"/>
    <w:rsid w:val="00EA08CB"/>
    <w:rsid w:val="00EA0A7C"/>
    <w:rsid w:val="00EA0BA0"/>
    <w:rsid w:val="00EA0CC7"/>
    <w:rsid w:val="00EA0CF4"/>
    <w:rsid w:val="00EA12F7"/>
    <w:rsid w:val="00EA1331"/>
    <w:rsid w:val="00EA1402"/>
    <w:rsid w:val="00EA1549"/>
    <w:rsid w:val="00EA1750"/>
    <w:rsid w:val="00EA1831"/>
    <w:rsid w:val="00EA1942"/>
    <w:rsid w:val="00EA1BB4"/>
    <w:rsid w:val="00EA1D2D"/>
    <w:rsid w:val="00EA205D"/>
    <w:rsid w:val="00EA2139"/>
    <w:rsid w:val="00EA21E5"/>
    <w:rsid w:val="00EA21F1"/>
    <w:rsid w:val="00EA2200"/>
    <w:rsid w:val="00EA228A"/>
    <w:rsid w:val="00EA2337"/>
    <w:rsid w:val="00EA23AC"/>
    <w:rsid w:val="00EA269F"/>
    <w:rsid w:val="00EA2798"/>
    <w:rsid w:val="00EA29C7"/>
    <w:rsid w:val="00EA29D6"/>
    <w:rsid w:val="00EA2A19"/>
    <w:rsid w:val="00EA2AEE"/>
    <w:rsid w:val="00EA2C60"/>
    <w:rsid w:val="00EA2C6D"/>
    <w:rsid w:val="00EA2DA7"/>
    <w:rsid w:val="00EA2DD2"/>
    <w:rsid w:val="00EA3055"/>
    <w:rsid w:val="00EA3078"/>
    <w:rsid w:val="00EA332C"/>
    <w:rsid w:val="00EA369B"/>
    <w:rsid w:val="00EA369E"/>
    <w:rsid w:val="00EA398F"/>
    <w:rsid w:val="00EA3D59"/>
    <w:rsid w:val="00EA3DB9"/>
    <w:rsid w:val="00EA43A9"/>
    <w:rsid w:val="00EA43C4"/>
    <w:rsid w:val="00EA4445"/>
    <w:rsid w:val="00EA45E5"/>
    <w:rsid w:val="00EA479A"/>
    <w:rsid w:val="00EA49A4"/>
    <w:rsid w:val="00EA4C3A"/>
    <w:rsid w:val="00EA4FE8"/>
    <w:rsid w:val="00EA501E"/>
    <w:rsid w:val="00EA518F"/>
    <w:rsid w:val="00EA528E"/>
    <w:rsid w:val="00EA5618"/>
    <w:rsid w:val="00EA5B6F"/>
    <w:rsid w:val="00EA5C6B"/>
    <w:rsid w:val="00EA5CFB"/>
    <w:rsid w:val="00EA5E2C"/>
    <w:rsid w:val="00EA5FDE"/>
    <w:rsid w:val="00EA61D5"/>
    <w:rsid w:val="00EA61FB"/>
    <w:rsid w:val="00EA61FF"/>
    <w:rsid w:val="00EA624E"/>
    <w:rsid w:val="00EA627E"/>
    <w:rsid w:val="00EA62A4"/>
    <w:rsid w:val="00EA6318"/>
    <w:rsid w:val="00EA6631"/>
    <w:rsid w:val="00EA6BC0"/>
    <w:rsid w:val="00EA6BF2"/>
    <w:rsid w:val="00EA6D94"/>
    <w:rsid w:val="00EA6E08"/>
    <w:rsid w:val="00EA6FA4"/>
    <w:rsid w:val="00EA6FD6"/>
    <w:rsid w:val="00EA7053"/>
    <w:rsid w:val="00EA708A"/>
    <w:rsid w:val="00EA74D9"/>
    <w:rsid w:val="00EA75DA"/>
    <w:rsid w:val="00EA77E9"/>
    <w:rsid w:val="00EA7816"/>
    <w:rsid w:val="00EA78BF"/>
    <w:rsid w:val="00EA79A9"/>
    <w:rsid w:val="00EA79D9"/>
    <w:rsid w:val="00EA7B86"/>
    <w:rsid w:val="00EA7C00"/>
    <w:rsid w:val="00EA7C3D"/>
    <w:rsid w:val="00EA7EDC"/>
    <w:rsid w:val="00EA7F82"/>
    <w:rsid w:val="00EA7FE4"/>
    <w:rsid w:val="00EB0224"/>
    <w:rsid w:val="00EB0359"/>
    <w:rsid w:val="00EB0608"/>
    <w:rsid w:val="00EB08D8"/>
    <w:rsid w:val="00EB102C"/>
    <w:rsid w:val="00EB111D"/>
    <w:rsid w:val="00EB1233"/>
    <w:rsid w:val="00EB1732"/>
    <w:rsid w:val="00EB175C"/>
    <w:rsid w:val="00EB1778"/>
    <w:rsid w:val="00EB1920"/>
    <w:rsid w:val="00EB1BC5"/>
    <w:rsid w:val="00EB1E4C"/>
    <w:rsid w:val="00EB1E78"/>
    <w:rsid w:val="00EB1F86"/>
    <w:rsid w:val="00EB23C2"/>
    <w:rsid w:val="00EB2417"/>
    <w:rsid w:val="00EB29A4"/>
    <w:rsid w:val="00EB2C37"/>
    <w:rsid w:val="00EB2C84"/>
    <w:rsid w:val="00EB2CF3"/>
    <w:rsid w:val="00EB2E28"/>
    <w:rsid w:val="00EB318A"/>
    <w:rsid w:val="00EB32C4"/>
    <w:rsid w:val="00EB3378"/>
    <w:rsid w:val="00EB3707"/>
    <w:rsid w:val="00EB3780"/>
    <w:rsid w:val="00EB386F"/>
    <w:rsid w:val="00EB39D2"/>
    <w:rsid w:val="00EB3EAF"/>
    <w:rsid w:val="00EB413A"/>
    <w:rsid w:val="00EB414D"/>
    <w:rsid w:val="00EB4241"/>
    <w:rsid w:val="00EB4268"/>
    <w:rsid w:val="00EB428D"/>
    <w:rsid w:val="00EB42C1"/>
    <w:rsid w:val="00EB44A9"/>
    <w:rsid w:val="00EB46AB"/>
    <w:rsid w:val="00EB4879"/>
    <w:rsid w:val="00EB48D6"/>
    <w:rsid w:val="00EB49D8"/>
    <w:rsid w:val="00EB4ACE"/>
    <w:rsid w:val="00EB4B0B"/>
    <w:rsid w:val="00EB4F81"/>
    <w:rsid w:val="00EB4FE2"/>
    <w:rsid w:val="00EB52AC"/>
    <w:rsid w:val="00EB549F"/>
    <w:rsid w:val="00EB554D"/>
    <w:rsid w:val="00EB5712"/>
    <w:rsid w:val="00EB5992"/>
    <w:rsid w:val="00EB5A70"/>
    <w:rsid w:val="00EB5D34"/>
    <w:rsid w:val="00EB5EBF"/>
    <w:rsid w:val="00EB5FC6"/>
    <w:rsid w:val="00EB60F9"/>
    <w:rsid w:val="00EB6258"/>
    <w:rsid w:val="00EB64A4"/>
    <w:rsid w:val="00EB6662"/>
    <w:rsid w:val="00EB668C"/>
    <w:rsid w:val="00EB67AC"/>
    <w:rsid w:val="00EB6878"/>
    <w:rsid w:val="00EB68FF"/>
    <w:rsid w:val="00EB6959"/>
    <w:rsid w:val="00EB6A5F"/>
    <w:rsid w:val="00EB6B2F"/>
    <w:rsid w:val="00EB6B5F"/>
    <w:rsid w:val="00EB6D0C"/>
    <w:rsid w:val="00EB6D10"/>
    <w:rsid w:val="00EB6F0E"/>
    <w:rsid w:val="00EB6F32"/>
    <w:rsid w:val="00EB708A"/>
    <w:rsid w:val="00EB726A"/>
    <w:rsid w:val="00EB72CE"/>
    <w:rsid w:val="00EB75E3"/>
    <w:rsid w:val="00EB7972"/>
    <w:rsid w:val="00EB7BB8"/>
    <w:rsid w:val="00EB7FC2"/>
    <w:rsid w:val="00EC0083"/>
    <w:rsid w:val="00EC0130"/>
    <w:rsid w:val="00EC01D4"/>
    <w:rsid w:val="00EC0339"/>
    <w:rsid w:val="00EC05F8"/>
    <w:rsid w:val="00EC099F"/>
    <w:rsid w:val="00EC09DB"/>
    <w:rsid w:val="00EC0BCE"/>
    <w:rsid w:val="00EC11C9"/>
    <w:rsid w:val="00EC1229"/>
    <w:rsid w:val="00EC1238"/>
    <w:rsid w:val="00EC1543"/>
    <w:rsid w:val="00EC1726"/>
    <w:rsid w:val="00EC1889"/>
    <w:rsid w:val="00EC1A05"/>
    <w:rsid w:val="00EC1D86"/>
    <w:rsid w:val="00EC1E0E"/>
    <w:rsid w:val="00EC1E2D"/>
    <w:rsid w:val="00EC1E43"/>
    <w:rsid w:val="00EC1E79"/>
    <w:rsid w:val="00EC1E82"/>
    <w:rsid w:val="00EC1F68"/>
    <w:rsid w:val="00EC2101"/>
    <w:rsid w:val="00EC212C"/>
    <w:rsid w:val="00EC222F"/>
    <w:rsid w:val="00EC2338"/>
    <w:rsid w:val="00EC236D"/>
    <w:rsid w:val="00EC2388"/>
    <w:rsid w:val="00EC23BF"/>
    <w:rsid w:val="00EC24F4"/>
    <w:rsid w:val="00EC2734"/>
    <w:rsid w:val="00EC276D"/>
    <w:rsid w:val="00EC2C3A"/>
    <w:rsid w:val="00EC2F33"/>
    <w:rsid w:val="00EC3363"/>
    <w:rsid w:val="00EC344B"/>
    <w:rsid w:val="00EC37AA"/>
    <w:rsid w:val="00EC38E6"/>
    <w:rsid w:val="00EC3B8D"/>
    <w:rsid w:val="00EC3C5E"/>
    <w:rsid w:val="00EC3D5B"/>
    <w:rsid w:val="00EC3ED6"/>
    <w:rsid w:val="00EC416A"/>
    <w:rsid w:val="00EC4203"/>
    <w:rsid w:val="00EC439B"/>
    <w:rsid w:val="00EC43FB"/>
    <w:rsid w:val="00EC442F"/>
    <w:rsid w:val="00EC44A3"/>
    <w:rsid w:val="00EC45C6"/>
    <w:rsid w:val="00EC4686"/>
    <w:rsid w:val="00EC46E4"/>
    <w:rsid w:val="00EC4707"/>
    <w:rsid w:val="00EC4816"/>
    <w:rsid w:val="00EC4915"/>
    <w:rsid w:val="00EC498B"/>
    <w:rsid w:val="00EC4B64"/>
    <w:rsid w:val="00EC4ED1"/>
    <w:rsid w:val="00EC5168"/>
    <w:rsid w:val="00EC5189"/>
    <w:rsid w:val="00EC5384"/>
    <w:rsid w:val="00EC55B4"/>
    <w:rsid w:val="00EC55CB"/>
    <w:rsid w:val="00EC58F5"/>
    <w:rsid w:val="00EC5DD0"/>
    <w:rsid w:val="00EC5E7C"/>
    <w:rsid w:val="00EC5F20"/>
    <w:rsid w:val="00EC6250"/>
    <w:rsid w:val="00EC628E"/>
    <w:rsid w:val="00EC6333"/>
    <w:rsid w:val="00EC6453"/>
    <w:rsid w:val="00EC667F"/>
    <w:rsid w:val="00EC66DB"/>
    <w:rsid w:val="00EC68AE"/>
    <w:rsid w:val="00EC68E5"/>
    <w:rsid w:val="00EC6935"/>
    <w:rsid w:val="00EC6B16"/>
    <w:rsid w:val="00EC6B78"/>
    <w:rsid w:val="00EC6BC6"/>
    <w:rsid w:val="00EC6BE2"/>
    <w:rsid w:val="00EC6F77"/>
    <w:rsid w:val="00EC70A9"/>
    <w:rsid w:val="00EC71E2"/>
    <w:rsid w:val="00EC73EE"/>
    <w:rsid w:val="00EC7421"/>
    <w:rsid w:val="00EC761D"/>
    <w:rsid w:val="00EC7850"/>
    <w:rsid w:val="00EC7903"/>
    <w:rsid w:val="00EC792E"/>
    <w:rsid w:val="00EC7A0A"/>
    <w:rsid w:val="00EC7A11"/>
    <w:rsid w:val="00EC7A69"/>
    <w:rsid w:val="00EC7B4F"/>
    <w:rsid w:val="00EC7E1D"/>
    <w:rsid w:val="00EC7EF6"/>
    <w:rsid w:val="00EC7FC5"/>
    <w:rsid w:val="00ED01AD"/>
    <w:rsid w:val="00ED0253"/>
    <w:rsid w:val="00ED0354"/>
    <w:rsid w:val="00ED0385"/>
    <w:rsid w:val="00ED03BA"/>
    <w:rsid w:val="00ED0502"/>
    <w:rsid w:val="00ED0595"/>
    <w:rsid w:val="00ED05A5"/>
    <w:rsid w:val="00ED06CB"/>
    <w:rsid w:val="00ED08EA"/>
    <w:rsid w:val="00ED0A11"/>
    <w:rsid w:val="00ED0B6F"/>
    <w:rsid w:val="00ED0C6F"/>
    <w:rsid w:val="00ED0CD2"/>
    <w:rsid w:val="00ED0D9A"/>
    <w:rsid w:val="00ED0DB6"/>
    <w:rsid w:val="00ED0E18"/>
    <w:rsid w:val="00ED0E5D"/>
    <w:rsid w:val="00ED0E95"/>
    <w:rsid w:val="00ED0FC9"/>
    <w:rsid w:val="00ED1103"/>
    <w:rsid w:val="00ED118E"/>
    <w:rsid w:val="00ED1286"/>
    <w:rsid w:val="00ED137E"/>
    <w:rsid w:val="00ED14CC"/>
    <w:rsid w:val="00ED1600"/>
    <w:rsid w:val="00ED16CF"/>
    <w:rsid w:val="00ED1737"/>
    <w:rsid w:val="00ED17E1"/>
    <w:rsid w:val="00ED1862"/>
    <w:rsid w:val="00ED186C"/>
    <w:rsid w:val="00ED19A7"/>
    <w:rsid w:val="00ED1DF9"/>
    <w:rsid w:val="00ED1E23"/>
    <w:rsid w:val="00ED1E64"/>
    <w:rsid w:val="00ED1F43"/>
    <w:rsid w:val="00ED1FDE"/>
    <w:rsid w:val="00ED2170"/>
    <w:rsid w:val="00ED2354"/>
    <w:rsid w:val="00ED2498"/>
    <w:rsid w:val="00ED2560"/>
    <w:rsid w:val="00ED25B5"/>
    <w:rsid w:val="00ED269C"/>
    <w:rsid w:val="00ED29D6"/>
    <w:rsid w:val="00ED2B40"/>
    <w:rsid w:val="00ED2DC4"/>
    <w:rsid w:val="00ED2E07"/>
    <w:rsid w:val="00ED3074"/>
    <w:rsid w:val="00ED321B"/>
    <w:rsid w:val="00ED36C3"/>
    <w:rsid w:val="00ED3893"/>
    <w:rsid w:val="00ED3917"/>
    <w:rsid w:val="00ED39A6"/>
    <w:rsid w:val="00ED39B0"/>
    <w:rsid w:val="00ED3C1C"/>
    <w:rsid w:val="00ED3EB9"/>
    <w:rsid w:val="00ED3F24"/>
    <w:rsid w:val="00ED3F72"/>
    <w:rsid w:val="00ED4040"/>
    <w:rsid w:val="00ED42A5"/>
    <w:rsid w:val="00ED434A"/>
    <w:rsid w:val="00ED44F9"/>
    <w:rsid w:val="00ED467F"/>
    <w:rsid w:val="00ED46AF"/>
    <w:rsid w:val="00ED4994"/>
    <w:rsid w:val="00ED49AA"/>
    <w:rsid w:val="00ED4B58"/>
    <w:rsid w:val="00ED4F2C"/>
    <w:rsid w:val="00ED4F53"/>
    <w:rsid w:val="00ED549F"/>
    <w:rsid w:val="00ED561E"/>
    <w:rsid w:val="00ED5719"/>
    <w:rsid w:val="00ED57A5"/>
    <w:rsid w:val="00ED57D6"/>
    <w:rsid w:val="00ED59ED"/>
    <w:rsid w:val="00ED5A20"/>
    <w:rsid w:val="00ED5A57"/>
    <w:rsid w:val="00ED5DF4"/>
    <w:rsid w:val="00ED6310"/>
    <w:rsid w:val="00ED6376"/>
    <w:rsid w:val="00ED64AE"/>
    <w:rsid w:val="00ED66FB"/>
    <w:rsid w:val="00ED6711"/>
    <w:rsid w:val="00ED67FA"/>
    <w:rsid w:val="00ED6934"/>
    <w:rsid w:val="00ED6C45"/>
    <w:rsid w:val="00ED6C75"/>
    <w:rsid w:val="00ED6DBB"/>
    <w:rsid w:val="00ED6E9F"/>
    <w:rsid w:val="00ED722E"/>
    <w:rsid w:val="00ED7378"/>
    <w:rsid w:val="00ED752B"/>
    <w:rsid w:val="00ED776E"/>
    <w:rsid w:val="00ED77A7"/>
    <w:rsid w:val="00ED783B"/>
    <w:rsid w:val="00ED78E8"/>
    <w:rsid w:val="00ED7BBA"/>
    <w:rsid w:val="00ED7E53"/>
    <w:rsid w:val="00ED7F6E"/>
    <w:rsid w:val="00EE011E"/>
    <w:rsid w:val="00EE02EA"/>
    <w:rsid w:val="00EE0304"/>
    <w:rsid w:val="00EE0327"/>
    <w:rsid w:val="00EE04A4"/>
    <w:rsid w:val="00EE05CD"/>
    <w:rsid w:val="00EE062B"/>
    <w:rsid w:val="00EE080F"/>
    <w:rsid w:val="00EE0877"/>
    <w:rsid w:val="00EE09DE"/>
    <w:rsid w:val="00EE0A6B"/>
    <w:rsid w:val="00EE0B57"/>
    <w:rsid w:val="00EE0C7A"/>
    <w:rsid w:val="00EE0C8A"/>
    <w:rsid w:val="00EE0D8F"/>
    <w:rsid w:val="00EE0E41"/>
    <w:rsid w:val="00EE1153"/>
    <w:rsid w:val="00EE1154"/>
    <w:rsid w:val="00EE1204"/>
    <w:rsid w:val="00EE127D"/>
    <w:rsid w:val="00EE136F"/>
    <w:rsid w:val="00EE13D1"/>
    <w:rsid w:val="00EE1447"/>
    <w:rsid w:val="00EE1877"/>
    <w:rsid w:val="00EE198D"/>
    <w:rsid w:val="00EE19D7"/>
    <w:rsid w:val="00EE1A55"/>
    <w:rsid w:val="00EE1BF1"/>
    <w:rsid w:val="00EE1C07"/>
    <w:rsid w:val="00EE1C97"/>
    <w:rsid w:val="00EE1DC0"/>
    <w:rsid w:val="00EE1E33"/>
    <w:rsid w:val="00EE1F6E"/>
    <w:rsid w:val="00EE2110"/>
    <w:rsid w:val="00EE2333"/>
    <w:rsid w:val="00EE2336"/>
    <w:rsid w:val="00EE23E5"/>
    <w:rsid w:val="00EE2527"/>
    <w:rsid w:val="00EE2921"/>
    <w:rsid w:val="00EE2C2A"/>
    <w:rsid w:val="00EE2FFC"/>
    <w:rsid w:val="00EE323E"/>
    <w:rsid w:val="00EE33A9"/>
    <w:rsid w:val="00EE3417"/>
    <w:rsid w:val="00EE35DC"/>
    <w:rsid w:val="00EE3AAB"/>
    <w:rsid w:val="00EE3C23"/>
    <w:rsid w:val="00EE3C65"/>
    <w:rsid w:val="00EE3EC9"/>
    <w:rsid w:val="00EE3FFE"/>
    <w:rsid w:val="00EE41D4"/>
    <w:rsid w:val="00EE4345"/>
    <w:rsid w:val="00EE4465"/>
    <w:rsid w:val="00EE4478"/>
    <w:rsid w:val="00EE4864"/>
    <w:rsid w:val="00EE48E5"/>
    <w:rsid w:val="00EE4965"/>
    <w:rsid w:val="00EE4A50"/>
    <w:rsid w:val="00EE4AE5"/>
    <w:rsid w:val="00EE4B43"/>
    <w:rsid w:val="00EE4F5C"/>
    <w:rsid w:val="00EE52CD"/>
    <w:rsid w:val="00EE53AF"/>
    <w:rsid w:val="00EE5599"/>
    <w:rsid w:val="00EE55FF"/>
    <w:rsid w:val="00EE56BC"/>
    <w:rsid w:val="00EE57A7"/>
    <w:rsid w:val="00EE5E0A"/>
    <w:rsid w:val="00EE5E39"/>
    <w:rsid w:val="00EE5EDF"/>
    <w:rsid w:val="00EE64FF"/>
    <w:rsid w:val="00EE65CC"/>
    <w:rsid w:val="00EE6878"/>
    <w:rsid w:val="00EE691C"/>
    <w:rsid w:val="00EE69E8"/>
    <w:rsid w:val="00EE6B5B"/>
    <w:rsid w:val="00EE6BA6"/>
    <w:rsid w:val="00EE6CD6"/>
    <w:rsid w:val="00EE6DE1"/>
    <w:rsid w:val="00EE6EB7"/>
    <w:rsid w:val="00EE6F35"/>
    <w:rsid w:val="00EE70AD"/>
    <w:rsid w:val="00EE73E6"/>
    <w:rsid w:val="00EE770B"/>
    <w:rsid w:val="00EE7744"/>
    <w:rsid w:val="00EE7816"/>
    <w:rsid w:val="00EE7929"/>
    <w:rsid w:val="00EE7C54"/>
    <w:rsid w:val="00EE7FEE"/>
    <w:rsid w:val="00EF0085"/>
    <w:rsid w:val="00EF009C"/>
    <w:rsid w:val="00EF02BE"/>
    <w:rsid w:val="00EF036D"/>
    <w:rsid w:val="00EF03E1"/>
    <w:rsid w:val="00EF060F"/>
    <w:rsid w:val="00EF062A"/>
    <w:rsid w:val="00EF0751"/>
    <w:rsid w:val="00EF0799"/>
    <w:rsid w:val="00EF07BC"/>
    <w:rsid w:val="00EF082F"/>
    <w:rsid w:val="00EF0B31"/>
    <w:rsid w:val="00EF0BCA"/>
    <w:rsid w:val="00EF0C3A"/>
    <w:rsid w:val="00EF0D7A"/>
    <w:rsid w:val="00EF0F3E"/>
    <w:rsid w:val="00EF1277"/>
    <w:rsid w:val="00EF12E6"/>
    <w:rsid w:val="00EF145E"/>
    <w:rsid w:val="00EF1492"/>
    <w:rsid w:val="00EF14C2"/>
    <w:rsid w:val="00EF157A"/>
    <w:rsid w:val="00EF17F7"/>
    <w:rsid w:val="00EF18DD"/>
    <w:rsid w:val="00EF19C0"/>
    <w:rsid w:val="00EF1A2A"/>
    <w:rsid w:val="00EF1F35"/>
    <w:rsid w:val="00EF1F8D"/>
    <w:rsid w:val="00EF20E8"/>
    <w:rsid w:val="00EF231D"/>
    <w:rsid w:val="00EF232C"/>
    <w:rsid w:val="00EF23BE"/>
    <w:rsid w:val="00EF2484"/>
    <w:rsid w:val="00EF2B19"/>
    <w:rsid w:val="00EF2BBB"/>
    <w:rsid w:val="00EF2BDD"/>
    <w:rsid w:val="00EF2C8F"/>
    <w:rsid w:val="00EF2F2C"/>
    <w:rsid w:val="00EF304A"/>
    <w:rsid w:val="00EF345B"/>
    <w:rsid w:val="00EF37DF"/>
    <w:rsid w:val="00EF3AC4"/>
    <w:rsid w:val="00EF3B63"/>
    <w:rsid w:val="00EF3BE0"/>
    <w:rsid w:val="00EF3E07"/>
    <w:rsid w:val="00EF3ED8"/>
    <w:rsid w:val="00EF40FD"/>
    <w:rsid w:val="00EF425F"/>
    <w:rsid w:val="00EF43A1"/>
    <w:rsid w:val="00EF43FF"/>
    <w:rsid w:val="00EF44BF"/>
    <w:rsid w:val="00EF44CA"/>
    <w:rsid w:val="00EF4621"/>
    <w:rsid w:val="00EF464D"/>
    <w:rsid w:val="00EF4883"/>
    <w:rsid w:val="00EF4ACB"/>
    <w:rsid w:val="00EF4B90"/>
    <w:rsid w:val="00EF4C36"/>
    <w:rsid w:val="00EF4CD2"/>
    <w:rsid w:val="00EF4EE4"/>
    <w:rsid w:val="00EF4EE7"/>
    <w:rsid w:val="00EF5013"/>
    <w:rsid w:val="00EF5116"/>
    <w:rsid w:val="00EF52BB"/>
    <w:rsid w:val="00EF5311"/>
    <w:rsid w:val="00EF5479"/>
    <w:rsid w:val="00EF54C1"/>
    <w:rsid w:val="00EF5724"/>
    <w:rsid w:val="00EF5752"/>
    <w:rsid w:val="00EF575C"/>
    <w:rsid w:val="00EF5A6E"/>
    <w:rsid w:val="00EF5A94"/>
    <w:rsid w:val="00EF5AA6"/>
    <w:rsid w:val="00EF5B10"/>
    <w:rsid w:val="00EF5B13"/>
    <w:rsid w:val="00EF5B53"/>
    <w:rsid w:val="00EF5BAD"/>
    <w:rsid w:val="00EF5EFF"/>
    <w:rsid w:val="00EF602B"/>
    <w:rsid w:val="00EF60B7"/>
    <w:rsid w:val="00EF63A1"/>
    <w:rsid w:val="00EF6455"/>
    <w:rsid w:val="00EF6461"/>
    <w:rsid w:val="00EF65D1"/>
    <w:rsid w:val="00EF6702"/>
    <w:rsid w:val="00EF68E7"/>
    <w:rsid w:val="00EF6905"/>
    <w:rsid w:val="00EF6CCE"/>
    <w:rsid w:val="00EF6CF9"/>
    <w:rsid w:val="00EF6D51"/>
    <w:rsid w:val="00EF6D7F"/>
    <w:rsid w:val="00EF6E20"/>
    <w:rsid w:val="00EF7072"/>
    <w:rsid w:val="00EF7168"/>
    <w:rsid w:val="00EF7437"/>
    <w:rsid w:val="00EF7675"/>
    <w:rsid w:val="00EF78B0"/>
    <w:rsid w:val="00EF7B57"/>
    <w:rsid w:val="00EF7BAD"/>
    <w:rsid w:val="00EF7CB2"/>
    <w:rsid w:val="00EF7CF9"/>
    <w:rsid w:val="00EF7DE8"/>
    <w:rsid w:val="00EF7E47"/>
    <w:rsid w:val="00EF7ED7"/>
    <w:rsid w:val="00EF7EE0"/>
    <w:rsid w:val="00EF7F48"/>
    <w:rsid w:val="00F00478"/>
    <w:rsid w:val="00F00702"/>
    <w:rsid w:val="00F007A7"/>
    <w:rsid w:val="00F0082D"/>
    <w:rsid w:val="00F008A3"/>
    <w:rsid w:val="00F008F5"/>
    <w:rsid w:val="00F00B20"/>
    <w:rsid w:val="00F00C02"/>
    <w:rsid w:val="00F00C16"/>
    <w:rsid w:val="00F00C9D"/>
    <w:rsid w:val="00F00D2C"/>
    <w:rsid w:val="00F00D42"/>
    <w:rsid w:val="00F00E69"/>
    <w:rsid w:val="00F01068"/>
    <w:rsid w:val="00F01173"/>
    <w:rsid w:val="00F014A2"/>
    <w:rsid w:val="00F015AB"/>
    <w:rsid w:val="00F0165C"/>
    <w:rsid w:val="00F016AA"/>
    <w:rsid w:val="00F017B4"/>
    <w:rsid w:val="00F017E6"/>
    <w:rsid w:val="00F01875"/>
    <w:rsid w:val="00F0193C"/>
    <w:rsid w:val="00F01988"/>
    <w:rsid w:val="00F01B5F"/>
    <w:rsid w:val="00F01E29"/>
    <w:rsid w:val="00F01E45"/>
    <w:rsid w:val="00F01E7E"/>
    <w:rsid w:val="00F01FC2"/>
    <w:rsid w:val="00F021FC"/>
    <w:rsid w:val="00F022A0"/>
    <w:rsid w:val="00F0237D"/>
    <w:rsid w:val="00F02519"/>
    <w:rsid w:val="00F02690"/>
    <w:rsid w:val="00F026EF"/>
    <w:rsid w:val="00F02D48"/>
    <w:rsid w:val="00F030B8"/>
    <w:rsid w:val="00F03124"/>
    <w:rsid w:val="00F0322B"/>
    <w:rsid w:val="00F03233"/>
    <w:rsid w:val="00F035E5"/>
    <w:rsid w:val="00F0370B"/>
    <w:rsid w:val="00F03D75"/>
    <w:rsid w:val="00F03F0B"/>
    <w:rsid w:val="00F03F28"/>
    <w:rsid w:val="00F040F0"/>
    <w:rsid w:val="00F042CC"/>
    <w:rsid w:val="00F0450A"/>
    <w:rsid w:val="00F045E0"/>
    <w:rsid w:val="00F04938"/>
    <w:rsid w:val="00F04D9B"/>
    <w:rsid w:val="00F04E15"/>
    <w:rsid w:val="00F0525B"/>
    <w:rsid w:val="00F053D4"/>
    <w:rsid w:val="00F0550C"/>
    <w:rsid w:val="00F05589"/>
    <w:rsid w:val="00F057AA"/>
    <w:rsid w:val="00F0598A"/>
    <w:rsid w:val="00F05D04"/>
    <w:rsid w:val="00F05DBF"/>
    <w:rsid w:val="00F05DE4"/>
    <w:rsid w:val="00F05F33"/>
    <w:rsid w:val="00F06014"/>
    <w:rsid w:val="00F0602F"/>
    <w:rsid w:val="00F06360"/>
    <w:rsid w:val="00F0655F"/>
    <w:rsid w:val="00F0686E"/>
    <w:rsid w:val="00F06CB0"/>
    <w:rsid w:val="00F06DBA"/>
    <w:rsid w:val="00F06DED"/>
    <w:rsid w:val="00F06F14"/>
    <w:rsid w:val="00F06F63"/>
    <w:rsid w:val="00F0712E"/>
    <w:rsid w:val="00F071A1"/>
    <w:rsid w:val="00F072BF"/>
    <w:rsid w:val="00F073AE"/>
    <w:rsid w:val="00F0753C"/>
    <w:rsid w:val="00F07551"/>
    <w:rsid w:val="00F075E9"/>
    <w:rsid w:val="00F0767A"/>
    <w:rsid w:val="00F07C50"/>
    <w:rsid w:val="00F07C90"/>
    <w:rsid w:val="00F07E17"/>
    <w:rsid w:val="00F07F68"/>
    <w:rsid w:val="00F1004C"/>
    <w:rsid w:val="00F100A1"/>
    <w:rsid w:val="00F103AE"/>
    <w:rsid w:val="00F10534"/>
    <w:rsid w:val="00F10761"/>
    <w:rsid w:val="00F10765"/>
    <w:rsid w:val="00F10875"/>
    <w:rsid w:val="00F10A26"/>
    <w:rsid w:val="00F10BF0"/>
    <w:rsid w:val="00F10CAC"/>
    <w:rsid w:val="00F10E25"/>
    <w:rsid w:val="00F10E87"/>
    <w:rsid w:val="00F10F28"/>
    <w:rsid w:val="00F10FA9"/>
    <w:rsid w:val="00F11067"/>
    <w:rsid w:val="00F11130"/>
    <w:rsid w:val="00F11168"/>
    <w:rsid w:val="00F11260"/>
    <w:rsid w:val="00F11416"/>
    <w:rsid w:val="00F1147A"/>
    <w:rsid w:val="00F11641"/>
    <w:rsid w:val="00F116DC"/>
    <w:rsid w:val="00F11AD9"/>
    <w:rsid w:val="00F11AEB"/>
    <w:rsid w:val="00F11B12"/>
    <w:rsid w:val="00F11BAF"/>
    <w:rsid w:val="00F11BB2"/>
    <w:rsid w:val="00F11C7D"/>
    <w:rsid w:val="00F11F45"/>
    <w:rsid w:val="00F11FC3"/>
    <w:rsid w:val="00F11FD8"/>
    <w:rsid w:val="00F1229C"/>
    <w:rsid w:val="00F12367"/>
    <w:rsid w:val="00F123B5"/>
    <w:rsid w:val="00F12585"/>
    <w:rsid w:val="00F12706"/>
    <w:rsid w:val="00F1287F"/>
    <w:rsid w:val="00F12958"/>
    <w:rsid w:val="00F12980"/>
    <w:rsid w:val="00F12A11"/>
    <w:rsid w:val="00F12BAE"/>
    <w:rsid w:val="00F12DB0"/>
    <w:rsid w:val="00F12DBA"/>
    <w:rsid w:val="00F132DE"/>
    <w:rsid w:val="00F134D5"/>
    <w:rsid w:val="00F1372F"/>
    <w:rsid w:val="00F1375F"/>
    <w:rsid w:val="00F138D7"/>
    <w:rsid w:val="00F13FC9"/>
    <w:rsid w:val="00F14305"/>
    <w:rsid w:val="00F144DF"/>
    <w:rsid w:val="00F146A0"/>
    <w:rsid w:val="00F14CAD"/>
    <w:rsid w:val="00F14E2F"/>
    <w:rsid w:val="00F15196"/>
    <w:rsid w:val="00F151B7"/>
    <w:rsid w:val="00F1527C"/>
    <w:rsid w:val="00F152A8"/>
    <w:rsid w:val="00F15334"/>
    <w:rsid w:val="00F15358"/>
    <w:rsid w:val="00F153C6"/>
    <w:rsid w:val="00F15782"/>
    <w:rsid w:val="00F15A9A"/>
    <w:rsid w:val="00F15B4C"/>
    <w:rsid w:val="00F15CB5"/>
    <w:rsid w:val="00F15D86"/>
    <w:rsid w:val="00F15E3B"/>
    <w:rsid w:val="00F16263"/>
    <w:rsid w:val="00F162C4"/>
    <w:rsid w:val="00F164B5"/>
    <w:rsid w:val="00F165E3"/>
    <w:rsid w:val="00F169D2"/>
    <w:rsid w:val="00F16A25"/>
    <w:rsid w:val="00F16FBB"/>
    <w:rsid w:val="00F16FEE"/>
    <w:rsid w:val="00F17047"/>
    <w:rsid w:val="00F17150"/>
    <w:rsid w:val="00F171D0"/>
    <w:rsid w:val="00F17306"/>
    <w:rsid w:val="00F17362"/>
    <w:rsid w:val="00F173CC"/>
    <w:rsid w:val="00F174BD"/>
    <w:rsid w:val="00F177A9"/>
    <w:rsid w:val="00F17926"/>
    <w:rsid w:val="00F17A41"/>
    <w:rsid w:val="00F17B6D"/>
    <w:rsid w:val="00F17ECC"/>
    <w:rsid w:val="00F17F26"/>
    <w:rsid w:val="00F20050"/>
    <w:rsid w:val="00F20122"/>
    <w:rsid w:val="00F201B2"/>
    <w:rsid w:val="00F20226"/>
    <w:rsid w:val="00F202C0"/>
    <w:rsid w:val="00F20447"/>
    <w:rsid w:val="00F2048A"/>
    <w:rsid w:val="00F2062A"/>
    <w:rsid w:val="00F20774"/>
    <w:rsid w:val="00F20B0E"/>
    <w:rsid w:val="00F20B59"/>
    <w:rsid w:val="00F20EBA"/>
    <w:rsid w:val="00F20F8A"/>
    <w:rsid w:val="00F20F94"/>
    <w:rsid w:val="00F20FCA"/>
    <w:rsid w:val="00F21113"/>
    <w:rsid w:val="00F2114A"/>
    <w:rsid w:val="00F2135F"/>
    <w:rsid w:val="00F213C3"/>
    <w:rsid w:val="00F2145E"/>
    <w:rsid w:val="00F2170F"/>
    <w:rsid w:val="00F21837"/>
    <w:rsid w:val="00F21A3A"/>
    <w:rsid w:val="00F21AA1"/>
    <w:rsid w:val="00F21B48"/>
    <w:rsid w:val="00F21B4E"/>
    <w:rsid w:val="00F21D30"/>
    <w:rsid w:val="00F21DBB"/>
    <w:rsid w:val="00F21F37"/>
    <w:rsid w:val="00F22169"/>
    <w:rsid w:val="00F223B4"/>
    <w:rsid w:val="00F223E9"/>
    <w:rsid w:val="00F224EB"/>
    <w:rsid w:val="00F225B0"/>
    <w:rsid w:val="00F2260B"/>
    <w:rsid w:val="00F226AF"/>
    <w:rsid w:val="00F22A24"/>
    <w:rsid w:val="00F22B41"/>
    <w:rsid w:val="00F22BDB"/>
    <w:rsid w:val="00F22C73"/>
    <w:rsid w:val="00F22D4A"/>
    <w:rsid w:val="00F22F89"/>
    <w:rsid w:val="00F2302C"/>
    <w:rsid w:val="00F2306F"/>
    <w:rsid w:val="00F2339B"/>
    <w:rsid w:val="00F23490"/>
    <w:rsid w:val="00F234C1"/>
    <w:rsid w:val="00F23703"/>
    <w:rsid w:val="00F23739"/>
    <w:rsid w:val="00F23754"/>
    <w:rsid w:val="00F2380B"/>
    <w:rsid w:val="00F23B97"/>
    <w:rsid w:val="00F23C95"/>
    <w:rsid w:val="00F23E50"/>
    <w:rsid w:val="00F24005"/>
    <w:rsid w:val="00F24030"/>
    <w:rsid w:val="00F240C9"/>
    <w:rsid w:val="00F241F5"/>
    <w:rsid w:val="00F244BA"/>
    <w:rsid w:val="00F24558"/>
    <w:rsid w:val="00F24959"/>
    <w:rsid w:val="00F2495F"/>
    <w:rsid w:val="00F24979"/>
    <w:rsid w:val="00F24A64"/>
    <w:rsid w:val="00F24A84"/>
    <w:rsid w:val="00F24EBA"/>
    <w:rsid w:val="00F25018"/>
    <w:rsid w:val="00F2521B"/>
    <w:rsid w:val="00F2569A"/>
    <w:rsid w:val="00F256DD"/>
    <w:rsid w:val="00F2574A"/>
    <w:rsid w:val="00F259E7"/>
    <w:rsid w:val="00F25BCA"/>
    <w:rsid w:val="00F25CEA"/>
    <w:rsid w:val="00F25DA7"/>
    <w:rsid w:val="00F25EFA"/>
    <w:rsid w:val="00F25F9F"/>
    <w:rsid w:val="00F26129"/>
    <w:rsid w:val="00F26277"/>
    <w:rsid w:val="00F26551"/>
    <w:rsid w:val="00F2656F"/>
    <w:rsid w:val="00F26588"/>
    <w:rsid w:val="00F2661E"/>
    <w:rsid w:val="00F2665E"/>
    <w:rsid w:val="00F26831"/>
    <w:rsid w:val="00F26B0C"/>
    <w:rsid w:val="00F26D5B"/>
    <w:rsid w:val="00F26DE6"/>
    <w:rsid w:val="00F26E2E"/>
    <w:rsid w:val="00F27039"/>
    <w:rsid w:val="00F270EE"/>
    <w:rsid w:val="00F271E7"/>
    <w:rsid w:val="00F27259"/>
    <w:rsid w:val="00F274D4"/>
    <w:rsid w:val="00F2769A"/>
    <w:rsid w:val="00F276B3"/>
    <w:rsid w:val="00F27727"/>
    <w:rsid w:val="00F27A2E"/>
    <w:rsid w:val="00F27C88"/>
    <w:rsid w:val="00F27DCF"/>
    <w:rsid w:val="00F27EA5"/>
    <w:rsid w:val="00F30089"/>
    <w:rsid w:val="00F3015C"/>
    <w:rsid w:val="00F304A4"/>
    <w:rsid w:val="00F304F4"/>
    <w:rsid w:val="00F305E9"/>
    <w:rsid w:val="00F30ADD"/>
    <w:rsid w:val="00F30BA6"/>
    <w:rsid w:val="00F30DEF"/>
    <w:rsid w:val="00F30E1B"/>
    <w:rsid w:val="00F30F1A"/>
    <w:rsid w:val="00F314A0"/>
    <w:rsid w:val="00F31898"/>
    <w:rsid w:val="00F318B2"/>
    <w:rsid w:val="00F31A75"/>
    <w:rsid w:val="00F31AE9"/>
    <w:rsid w:val="00F31B20"/>
    <w:rsid w:val="00F31B2F"/>
    <w:rsid w:val="00F31B5D"/>
    <w:rsid w:val="00F31B66"/>
    <w:rsid w:val="00F31EF6"/>
    <w:rsid w:val="00F31F3F"/>
    <w:rsid w:val="00F32273"/>
    <w:rsid w:val="00F32274"/>
    <w:rsid w:val="00F3233F"/>
    <w:rsid w:val="00F32409"/>
    <w:rsid w:val="00F32655"/>
    <w:rsid w:val="00F32660"/>
    <w:rsid w:val="00F326A4"/>
    <w:rsid w:val="00F32816"/>
    <w:rsid w:val="00F328BE"/>
    <w:rsid w:val="00F32B05"/>
    <w:rsid w:val="00F32EB8"/>
    <w:rsid w:val="00F33138"/>
    <w:rsid w:val="00F3314E"/>
    <w:rsid w:val="00F331B1"/>
    <w:rsid w:val="00F331BA"/>
    <w:rsid w:val="00F334E9"/>
    <w:rsid w:val="00F336E8"/>
    <w:rsid w:val="00F339C5"/>
    <w:rsid w:val="00F33ACD"/>
    <w:rsid w:val="00F33B83"/>
    <w:rsid w:val="00F33BBA"/>
    <w:rsid w:val="00F33BCD"/>
    <w:rsid w:val="00F33BD3"/>
    <w:rsid w:val="00F33DB8"/>
    <w:rsid w:val="00F34198"/>
    <w:rsid w:val="00F341D0"/>
    <w:rsid w:val="00F34561"/>
    <w:rsid w:val="00F345DB"/>
    <w:rsid w:val="00F34887"/>
    <w:rsid w:val="00F34A9F"/>
    <w:rsid w:val="00F34CF3"/>
    <w:rsid w:val="00F34E99"/>
    <w:rsid w:val="00F34F67"/>
    <w:rsid w:val="00F3507D"/>
    <w:rsid w:val="00F3508E"/>
    <w:rsid w:val="00F35170"/>
    <w:rsid w:val="00F3522F"/>
    <w:rsid w:val="00F352E4"/>
    <w:rsid w:val="00F3549F"/>
    <w:rsid w:val="00F35848"/>
    <w:rsid w:val="00F35861"/>
    <w:rsid w:val="00F35953"/>
    <w:rsid w:val="00F35AC0"/>
    <w:rsid w:val="00F35BBE"/>
    <w:rsid w:val="00F35C03"/>
    <w:rsid w:val="00F35C81"/>
    <w:rsid w:val="00F35E07"/>
    <w:rsid w:val="00F35E2C"/>
    <w:rsid w:val="00F361F2"/>
    <w:rsid w:val="00F36817"/>
    <w:rsid w:val="00F36BD3"/>
    <w:rsid w:val="00F36E07"/>
    <w:rsid w:val="00F36E99"/>
    <w:rsid w:val="00F36EF2"/>
    <w:rsid w:val="00F370F6"/>
    <w:rsid w:val="00F373C2"/>
    <w:rsid w:val="00F373D4"/>
    <w:rsid w:val="00F37450"/>
    <w:rsid w:val="00F37592"/>
    <w:rsid w:val="00F375FA"/>
    <w:rsid w:val="00F37692"/>
    <w:rsid w:val="00F3769F"/>
    <w:rsid w:val="00F37794"/>
    <w:rsid w:val="00F378AE"/>
    <w:rsid w:val="00F37A17"/>
    <w:rsid w:val="00F37CC8"/>
    <w:rsid w:val="00F37D0B"/>
    <w:rsid w:val="00F37D40"/>
    <w:rsid w:val="00F37E3C"/>
    <w:rsid w:val="00F4001F"/>
    <w:rsid w:val="00F40225"/>
    <w:rsid w:val="00F4025C"/>
    <w:rsid w:val="00F40563"/>
    <w:rsid w:val="00F405C3"/>
    <w:rsid w:val="00F40614"/>
    <w:rsid w:val="00F40AD8"/>
    <w:rsid w:val="00F40C9E"/>
    <w:rsid w:val="00F40CAB"/>
    <w:rsid w:val="00F41185"/>
    <w:rsid w:val="00F41187"/>
    <w:rsid w:val="00F4133B"/>
    <w:rsid w:val="00F4147B"/>
    <w:rsid w:val="00F415FB"/>
    <w:rsid w:val="00F415FE"/>
    <w:rsid w:val="00F417D9"/>
    <w:rsid w:val="00F41C57"/>
    <w:rsid w:val="00F42033"/>
    <w:rsid w:val="00F42063"/>
    <w:rsid w:val="00F421BE"/>
    <w:rsid w:val="00F423C1"/>
    <w:rsid w:val="00F424C4"/>
    <w:rsid w:val="00F426B5"/>
    <w:rsid w:val="00F42868"/>
    <w:rsid w:val="00F42AAD"/>
    <w:rsid w:val="00F42C8F"/>
    <w:rsid w:val="00F42C98"/>
    <w:rsid w:val="00F42E05"/>
    <w:rsid w:val="00F430D7"/>
    <w:rsid w:val="00F43114"/>
    <w:rsid w:val="00F43161"/>
    <w:rsid w:val="00F4336E"/>
    <w:rsid w:val="00F434E0"/>
    <w:rsid w:val="00F434E3"/>
    <w:rsid w:val="00F435A8"/>
    <w:rsid w:val="00F435E7"/>
    <w:rsid w:val="00F4372C"/>
    <w:rsid w:val="00F4375A"/>
    <w:rsid w:val="00F43A44"/>
    <w:rsid w:val="00F43C08"/>
    <w:rsid w:val="00F43E82"/>
    <w:rsid w:val="00F43ED5"/>
    <w:rsid w:val="00F44008"/>
    <w:rsid w:val="00F440EB"/>
    <w:rsid w:val="00F440FA"/>
    <w:rsid w:val="00F444E0"/>
    <w:rsid w:val="00F44513"/>
    <w:rsid w:val="00F44999"/>
    <w:rsid w:val="00F44B5A"/>
    <w:rsid w:val="00F44E48"/>
    <w:rsid w:val="00F44F15"/>
    <w:rsid w:val="00F44F8F"/>
    <w:rsid w:val="00F45236"/>
    <w:rsid w:val="00F453A5"/>
    <w:rsid w:val="00F4540D"/>
    <w:rsid w:val="00F45482"/>
    <w:rsid w:val="00F45781"/>
    <w:rsid w:val="00F45867"/>
    <w:rsid w:val="00F458F1"/>
    <w:rsid w:val="00F4598E"/>
    <w:rsid w:val="00F45B63"/>
    <w:rsid w:val="00F45CAB"/>
    <w:rsid w:val="00F45F62"/>
    <w:rsid w:val="00F4600D"/>
    <w:rsid w:val="00F4604C"/>
    <w:rsid w:val="00F46341"/>
    <w:rsid w:val="00F4648B"/>
    <w:rsid w:val="00F46494"/>
    <w:rsid w:val="00F46A11"/>
    <w:rsid w:val="00F46AFA"/>
    <w:rsid w:val="00F46DAD"/>
    <w:rsid w:val="00F46DB4"/>
    <w:rsid w:val="00F46E7B"/>
    <w:rsid w:val="00F46EA6"/>
    <w:rsid w:val="00F46F52"/>
    <w:rsid w:val="00F473DA"/>
    <w:rsid w:val="00F47561"/>
    <w:rsid w:val="00F47644"/>
    <w:rsid w:val="00F477B3"/>
    <w:rsid w:val="00F4783D"/>
    <w:rsid w:val="00F478D0"/>
    <w:rsid w:val="00F47B6F"/>
    <w:rsid w:val="00F47C53"/>
    <w:rsid w:val="00F47F27"/>
    <w:rsid w:val="00F50230"/>
    <w:rsid w:val="00F50248"/>
    <w:rsid w:val="00F503CC"/>
    <w:rsid w:val="00F5056D"/>
    <w:rsid w:val="00F506FA"/>
    <w:rsid w:val="00F50701"/>
    <w:rsid w:val="00F5093A"/>
    <w:rsid w:val="00F509A5"/>
    <w:rsid w:val="00F50A1E"/>
    <w:rsid w:val="00F50CA8"/>
    <w:rsid w:val="00F50D8F"/>
    <w:rsid w:val="00F50F04"/>
    <w:rsid w:val="00F51289"/>
    <w:rsid w:val="00F51293"/>
    <w:rsid w:val="00F5129B"/>
    <w:rsid w:val="00F51391"/>
    <w:rsid w:val="00F51434"/>
    <w:rsid w:val="00F51491"/>
    <w:rsid w:val="00F5149C"/>
    <w:rsid w:val="00F51713"/>
    <w:rsid w:val="00F5176A"/>
    <w:rsid w:val="00F517FC"/>
    <w:rsid w:val="00F5187B"/>
    <w:rsid w:val="00F51A43"/>
    <w:rsid w:val="00F51B1B"/>
    <w:rsid w:val="00F51BB6"/>
    <w:rsid w:val="00F51BF6"/>
    <w:rsid w:val="00F51C16"/>
    <w:rsid w:val="00F51D1C"/>
    <w:rsid w:val="00F51D2B"/>
    <w:rsid w:val="00F51D7F"/>
    <w:rsid w:val="00F520F0"/>
    <w:rsid w:val="00F521A3"/>
    <w:rsid w:val="00F521CB"/>
    <w:rsid w:val="00F52213"/>
    <w:rsid w:val="00F52294"/>
    <w:rsid w:val="00F5230C"/>
    <w:rsid w:val="00F523E5"/>
    <w:rsid w:val="00F52585"/>
    <w:rsid w:val="00F525B9"/>
    <w:rsid w:val="00F526F8"/>
    <w:rsid w:val="00F529DA"/>
    <w:rsid w:val="00F52A68"/>
    <w:rsid w:val="00F52B11"/>
    <w:rsid w:val="00F52B6A"/>
    <w:rsid w:val="00F52E04"/>
    <w:rsid w:val="00F52F6A"/>
    <w:rsid w:val="00F534BE"/>
    <w:rsid w:val="00F534DA"/>
    <w:rsid w:val="00F5363E"/>
    <w:rsid w:val="00F5365A"/>
    <w:rsid w:val="00F5397E"/>
    <w:rsid w:val="00F539DA"/>
    <w:rsid w:val="00F53AF6"/>
    <w:rsid w:val="00F53C05"/>
    <w:rsid w:val="00F53C32"/>
    <w:rsid w:val="00F53DFB"/>
    <w:rsid w:val="00F53F21"/>
    <w:rsid w:val="00F53F48"/>
    <w:rsid w:val="00F54274"/>
    <w:rsid w:val="00F542EB"/>
    <w:rsid w:val="00F5444B"/>
    <w:rsid w:val="00F547F3"/>
    <w:rsid w:val="00F54800"/>
    <w:rsid w:val="00F54AFA"/>
    <w:rsid w:val="00F54B14"/>
    <w:rsid w:val="00F54BCE"/>
    <w:rsid w:val="00F54DF0"/>
    <w:rsid w:val="00F54E4D"/>
    <w:rsid w:val="00F550A3"/>
    <w:rsid w:val="00F551CA"/>
    <w:rsid w:val="00F5523F"/>
    <w:rsid w:val="00F553A1"/>
    <w:rsid w:val="00F5541A"/>
    <w:rsid w:val="00F55AD6"/>
    <w:rsid w:val="00F55B2B"/>
    <w:rsid w:val="00F55E43"/>
    <w:rsid w:val="00F55F91"/>
    <w:rsid w:val="00F56024"/>
    <w:rsid w:val="00F56275"/>
    <w:rsid w:val="00F56290"/>
    <w:rsid w:val="00F56566"/>
    <w:rsid w:val="00F566DA"/>
    <w:rsid w:val="00F5670F"/>
    <w:rsid w:val="00F569E0"/>
    <w:rsid w:val="00F56B18"/>
    <w:rsid w:val="00F56DE1"/>
    <w:rsid w:val="00F56F0A"/>
    <w:rsid w:val="00F571D3"/>
    <w:rsid w:val="00F57466"/>
    <w:rsid w:val="00F576B9"/>
    <w:rsid w:val="00F57A07"/>
    <w:rsid w:val="00F57BED"/>
    <w:rsid w:val="00F57C1B"/>
    <w:rsid w:val="00F57E6A"/>
    <w:rsid w:val="00F57E78"/>
    <w:rsid w:val="00F57F43"/>
    <w:rsid w:val="00F57F4A"/>
    <w:rsid w:val="00F57F8E"/>
    <w:rsid w:val="00F60158"/>
    <w:rsid w:val="00F60198"/>
    <w:rsid w:val="00F605D3"/>
    <w:rsid w:val="00F605F0"/>
    <w:rsid w:val="00F606C3"/>
    <w:rsid w:val="00F60778"/>
    <w:rsid w:val="00F60913"/>
    <w:rsid w:val="00F609CC"/>
    <w:rsid w:val="00F60A44"/>
    <w:rsid w:val="00F60A7A"/>
    <w:rsid w:val="00F60B36"/>
    <w:rsid w:val="00F60B42"/>
    <w:rsid w:val="00F60DAC"/>
    <w:rsid w:val="00F60FB3"/>
    <w:rsid w:val="00F6110F"/>
    <w:rsid w:val="00F61135"/>
    <w:rsid w:val="00F6124B"/>
    <w:rsid w:val="00F6126D"/>
    <w:rsid w:val="00F615F5"/>
    <w:rsid w:val="00F61745"/>
    <w:rsid w:val="00F61862"/>
    <w:rsid w:val="00F6190F"/>
    <w:rsid w:val="00F61A18"/>
    <w:rsid w:val="00F61B67"/>
    <w:rsid w:val="00F61E98"/>
    <w:rsid w:val="00F62051"/>
    <w:rsid w:val="00F620D3"/>
    <w:rsid w:val="00F6210E"/>
    <w:rsid w:val="00F623BE"/>
    <w:rsid w:val="00F62428"/>
    <w:rsid w:val="00F625AF"/>
    <w:rsid w:val="00F62742"/>
    <w:rsid w:val="00F628C9"/>
    <w:rsid w:val="00F62B19"/>
    <w:rsid w:val="00F62B1B"/>
    <w:rsid w:val="00F62BF9"/>
    <w:rsid w:val="00F62C8D"/>
    <w:rsid w:val="00F62D11"/>
    <w:rsid w:val="00F62D41"/>
    <w:rsid w:val="00F62D42"/>
    <w:rsid w:val="00F62DEE"/>
    <w:rsid w:val="00F62F9B"/>
    <w:rsid w:val="00F630C3"/>
    <w:rsid w:val="00F6332B"/>
    <w:rsid w:val="00F6337D"/>
    <w:rsid w:val="00F6358E"/>
    <w:rsid w:val="00F636DE"/>
    <w:rsid w:val="00F637D3"/>
    <w:rsid w:val="00F637FB"/>
    <w:rsid w:val="00F63877"/>
    <w:rsid w:val="00F63A16"/>
    <w:rsid w:val="00F63D16"/>
    <w:rsid w:val="00F63E63"/>
    <w:rsid w:val="00F63E93"/>
    <w:rsid w:val="00F63EE5"/>
    <w:rsid w:val="00F640BF"/>
    <w:rsid w:val="00F6412A"/>
    <w:rsid w:val="00F6415F"/>
    <w:rsid w:val="00F644CC"/>
    <w:rsid w:val="00F64736"/>
    <w:rsid w:val="00F64748"/>
    <w:rsid w:val="00F64970"/>
    <w:rsid w:val="00F649DA"/>
    <w:rsid w:val="00F64BB0"/>
    <w:rsid w:val="00F64D33"/>
    <w:rsid w:val="00F64EAE"/>
    <w:rsid w:val="00F64EB9"/>
    <w:rsid w:val="00F65129"/>
    <w:rsid w:val="00F653C1"/>
    <w:rsid w:val="00F654C2"/>
    <w:rsid w:val="00F65527"/>
    <w:rsid w:val="00F658D5"/>
    <w:rsid w:val="00F659BD"/>
    <w:rsid w:val="00F659DB"/>
    <w:rsid w:val="00F65ABB"/>
    <w:rsid w:val="00F65F85"/>
    <w:rsid w:val="00F66095"/>
    <w:rsid w:val="00F660D8"/>
    <w:rsid w:val="00F662D5"/>
    <w:rsid w:val="00F66340"/>
    <w:rsid w:val="00F664E2"/>
    <w:rsid w:val="00F664E4"/>
    <w:rsid w:val="00F666C8"/>
    <w:rsid w:val="00F666F5"/>
    <w:rsid w:val="00F66745"/>
    <w:rsid w:val="00F667B4"/>
    <w:rsid w:val="00F667C1"/>
    <w:rsid w:val="00F667C2"/>
    <w:rsid w:val="00F668EE"/>
    <w:rsid w:val="00F66999"/>
    <w:rsid w:val="00F669CD"/>
    <w:rsid w:val="00F66A5C"/>
    <w:rsid w:val="00F66AB6"/>
    <w:rsid w:val="00F66B45"/>
    <w:rsid w:val="00F66D7C"/>
    <w:rsid w:val="00F66F38"/>
    <w:rsid w:val="00F67058"/>
    <w:rsid w:val="00F67361"/>
    <w:rsid w:val="00F67446"/>
    <w:rsid w:val="00F67587"/>
    <w:rsid w:val="00F67614"/>
    <w:rsid w:val="00F67758"/>
    <w:rsid w:val="00F6777A"/>
    <w:rsid w:val="00F6781F"/>
    <w:rsid w:val="00F678CF"/>
    <w:rsid w:val="00F67D6B"/>
    <w:rsid w:val="00F67E3C"/>
    <w:rsid w:val="00F67FB7"/>
    <w:rsid w:val="00F67FF8"/>
    <w:rsid w:val="00F7040E"/>
    <w:rsid w:val="00F70473"/>
    <w:rsid w:val="00F70564"/>
    <w:rsid w:val="00F7097D"/>
    <w:rsid w:val="00F70B2D"/>
    <w:rsid w:val="00F70CCF"/>
    <w:rsid w:val="00F70F30"/>
    <w:rsid w:val="00F7101C"/>
    <w:rsid w:val="00F711D2"/>
    <w:rsid w:val="00F71258"/>
    <w:rsid w:val="00F712A0"/>
    <w:rsid w:val="00F71571"/>
    <w:rsid w:val="00F71669"/>
    <w:rsid w:val="00F716AD"/>
    <w:rsid w:val="00F71706"/>
    <w:rsid w:val="00F7173E"/>
    <w:rsid w:val="00F718CB"/>
    <w:rsid w:val="00F718E6"/>
    <w:rsid w:val="00F71BEB"/>
    <w:rsid w:val="00F72087"/>
    <w:rsid w:val="00F720C9"/>
    <w:rsid w:val="00F72176"/>
    <w:rsid w:val="00F7232A"/>
    <w:rsid w:val="00F723F1"/>
    <w:rsid w:val="00F72479"/>
    <w:rsid w:val="00F7253A"/>
    <w:rsid w:val="00F727BF"/>
    <w:rsid w:val="00F727C7"/>
    <w:rsid w:val="00F72E12"/>
    <w:rsid w:val="00F72EC1"/>
    <w:rsid w:val="00F72F07"/>
    <w:rsid w:val="00F730D1"/>
    <w:rsid w:val="00F73182"/>
    <w:rsid w:val="00F7334E"/>
    <w:rsid w:val="00F7361A"/>
    <w:rsid w:val="00F7373C"/>
    <w:rsid w:val="00F737DB"/>
    <w:rsid w:val="00F738F2"/>
    <w:rsid w:val="00F73A5A"/>
    <w:rsid w:val="00F73C2D"/>
    <w:rsid w:val="00F73C33"/>
    <w:rsid w:val="00F73E6C"/>
    <w:rsid w:val="00F740E4"/>
    <w:rsid w:val="00F7448D"/>
    <w:rsid w:val="00F74578"/>
    <w:rsid w:val="00F74914"/>
    <w:rsid w:val="00F74AD9"/>
    <w:rsid w:val="00F74C70"/>
    <w:rsid w:val="00F75043"/>
    <w:rsid w:val="00F750C4"/>
    <w:rsid w:val="00F752A9"/>
    <w:rsid w:val="00F752B7"/>
    <w:rsid w:val="00F752B9"/>
    <w:rsid w:val="00F7555F"/>
    <w:rsid w:val="00F7587B"/>
    <w:rsid w:val="00F75A60"/>
    <w:rsid w:val="00F75BFB"/>
    <w:rsid w:val="00F75DC7"/>
    <w:rsid w:val="00F7613A"/>
    <w:rsid w:val="00F76155"/>
    <w:rsid w:val="00F762A5"/>
    <w:rsid w:val="00F762A8"/>
    <w:rsid w:val="00F7630A"/>
    <w:rsid w:val="00F7678F"/>
    <w:rsid w:val="00F76A2D"/>
    <w:rsid w:val="00F76B02"/>
    <w:rsid w:val="00F76B06"/>
    <w:rsid w:val="00F76B27"/>
    <w:rsid w:val="00F76CB8"/>
    <w:rsid w:val="00F76E42"/>
    <w:rsid w:val="00F76ED4"/>
    <w:rsid w:val="00F76FF1"/>
    <w:rsid w:val="00F77260"/>
    <w:rsid w:val="00F77480"/>
    <w:rsid w:val="00F77521"/>
    <w:rsid w:val="00F778A9"/>
    <w:rsid w:val="00F77B05"/>
    <w:rsid w:val="00F77C83"/>
    <w:rsid w:val="00F77D1E"/>
    <w:rsid w:val="00F77DC0"/>
    <w:rsid w:val="00F77FAF"/>
    <w:rsid w:val="00F800BE"/>
    <w:rsid w:val="00F801F3"/>
    <w:rsid w:val="00F80374"/>
    <w:rsid w:val="00F80438"/>
    <w:rsid w:val="00F8044F"/>
    <w:rsid w:val="00F80936"/>
    <w:rsid w:val="00F809DF"/>
    <w:rsid w:val="00F80DBA"/>
    <w:rsid w:val="00F80DC5"/>
    <w:rsid w:val="00F80E50"/>
    <w:rsid w:val="00F8108A"/>
    <w:rsid w:val="00F810EA"/>
    <w:rsid w:val="00F811F9"/>
    <w:rsid w:val="00F81205"/>
    <w:rsid w:val="00F81765"/>
    <w:rsid w:val="00F817F3"/>
    <w:rsid w:val="00F8199C"/>
    <w:rsid w:val="00F819AC"/>
    <w:rsid w:val="00F81A44"/>
    <w:rsid w:val="00F81A5E"/>
    <w:rsid w:val="00F81CB2"/>
    <w:rsid w:val="00F81D23"/>
    <w:rsid w:val="00F81D54"/>
    <w:rsid w:val="00F81F72"/>
    <w:rsid w:val="00F82074"/>
    <w:rsid w:val="00F8219C"/>
    <w:rsid w:val="00F821DF"/>
    <w:rsid w:val="00F8227B"/>
    <w:rsid w:val="00F823BC"/>
    <w:rsid w:val="00F8255E"/>
    <w:rsid w:val="00F82611"/>
    <w:rsid w:val="00F8261E"/>
    <w:rsid w:val="00F82692"/>
    <w:rsid w:val="00F82746"/>
    <w:rsid w:val="00F82943"/>
    <w:rsid w:val="00F8299C"/>
    <w:rsid w:val="00F82A53"/>
    <w:rsid w:val="00F82BF3"/>
    <w:rsid w:val="00F82C10"/>
    <w:rsid w:val="00F82D9E"/>
    <w:rsid w:val="00F82F74"/>
    <w:rsid w:val="00F8307D"/>
    <w:rsid w:val="00F831FA"/>
    <w:rsid w:val="00F83267"/>
    <w:rsid w:val="00F83313"/>
    <w:rsid w:val="00F83461"/>
    <w:rsid w:val="00F834C1"/>
    <w:rsid w:val="00F836F9"/>
    <w:rsid w:val="00F83AF3"/>
    <w:rsid w:val="00F83C66"/>
    <w:rsid w:val="00F83C7D"/>
    <w:rsid w:val="00F83D18"/>
    <w:rsid w:val="00F83D19"/>
    <w:rsid w:val="00F83E4D"/>
    <w:rsid w:val="00F83F17"/>
    <w:rsid w:val="00F84147"/>
    <w:rsid w:val="00F842CC"/>
    <w:rsid w:val="00F84535"/>
    <w:rsid w:val="00F845B5"/>
    <w:rsid w:val="00F845D7"/>
    <w:rsid w:val="00F84630"/>
    <w:rsid w:val="00F84787"/>
    <w:rsid w:val="00F8479F"/>
    <w:rsid w:val="00F8495C"/>
    <w:rsid w:val="00F84C89"/>
    <w:rsid w:val="00F84CA6"/>
    <w:rsid w:val="00F84D38"/>
    <w:rsid w:val="00F84E94"/>
    <w:rsid w:val="00F85120"/>
    <w:rsid w:val="00F85165"/>
    <w:rsid w:val="00F852DB"/>
    <w:rsid w:val="00F85638"/>
    <w:rsid w:val="00F857C1"/>
    <w:rsid w:val="00F858CD"/>
    <w:rsid w:val="00F85AC0"/>
    <w:rsid w:val="00F85B8A"/>
    <w:rsid w:val="00F85BEE"/>
    <w:rsid w:val="00F85DBB"/>
    <w:rsid w:val="00F85E71"/>
    <w:rsid w:val="00F86030"/>
    <w:rsid w:val="00F86073"/>
    <w:rsid w:val="00F860E2"/>
    <w:rsid w:val="00F862B1"/>
    <w:rsid w:val="00F86375"/>
    <w:rsid w:val="00F865E5"/>
    <w:rsid w:val="00F86760"/>
    <w:rsid w:val="00F86A36"/>
    <w:rsid w:val="00F86AAC"/>
    <w:rsid w:val="00F86B40"/>
    <w:rsid w:val="00F86BB1"/>
    <w:rsid w:val="00F86D42"/>
    <w:rsid w:val="00F876F0"/>
    <w:rsid w:val="00F87874"/>
    <w:rsid w:val="00F8787D"/>
    <w:rsid w:val="00F87A26"/>
    <w:rsid w:val="00F87A66"/>
    <w:rsid w:val="00F87B3A"/>
    <w:rsid w:val="00F900CD"/>
    <w:rsid w:val="00F901B2"/>
    <w:rsid w:val="00F9028F"/>
    <w:rsid w:val="00F9033F"/>
    <w:rsid w:val="00F9036C"/>
    <w:rsid w:val="00F9039B"/>
    <w:rsid w:val="00F9060A"/>
    <w:rsid w:val="00F90631"/>
    <w:rsid w:val="00F90AB1"/>
    <w:rsid w:val="00F90AE2"/>
    <w:rsid w:val="00F90B5F"/>
    <w:rsid w:val="00F90DF6"/>
    <w:rsid w:val="00F9132F"/>
    <w:rsid w:val="00F91493"/>
    <w:rsid w:val="00F9182B"/>
    <w:rsid w:val="00F918CB"/>
    <w:rsid w:val="00F91A5D"/>
    <w:rsid w:val="00F91AC0"/>
    <w:rsid w:val="00F91AC3"/>
    <w:rsid w:val="00F91AEB"/>
    <w:rsid w:val="00F91C7B"/>
    <w:rsid w:val="00F91CFF"/>
    <w:rsid w:val="00F91ECA"/>
    <w:rsid w:val="00F91ECB"/>
    <w:rsid w:val="00F91F28"/>
    <w:rsid w:val="00F9201D"/>
    <w:rsid w:val="00F92032"/>
    <w:rsid w:val="00F92103"/>
    <w:rsid w:val="00F92279"/>
    <w:rsid w:val="00F923CF"/>
    <w:rsid w:val="00F925F2"/>
    <w:rsid w:val="00F9268E"/>
    <w:rsid w:val="00F926DB"/>
    <w:rsid w:val="00F927B6"/>
    <w:rsid w:val="00F9291E"/>
    <w:rsid w:val="00F929E3"/>
    <w:rsid w:val="00F92AEE"/>
    <w:rsid w:val="00F92B12"/>
    <w:rsid w:val="00F92BB5"/>
    <w:rsid w:val="00F92BC6"/>
    <w:rsid w:val="00F92CB7"/>
    <w:rsid w:val="00F92E1E"/>
    <w:rsid w:val="00F92F5F"/>
    <w:rsid w:val="00F93181"/>
    <w:rsid w:val="00F931B5"/>
    <w:rsid w:val="00F93358"/>
    <w:rsid w:val="00F93541"/>
    <w:rsid w:val="00F937D7"/>
    <w:rsid w:val="00F9389A"/>
    <w:rsid w:val="00F938BF"/>
    <w:rsid w:val="00F93A3C"/>
    <w:rsid w:val="00F93DCA"/>
    <w:rsid w:val="00F940AE"/>
    <w:rsid w:val="00F940D0"/>
    <w:rsid w:val="00F94271"/>
    <w:rsid w:val="00F9449D"/>
    <w:rsid w:val="00F944AA"/>
    <w:rsid w:val="00F9457A"/>
    <w:rsid w:val="00F94589"/>
    <w:rsid w:val="00F94779"/>
    <w:rsid w:val="00F94803"/>
    <w:rsid w:val="00F9489A"/>
    <w:rsid w:val="00F9490E"/>
    <w:rsid w:val="00F949D0"/>
    <w:rsid w:val="00F94C07"/>
    <w:rsid w:val="00F94CFC"/>
    <w:rsid w:val="00F9501A"/>
    <w:rsid w:val="00F950C1"/>
    <w:rsid w:val="00F9514F"/>
    <w:rsid w:val="00F951DF"/>
    <w:rsid w:val="00F9520D"/>
    <w:rsid w:val="00F952B6"/>
    <w:rsid w:val="00F952D0"/>
    <w:rsid w:val="00F95812"/>
    <w:rsid w:val="00F9582C"/>
    <w:rsid w:val="00F958B9"/>
    <w:rsid w:val="00F959ED"/>
    <w:rsid w:val="00F95A23"/>
    <w:rsid w:val="00F95A77"/>
    <w:rsid w:val="00F95B74"/>
    <w:rsid w:val="00F95C86"/>
    <w:rsid w:val="00F95DC5"/>
    <w:rsid w:val="00F960D5"/>
    <w:rsid w:val="00F9610F"/>
    <w:rsid w:val="00F96125"/>
    <w:rsid w:val="00F961A0"/>
    <w:rsid w:val="00F96311"/>
    <w:rsid w:val="00F96364"/>
    <w:rsid w:val="00F96462"/>
    <w:rsid w:val="00F9653C"/>
    <w:rsid w:val="00F9669D"/>
    <w:rsid w:val="00F96972"/>
    <w:rsid w:val="00F9697A"/>
    <w:rsid w:val="00F96BD5"/>
    <w:rsid w:val="00F96D99"/>
    <w:rsid w:val="00F96EC4"/>
    <w:rsid w:val="00F96F77"/>
    <w:rsid w:val="00F97039"/>
    <w:rsid w:val="00F972DA"/>
    <w:rsid w:val="00F973D0"/>
    <w:rsid w:val="00F974BF"/>
    <w:rsid w:val="00F975F8"/>
    <w:rsid w:val="00F97755"/>
    <w:rsid w:val="00F977EA"/>
    <w:rsid w:val="00F9797A"/>
    <w:rsid w:val="00F979CA"/>
    <w:rsid w:val="00F97A02"/>
    <w:rsid w:val="00F97B7E"/>
    <w:rsid w:val="00F97DD2"/>
    <w:rsid w:val="00F97F3A"/>
    <w:rsid w:val="00FA00E4"/>
    <w:rsid w:val="00FA0186"/>
    <w:rsid w:val="00FA0205"/>
    <w:rsid w:val="00FA0234"/>
    <w:rsid w:val="00FA0511"/>
    <w:rsid w:val="00FA05A3"/>
    <w:rsid w:val="00FA05BA"/>
    <w:rsid w:val="00FA074C"/>
    <w:rsid w:val="00FA076D"/>
    <w:rsid w:val="00FA0909"/>
    <w:rsid w:val="00FA0AEF"/>
    <w:rsid w:val="00FA0B3A"/>
    <w:rsid w:val="00FA0FAC"/>
    <w:rsid w:val="00FA11FF"/>
    <w:rsid w:val="00FA1267"/>
    <w:rsid w:val="00FA12C9"/>
    <w:rsid w:val="00FA13A7"/>
    <w:rsid w:val="00FA13B2"/>
    <w:rsid w:val="00FA14AC"/>
    <w:rsid w:val="00FA18B3"/>
    <w:rsid w:val="00FA19AB"/>
    <w:rsid w:val="00FA19DD"/>
    <w:rsid w:val="00FA1AD1"/>
    <w:rsid w:val="00FA1C98"/>
    <w:rsid w:val="00FA1D2C"/>
    <w:rsid w:val="00FA1D32"/>
    <w:rsid w:val="00FA20B3"/>
    <w:rsid w:val="00FA20D3"/>
    <w:rsid w:val="00FA2102"/>
    <w:rsid w:val="00FA233E"/>
    <w:rsid w:val="00FA240B"/>
    <w:rsid w:val="00FA2415"/>
    <w:rsid w:val="00FA242B"/>
    <w:rsid w:val="00FA2521"/>
    <w:rsid w:val="00FA298E"/>
    <w:rsid w:val="00FA2A1B"/>
    <w:rsid w:val="00FA2A27"/>
    <w:rsid w:val="00FA2B43"/>
    <w:rsid w:val="00FA2C91"/>
    <w:rsid w:val="00FA2DEE"/>
    <w:rsid w:val="00FA2F3D"/>
    <w:rsid w:val="00FA31E8"/>
    <w:rsid w:val="00FA329E"/>
    <w:rsid w:val="00FA348A"/>
    <w:rsid w:val="00FA3541"/>
    <w:rsid w:val="00FA3602"/>
    <w:rsid w:val="00FA3814"/>
    <w:rsid w:val="00FA3C7C"/>
    <w:rsid w:val="00FA3CF0"/>
    <w:rsid w:val="00FA3D89"/>
    <w:rsid w:val="00FA3DB8"/>
    <w:rsid w:val="00FA3F55"/>
    <w:rsid w:val="00FA3FA6"/>
    <w:rsid w:val="00FA4010"/>
    <w:rsid w:val="00FA41CC"/>
    <w:rsid w:val="00FA4244"/>
    <w:rsid w:val="00FA42D7"/>
    <w:rsid w:val="00FA4576"/>
    <w:rsid w:val="00FA470C"/>
    <w:rsid w:val="00FA4CE2"/>
    <w:rsid w:val="00FA4D92"/>
    <w:rsid w:val="00FA4DD7"/>
    <w:rsid w:val="00FA4E58"/>
    <w:rsid w:val="00FA4E62"/>
    <w:rsid w:val="00FA4F13"/>
    <w:rsid w:val="00FA4FC5"/>
    <w:rsid w:val="00FA5081"/>
    <w:rsid w:val="00FA52AF"/>
    <w:rsid w:val="00FA53A4"/>
    <w:rsid w:val="00FA54F0"/>
    <w:rsid w:val="00FA54F4"/>
    <w:rsid w:val="00FA55F4"/>
    <w:rsid w:val="00FA578F"/>
    <w:rsid w:val="00FA5932"/>
    <w:rsid w:val="00FA5AAD"/>
    <w:rsid w:val="00FA5D2F"/>
    <w:rsid w:val="00FA5E17"/>
    <w:rsid w:val="00FA5E24"/>
    <w:rsid w:val="00FA6168"/>
    <w:rsid w:val="00FA61E4"/>
    <w:rsid w:val="00FA6242"/>
    <w:rsid w:val="00FA6558"/>
    <w:rsid w:val="00FA67EA"/>
    <w:rsid w:val="00FA690F"/>
    <w:rsid w:val="00FA697E"/>
    <w:rsid w:val="00FA6AC8"/>
    <w:rsid w:val="00FA6CA4"/>
    <w:rsid w:val="00FA6CC8"/>
    <w:rsid w:val="00FA6D3D"/>
    <w:rsid w:val="00FA6F92"/>
    <w:rsid w:val="00FA70F5"/>
    <w:rsid w:val="00FA71CB"/>
    <w:rsid w:val="00FA73FA"/>
    <w:rsid w:val="00FA7415"/>
    <w:rsid w:val="00FA74DD"/>
    <w:rsid w:val="00FA76FD"/>
    <w:rsid w:val="00FA7770"/>
    <w:rsid w:val="00FA77B4"/>
    <w:rsid w:val="00FA78AB"/>
    <w:rsid w:val="00FA79FE"/>
    <w:rsid w:val="00FA7A38"/>
    <w:rsid w:val="00FA7AA8"/>
    <w:rsid w:val="00FA7C7F"/>
    <w:rsid w:val="00FB0429"/>
    <w:rsid w:val="00FB0471"/>
    <w:rsid w:val="00FB0569"/>
    <w:rsid w:val="00FB05AF"/>
    <w:rsid w:val="00FB0681"/>
    <w:rsid w:val="00FB06BA"/>
    <w:rsid w:val="00FB0700"/>
    <w:rsid w:val="00FB07D0"/>
    <w:rsid w:val="00FB07E8"/>
    <w:rsid w:val="00FB099D"/>
    <w:rsid w:val="00FB0A00"/>
    <w:rsid w:val="00FB0BDA"/>
    <w:rsid w:val="00FB0EF0"/>
    <w:rsid w:val="00FB0FDB"/>
    <w:rsid w:val="00FB0FEC"/>
    <w:rsid w:val="00FB1396"/>
    <w:rsid w:val="00FB16BA"/>
    <w:rsid w:val="00FB18BE"/>
    <w:rsid w:val="00FB1923"/>
    <w:rsid w:val="00FB1B1D"/>
    <w:rsid w:val="00FB1C1E"/>
    <w:rsid w:val="00FB1C7B"/>
    <w:rsid w:val="00FB1D72"/>
    <w:rsid w:val="00FB1F1C"/>
    <w:rsid w:val="00FB1FEC"/>
    <w:rsid w:val="00FB20D8"/>
    <w:rsid w:val="00FB229D"/>
    <w:rsid w:val="00FB22A6"/>
    <w:rsid w:val="00FB22E7"/>
    <w:rsid w:val="00FB24DB"/>
    <w:rsid w:val="00FB2848"/>
    <w:rsid w:val="00FB2AB8"/>
    <w:rsid w:val="00FB2AE0"/>
    <w:rsid w:val="00FB2BE2"/>
    <w:rsid w:val="00FB2D03"/>
    <w:rsid w:val="00FB2E47"/>
    <w:rsid w:val="00FB306A"/>
    <w:rsid w:val="00FB30B6"/>
    <w:rsid w:val="00FB30F3"/>
    <w:rsid w:val="00FB315B"/>
    <w:rsid w:val="00FB3222"/>
    <w:rsid w:val="00FB3235"/>
    <w:rsid w:val="00FB33E2"/>
    <w:rsid w:val="00FB33FE"/>
    <w:rsid w:val="00FB356A"/>
    <w:rsid w:val="00FB3681"/>
    <w:rsid w:val="00FB36C4"/>
    <w:rsid w:val="00FB371E"/>
    <w:rsid w:val="00FB3787"/>
    <w:rsid w:val="00FB38D7"/>
    <w:rsid w:val="00FB3979"/>
    <w:rsid w:val="00FB3B03"/>
    <w:rsid w:val="00FB3B73"/>
    <w:rsid w:val="00FB3BBF"/>
    <w:rsid w:val="00FB3EAC"/>
    <w:rsid w:val="00FB4224"/>
    <w:rsid w:val="00FB42B7"/>
    <w:rsid w:val="00FB42F5"/>
    <w:rsid w:val="00FB43B3"/>
    <w:rsid w:val="00FB4595"/>
    <w:rsid w:val="00FB4A80"/>
    <w:rsid w:val="00FB4D21"/>
    <w:rsid w:val="00FB4EFB"/>
    <w:rsid w:val="00FB50B7"/>
    <w:rsid w:val="00FB51FC"/>
    <w:rsid w:val="00FB53C7"/>
    <w:rsid w:val="00FB5601"/>
    <w:rsid w:val="00FB561C"/>
    <w:rsid w:val="00FB5954"/>
    <w:rsid w:val="00FB5976"/>
    <w:rsid w:val="00FB5B51"/>
    <w:rsid w:val="00FB5D76"/>
    <w:rsid w:val="00FB5FB7"/>
    <w:rsid w:val="00FB5FCD"/>
    <w:rsid w:val="00FB608A"/>
    <w:rsid w:val="00FB612C"/>
    <w:rsid w:val="00FB619D"/>
    <w:rsid w:val="00FB643E"/>
    <w:rsid w:val="00FB64BC"/>
    <w:rsid w:val="00FB6509"/>
    <w:rsid w:val="00FB652B"/>
    <w:rsid w:val="00FB689B"/>
    <w:rsid w:val="00FB694C"/>
    <w:rsid w:val="00FB69C3"/>
    <w:rsid w:val="00FB6B12"/>
    <w:rsid w:val="00FB6CBF"/>
    <w:rsid w:val="00FB6E6E"/>
    <w:rsid w:val="00FB6EC6"/>
    <w:rsid w:val="00FB6FF0"/>
    <w:rsid w:val="00FB730C"/>
    <w:rsid w:val="00FB757E"/>
    <w:rsid w:val="00FB762B"/>
    <w:rsid w:val="00FB77E3"/>
    <w:rsid w:val="00FB78F5"/>
    <w:rsid w:val="00FB7AF3"/>
    <w:rsid w:val="00FB7B32"/>
    <w:rsid w:val="00FB7C44"/>
    <w:rsid w:val="00FB7DB6"/>
    <w:rsid w:val="00FB7ECB"/>
    <w:rsid w:val="00FB7F8A"/>
    <w:rsid w:val="00FB7FD5"/>
    <w:rsid w:val="00FC0003"/>
    <w:rsid w:val="00FC00EC"/>
    <w:rsid w:val="00FC01CA"/>
    <w:rsid w:val="00FC021A"/>
    <w:rsid w:val="00FC034D"/>
    <w:rsid w:val="00FC067C"/>
    <w:rsid w:val="00FC06FE"/>
    <w:rsid w:val="00FC09A1"/>
    <w:rsid w:val="00FC0A8D"/>
    <w:rsid w:val="00FC0AEF"/>
    <w:rsid w:val="00FC0B63"/>
    <w:rsid w:val="00FC0B8F"/>
    <w:rsid w:val="00FC0CD8"/>
    <w:rsid w:val="00FC0D46"/>
    <w:rsid w:val="00FC0D93"/>
    <w:rsid w:val="00FC0DE3"/>
    <w:rsid w:val="00FC0DF1"/>
    <w:rsid w:val="00FC0E31"/>
    <w:rsid w:val="00FC12D2"/>
    <w:rsid w:val="00FC1326"/>
    <w:rsid w:val="00FC13B4"/>
    <w:rsid w:val="00FC14D4"/>
    <w:rsid w:val="00FC16E7"/>
    <w:rsid w:val="00FC1816"/>
    <w:rsid w:val="00FC1C32"/>
    <w:rsid w:val="00FC1EC9"/>
    <w:rsid w:val="00FC1F1E"/>
    <w:rsid w:val="00FC2383"/>
    <w:rsid w:val="00FC23EE"/>
    <w:rsid w:val="00FC2415"/>
    <w:rsid w:val="00FC2696"/>
    <w:rsid w:val="00FC27F7"/>
    <w:rsid w:val="00FC281D"/>
    <w:rsid w:val="00FC293F"/>
    <w:rsid w:val="00FC2A06"/>
    <w:rsid w:val="00FC2A34"/>
    <w:rsid w:val="00FC2CAA"/>
    <w:rsid w:val="00FC30FD"/>
    <w:rsid w:val="00FC32FF"/>
    <w:rsid w:val="00FC334E"/>
    <w:rsid w:val="00FC36C2"/>
    <w:rsid w:val="00FC3710"/>
    <w:rsid w:val="00FC38FD"/>
    <w:rsid w:val="00FC3BCF"/>
    <w:rsid w:val="00FC3C0C"/>
    <w:rsid w:val="00FC3C41"/>
    <w:rsid w:val="00FC3C61"/>
    <w:rsid w:val="00FC3FF8"/>
    <w:rsid w:val="00FC4288"/>
    <w:rsid w:val="00FC42F5"/>
    <w:rsid w:val="00FC43FD"/>
    <w:rsid w:val="00FC44D9"/>
    <w:rsid w:val="00FC4508"/>
    <w:rsid w:val="00FC4537"/>
    <w:rsid w:val="00FC4793"/>
    <w:rsid w:val="00FC4834"/>
    <w:rsid w:val="00FC4A8F"/>
    <w:rsid w:val="00FC4DE8"/>
    <w:rsid w:val="00FC4DF9"/>
    <w:rsid w:val="00FC4EF1"/>
    <w:rsid w:val="00FC537E"/>
    <w:rsid w:val="00FC53E1"/>
    <w:rsid w:val="00FC5509"/>
    <w:rsid w:val="00FC575E"/>
    <w:rsid w:val="00FC5A65"/>
    <w:rsid w:val="00FC5B37"/>
    <w:rsid w:val="00FC5BFC"/>
    <w:rsid w:val="00FC5C59"/>
    <w:rsid w:val="00FC5C5D"/>
    <w:rsid w:val="00FC5E51"/>
    <w:rsid w:val="00FC5E9C"/>
    <w:rsid w:val="00FC6023"/>
    <w:rsid w:val="00FC6045"/>
    <w:rsid w:val="00FC6233"/>
    <w:rsid w:val="00FC638E"/>
    <w:rsid w:val="00FC63D3"/>
    <w:rsid w:val="00FC6440"/>
    <w:rsid w:val="00FC65D1"/>
    <w:rsid w:val="00FC6635"/>
    <w:rsid w:val="00FC674E"/>
    <w:rsid w:val="00FC6904"/>
    <w:rsid w:val="00FC697B"/>
    <w:rsid w:val="00FC6ADA"/>
    <w:rsid w:val="00FC6B4C"/>
    <w:rsid w:val="00FC6D99"/>
    <w:rsid w:val="00FC7061"/>
    <w:rsid w:val="00FC707F"/>
    <w:rsid w:val="00FC730B"/>
    <w:rsid w:val="00FC739B"/>
    <w:rsid w:val="00FC75DF"/>
    <w:rsid w:val="00FC76E8"/>
    <w:rsid w:val="00FC782F"/>
    <w:rsid w:val="00FC79AE"/>
    <w:rsid w:val="00FC79DE"/>
    <w:rsid w:val="00FC7B9B"/>
    <w:rsid w:val="00FC7CC4"/>
    <w:rsid w:val="00FC7CF3"/>
    <w:rsid w:val="00FC7E56"/>
    <w:rsid w:val="00FD00F4"/>
    <w:rsid w:val="00FD0194"/>
    <w:rsid w:val="00FD021E"/>
    <w:rsid w:val="00FD05D8"/>
    <w:rsid w:val="00FD07F1"/>
    <w:rsid w:val="00FD0B76"/>
    <w:rsid w:val="00FD0D31"/>
    <w:rsid w:val="00FD1130"/>
    <w:rsid w:val="00FD1155"/>
    <w:rsid w:val="00FD12AD"/>
    <w:rsid w:val="00FD1431"/>
    <w:rsid w:val="00FD143D"/>
    <w:rsid w:val="00FD17D4"/>
    <w:rsid w:val="00FD184A"/>
    <w:rsid w:val="00FD1A01"/>
    <w:rsid w:val="00FD1C09"/>
    <w:rsid w:val="00FD1DEB"/>
    <w:rsid w:val="00FD1EE4"/>
    <w:rsid w:val="00FD1FC3"/>
    <w:rsid w:val="00FD21E1"/>
    <w:rsid w:val="00FD2397"/>
    <w:rsid w:val="00FD255E"/>
    <w:rsid w:val="00FD2624"/>
    <w:rsid w:val="00FD294C"/>
    <w:rsid w:val="00FD2C95"/>
    <w:rsid w:val="00FD2EA6"/>
    <w:rsid w:val="00FD2EBD"/>
    <w:rsid w:val="00FD2F06"/>
    <w:rsid w:val="00FD3080"/>
    <w:rsid w:val="00FD33A9"/>
    <w:rsid w:val="00FD35C9"/>
    <w:rsid w:val="00FD3692"/>
    <w:rsid w:val="00FD36D3"/>
    <w:rsid w:val="00FD36FE"/>
    <w:rsid w:val="00FD3714"/>
    <w:rsid w:val="00FD38E9"/>
    <w:rsid w:val="00FD3BC8"/>
    <w:rsid w:val="00FD3EC8"/>
    <w:rsid w:val="00FD410E"/>
    <w:rsid w:val="00FD435C"/>
    <w:rsid w:val="00FD46BA"/>
    <w:rsid w:val="00FD4875"/>
    <w:rsid w:val="00FD488A"/>
    <w:rsid w:val="00FD4944"/>
    <w:rsid w:val="00FD4EBD"/>
    <w:rsid w:val="00FD4F8C"/>
    <w:rsid w:val="00FD50A5"/>
    <w:rsid w:val="00FD5425"/>
    <w:rsid w:val="00FD54A8"/>
    <w:rsid w:val="00FD5515"/>
    <w:rsid w:val="00FD5658"/>
    <w:rsid w:val="00FD56EC"/>
    <w:rsid w:val="00FD580A"/>
    <w:rsid w:val="00FD58B1"/>
    <w:rsid w:val="00FD5977"/>
    <w:rsid w:val="00FD5B96"/>
    <w:rsid w:val="00FD5CA6"/>
    <w:rsid w:val="00FD60D1"/>
    <w:rsid w:val="00FD6122"/>
    <w:rsid w:val="00FD6200"/>
    <w:rsid w:val="00FD623D"/>
    <w:rsid w:val="00FD63DA"/>
    <w:rsid w:val="00FD6444"/>
    <w:rsid w:val="00FD671B"/>
    <w:rsid w:val="00FD67E0"/>
    <w:rsid w:val="00FD6997"/>
    <w:rsid w:val="00FD6A10"/>
    <w:rsid w:val="00FD6A39"/>
    <w:rsid w:val="00FD6BA3"/>
    <w:rsid w:val="00FD6C4A"/>
    <w:rsid w:val="00FD6CDF"/>
    <w:rsid w:val="00FD6E9E"/>
    <w:rsid w:val="00FD6F59"/>
    <w:rsid w:val="00FD726D"/>
    <w:rsid w:val="00FD7332"/>
    <w:rsid w:val="00FD7563"/>
    <w:rsid w:val="00FD75C8"/>
    <w:rsid w:val="00FD7614"/>
    <w:rsid w:val="00FD7678"/>
    <w:rsid w:val="00FD7AAA"/>
    <w:rsid w:val="00FD7CAC"/>
    <w:rsid w:val="00FD7DE8"/>
    <w:rsid w:val="00FE0015"/>
    <w:rsid w:val="00FE015C"/>
    <w:rsid w:val="00FE055B"/>
    <w:rsid w:val="00FE061F"/>
    <w:rsid w:val="00FE06D4"/>
    <w:rsid w:val="00FE06E5"/>
    <w:rsid w:val="00FE0850"/>
    <w:rsid w:val="00FE0897"/>
    <w:rsid w:val="00FE08BE"/>
    <w:rsid w:val="00FE0A3F"/>
    <w:rsid w:val="00FE0E51"/>
    <w:rsid w:val="00FE11D4"/>
    <w:rsid w:val="00FE13FA"/>
    <w:rsid w:val="00FE16A9"/>
    <w:rsid w:val="00FE16EB"/>
    <w:rsid w:val="00FE16F1"/>
    <w:rsid w:val="00FE1811"/>
    <w:rsid w:val="00FE1859"/>
    <w:rsid w:val="00FE1C58"/>
    <w:rsid w:val="00FE2344"/>
    <w:rsid w:val="00FE2430"/>
    <w:rsid w:val="00FE251C"/>
    <w:rsid w:val="00FE2647"/>
    <w:rsid w:val="00FE28FA"/>
    <w:rsid w:val="00FE29C7"/>
    <w:rsid w:val="00FE2CA7"/>
    <w:rsid w:val="00FE2D4C"/>
    <w:rsid w:val="00FE2EC4"/>
    <w:rsid w:val="00FE2F65"/>
    <w:rsid w:val="00FE328A"/>
    <w:rsid w:val="00FE353F"/>
    <w:rsid w:val="00FE3554"/>
    <w:rsid w:val="00FE35DA"/>
    <w:rsid w:val="00FE3716"/>
    <w:rsid w:val="00FE37EB"/>
    <w:rsid w:val="00FE386B"/>
    <w:rsid w:val="00FE39D3"/>
    <w:rsid w:val="00FE3A55"/>
    <w:rsid w:val="00FE3C23"/>
    <w:rsid w:val="00FE3C60"/>
    <w:rsid w:val="00FE3E6C"/>
    <w:rsid w:val="00FE3FA1"/>
    <w:rsid w:val="00FE404C"/>
    <w:rsid w:val="00FE40C3"/>
    <w:rsid w:val="00FE4156"/>
    <w:rsid w:val="00FE41C8"/>
    <w:rsid w:val="00FE43C3"/>
    <w:rsid w:val="00FE4443"/>
    <w:rsid w:val="00FE4554"/>
    <w:rsid w:val="00FE4787"/>
    <w:rsid w:val="00FE4872"/>
    <w:rsid w:val="00FE4D1A"/>
    <w:rsid w:val="00FE51F8"/>
    <w:rsid w:val="00FE5290"/>
    <w:rsid w:val="00FE52AC"/>
    <w:rsid w:val="00FE53B1"/>
    <w:rsid w:val="00FE554B"/>
    <w:rsid w:val="00FE561B"/>
    <w:rsid w:val="00FE5656"/>
    <w:rsid w:val="00FE5908"/>
    <w:rsid w:val="00FE59DF"/>
    <w:rsid w:val="00FE5BE0"/>
    <w:rsid w:val="00FE5C2D"/>
    <w:rsid w:val="00FE5DC7"/>
    <w:rsid w:val="00FE5DE9"/>
    <w:rsid w:val="00FE5E12"/>
    <w:rsid w:val="00FE630A"/>
    <w:rsid w:val="00FE63FD"/>
    <w:rsid w:val="00FE64E4"/>
    <w:rsid w:val="00FE656B"/>
    <w:rsid w:val="00FE697D"/>
    <w:rsid w:val="00FE6A72"/>
    <w:rsid w:val="00FE6C96"/>
    <w:rsid w:val="00FE6EA6"/>
    <w:rsid w:val="00FE7052"/>
    <w:rsid w:val="00FE7243"/>
    <w:rsid w:val="00FE76E4"/>
    <w:rsid w:val="00FE777F"/>
    <w:rsid w:val="00FE78AA"/>
    <w:rsid w:val="00FE7997"/>
    <w:rsid w:val="00FE7A04"/>
    <w:rsid w:val="00FE7A4B"/>
    <w:rsid w:val="00FE7C33"/>
    <w:rsid w:val="00FE7DEE"/>
    <w:rsid w:val="00FF04A2"/>
    <w:rsid w:val="00FF05DE"/>
    <w:rsid w:val="00FF0671"/>
    <w:rsid w:val="00FF07EC"/>
    <w:rsid w:val="00FF0AB6"/>
    <w:rsid w:val="00FF0ABF"/>
    <w:rsid w:val="00FF0BA1"/>
    <w:rsid w:val="00FF0C25"/>
    <w:rsid w:val="00FF1174"/>
    <w:rsid w:val="00FF130D"/>
    <w:rsid w:val="00FF1403"/>
    <w:rsid w:val="00FF17C1"/>
    <w:rsid w:val="00FF1C20"/>
    <w:rsid w:val="00FF1C26"/>
    <w:rsid w:val="00FF1CBC"/>
    <w:rsid w:val="00FF1D24"/>
    <w:rsid w:val="00FF1E05"/>
    <w:rsid w:val="00FF1F77"/>
    <w:rsid w:val="00FF2138"/>
    <w:rsid w:val="00FF2444"/>
    <w:rsid w:val="00FF250F"/>
    <w:rsid w:val="00FF2518"/>
    <w:rsid w:val="00FF2578"/>
    <w:rsid w:val="00FF2638"/>
    <w:rsid w:val="00FF26FA"/>
    <w:rsid w:val="00FF287D"/>
    <w:rsid w:val="00FF28D9"/>
    <w:rsid w:val="00FF2C68"/>
    <w:rsid w:val="00FF2D25"/>
    <w:rsid w:val="00FF2DA8"/>
    <w:rsid w:val="00FF2E4B"/>
    <w:rsid w:val="00FF2E56"/>
    <w:rsid w:val="00FF2EAD"/>
    <w:rsid w:val="00FF2F21"/>
    <w:rsid w:val="00FF2F9E"/>
    <w:rsid w:val="00FF2FA6"/>
    <w:rsid w:val="00FF2FBC"/>
    <w:rsid w:val="00FF308C"/>
    <w:rsid w:val="00FF308D"/>
    <w:rsid w:val="00FF3144"/>
    <w:rsid w:val="00FF3160"/>
    <w:rsid w:val="00FF3280"/>
    <w:rsid w:val="00FF346B"/>
    <w:rsid w:val="00FF3767"/>
    <w:rsid w:val="00FF3D38"/>
    <w:rsid w:val="00FF3EB0"/>
    <w:rsid w:val="00FF4011"/>
    <w:rsid w:val="00FF40C5"/>
    <w:rsid w:val="00FF420E"/>
    <w:rsid w:val="00FF4321"/>
    <w:rsid w:val="00FF43A5"/>
    <w:rsid w:val="00FF43B9"/>
    <w:rsid w:val="00FF4487"/>
    <w:rsid w:val="00FF450B"/>
    <w:rsid w:val="00FF45D1"/>
    <w:rsid w:val="00FF4639"/>
    <w:rsid w:val="00FF48A3"/>
    <w:rsid w:val="00FF4A09"/>
    <w:rsid w:val="00FF4D8A"/>
    <w:rsid w:val="00FF4E5C"/>
    <w:rsid w:val="00FF4EDC"/>
    <w:rsid w:val="00FF506D"/>
    <w:rsid w:val="00FF50C0"/>
    <w:rsid w:val="00FF5153"/>
    <w:rsid w:val="00FF525C"/>
    <w:rsid w:val="00FF52AF"/>
    <w:rsid w:val="00FF5524"/>
    <w:rsid w:val="00FF56AA"/>
    <w:rsid w:val="00FF58F3"/>
    <w:rsid w:val="00FF592C"/>
    <w:rsid w:val="00FF5B6F"/>
    <w:rsid w:val="00FF5C1E"/>
    <w:rsid w:val="00FF5D41"/>
    <w:rsid w:val="00FF5F23"/>
    <w:rsid w:val="00FF621B"/>
    <w:rsid w:val="00FF637F"/>
    <w:rsid w:val="00FF654F"/>
    <w:rsid w:val="00FF6973"/>
    <w:rsid w:val="00FF6A1B"/>
    <w:rsid w:val="00FF6A95"/>
    <w:rsid w:val="00FF6C2A"/>
    <w:rsid w:val="00FF6C86"/>
    <w:rsid w:val="00FF6D75"/>
    <w:rsid w:val="00FF6DE5"/>
    <w:rsid w:val="00FF6E29"/>
    <w:rsid w:val="00FF6E35"/>
    <w:rsid w:val="00FF6FA3"/>
    <w:rsid w:val="00FF70A9"/>
    <w:rsid w:val="00FF736E"/>
    <w:rsid w:val="00FF73E6"/>
    <w:rsid w:val="00FF7430"/>
    <w:rsid w:val="00FF74B4"/>
    <w:rsid w:val="00FF7BEE"/>
    <w:rsid w:val="00FF7D5D"/>
    <w:rsid w:val="00FF7F1B"/>
    <w:rsid w:val="00FF7F4B"/>
    <w:rsid w:val="023D0245"/>
    <w:rsid w:val="024657C6"/>
    <w:rsid w:val="026FAF3D"/>
    <w:rsid w:val="02D43213"/>
    <w:rsid w:val="06E0384A"/>
    <w:rsid w:val="0762E47C"/>
    <w:rsid w:val="08A44CB9"/>
    <w:rsid w:val="08E4859B"/>
    <w:rsid w:val="09A80D4E"/>
    <w:rsid w:val="0BD7C927"/>
    <w:rsid w:val="0F3D8953"/>
    <w:rsid w:val="0F40CAE5"/>
    <w:rsid w:val="0F9E2637"/>
    <w:rsid w:val="1001B6FB"/>
    <w:rsid w:val="104EBD06"/>
    <w:rsid w:val="11ACE4F8"/>
    <w:rsid w:val="11B981FA"/>
    <w:rsid w:val="1214F0F1"/>
    <w:rsid w:val="136E21FA"/>
    <w:rsid w:val="14D51898"/>
    <w:rsid w:val="15795087"/>
    <w:rsid w:val="157DDB27"/>
    <w:rsid w:val="184D5A7D"/>
    <w:rsid w:val="1CA4EA5F"/>
    <w:rsid w:val="1D0556B4"/>
    <w:rsid w:val="1EB6CAA2"/>
    <w:rsid w:val="1EEA8ECF"/>
    <w:rsid w:val="1FD3A49A"/>
    <w:rsid w:val="20353889"/>
    <w:rsid w:val="209B0C03"/>
    <w:rsid w:val="20BC1386"/>
    <w:rsid w:val="210C3A9A"/>
    <w:rsid w:val="220A8C5B"/>
    <w:rsid w:val="24227A8B"/>
    <w:rsid w:val="2427C5F3"/>
    <w:rsid w:val="2640758B"/>
    <w:rsid w:val="26DF39FE"/>
    <w:rsid w:val="26F736C7"/>
    <w:rsid w:val="28B31B27"/>
    <w:rsid w:val="29DF9A8A"/>
    <w:rsid w:val="2AE631B6"/>
    <w:rsid w:val="2CC17113"/>
    <w:rsid w:val="2D891C17"/>
    <w:rsid w:val="2DA4A3A0"/>
    <w:rsid w:val="315DFD1C"/>
    <w:rsid w:val="3219348E"/>
    <w:rsid w:val="32B1A3FC"/>
    <w:rsid w:val="3428AF89"/>
    <w:rsid w:val="345964D4"/>
    <w:rsid w:val="3625A0FA"/>
    <w:rsid w:val="374AE3BF"/>
    <w:rsid w:val="378C91B4"/>
    <w:rsid w:val="39663690"/>
    <w:rsid w:val="3A16E93F"/>
    <w:rsid w:val="3C88AA3E"/>
    <w:rsid w:val="3CA7F935"/>
    <w:rsid w:val="3DD6A5D7"/>
    <w:rsid w:val="3DE24389"/>
    <w:rsid w:val="3F77104D"/>
    <w:rsid w:val="408BF104"/>
    <w:rsid w:val="42566E27"/>
    <w:rsid w:val="4307D18C"/>
    <w:rsid w:val="43527C3D"/>
    <w:rsid w:val="43581C71"/>
    <w:rsid w:val="441747F8"/>
    <w:rsid w:val="45C41DBD"/>
    <w:rsid w:val="45D89983"/>
    <w:rsid w:val="478F6C07"/>
    <w:rsid w:val="4881C3AE"/>
    <w:rsid w:val="492D996E"/>
    <w:rsid w:val="4BA272C7"/>
    <w:rsid w:val="4E04F8AD"/>
    <w:rsid w:val="4E6F7715"/>
    <w:rsid w:val="4F9988F8"/>
    <w:rsid w:val="4FAA2CE5"/>
    <w:rsid w:val="4FF1E071"/>
    <w:rsid w:val="5022555F"/>
    <w:rsid w:val="50A8E16C"/>
    <w:rsid w:val="5271763F"/>
    <w:rsid w:val="52A5EB8E"/>
    <w:rsid w:val="53B370BE"/>
    <w:rsid w:val="5401BF46"/>
    <w:rsid w:val="54961DC5"/>
    <w:rsid w:val="570CE786"/>
    <w:rsid w:val="57D78897"/>
    <w:rsid w:val="58F187B5"/>
    <w:rsid w:val="5997CB8C"/>
    <w:rsid w:val="5B5436A5"/>
    <w:rsid w:val="5B7E03FD"/>
    <w:rsid w:val="5C10C955"/>
    <w:rsid w:val="5E08C7DF"/>
    <w:rsid w:val="603994D0"/>
    <w:rsid w:val="61BEA213"/>
    <w:rsid w:val="639A7F9B"/>
    <w:rsid w:val="63B36AD3"/>
    <w:rsid w:val="64968BA2"/>
    <w:rsid w:val="64FCADF3"/>
    <w:rsid w:val="65C1CFDA"/>
    <w:rsid w:val="6833C9AE"/>
    <w:rsid w:val="69CC651D"/>
    <w:rsid w:val="6AED7212"/>
    <w:rsid w:val="6D87429C"/>
    <w:rsid w:val="6D92A58D"/>
    <w:rsid w:val="745237EE"/>
    <w:rsid w:val="745F4DA4"/>
    <w:rsid w:val="7482C82F"/>
    <w:rsid w:val="77A1C383"/>
    <w:rsid w:val="7817A2AE"/>
    <w:rsid w:val="788A6BA7"/>
    <w:rsid w:val="7967A1C7"/>
    <w:rsid w:val="79933960"/>
    <w:rsid w:val="79C85441"/>
    <w:rsid w:val="7C980259"/>
    <w:rsid w:val="7E15EFCB"/>
    <w:rsid w:val="7F909B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1540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B8F"/>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FC0B8F"/>
    <w:pPr>
      <w:spacing w:before="600" w:line="460" w:lineRule="exact"/>
      <w:outlineLvl w:val="0"/>
    </w:pPr>
    <w:rPr>
      <w:b/>
      <w:bCs w:val="0"/>
      <w:color w:val="2C384A" w:themeColor="accent1"/>
      <w:sz w:val="44"/>
    </w:rPr>
  </w:style>
  <w:style w:type="paragraph" w:styleId="Heading2">
    <w:name w:val="heading 2"/>
    <w:basedOn w:val="HeadingBase"/>
    <w:next w:val="Normal"/>
    <w:link w:val="Heading2Char"/>
    <w:qFormat/>
    <w:rsid w:val="00FC0B8F"/>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FC0B8F"/>
    <w:pPr>
      <w:spacing w:before="320" w:after="0" w:line="276" w:lineRule="auto"/>
      <w:outlineLvl w:val="2"/>
    </w:pPr>
    <w:rPr>
      <w:b/>
      <w:bCs w:val="0"/>
      <w:color w:val="2C384A" w:themeColor="accent1"/>
      <w:sz w:val="28"/>
      <w:szCs w:val="26"/>
    </w:rPr>
  </w:style>
  <w:style w:type="paragraph" w:styleId="Heading4">
    <w:name w:val="heading 4"/>
    <w:basedOn w:val="HeadingBase"/>
    <w:next w:val="Normal"/>
    <w:link w:val="Heading4Char"/>
    <w:qFormat/>
    <w:rsid w:val="00FC0B8F"/>
    <w:pPr>
      <w:spacing w:before="280" w:after="0" w:line="276" w:lineRule="auto"/>
      <w:outlineLvl w:val="3"/>
    </w:pPr>
    <w:rPr>
      <w:rFonts w:ascii="Calibri Light" w:hAnsi="Calibri Light"/>
      <w:bCs w:val="0"/>
      <w:color w:val="5D779D" w:themeColor="accent3"/>
      <w:sz w:val="24"/>
      <w:szCs w:val="26"/>
    </w:rPr>
  </w:style>
  <w:style w:type="paragraph" w:styleId="Heading5">
    <w:name w:val="heading 5"/>
    <w:basedOn w:val="HeadingBase"/>
    <w:next w:val="Normal"/>
    <w:link w:val="Heading5Char"/>
    <w:rsid w:val="00FC0B8F"/>
    <w:pPr>
      <w:spacing w:before="240" w:after="0" w:line="276" w:lineRule="auto"/>
      <w:outlineLvl w:val="4"/>
    </w:pPr>
    <w:rPr>
      <w:rFonts w:asciiTheme="majorHAnsi" w:hAnsiTheme="majorHAnsi"/>
      <w:b/>
      <w:bCs w:val="0"/>
      <w:iCs/>
      <w:color w:val="2C384A" w:themeColor="accent1"/>
      <w:sz w:val="22"/>
    </w:rPr>
  </w:style>
  <w:style w:type="paragraph" w:styleId="Heading6">
    <w:name w:val="heading 6"/>
    <w:basedOn w:val="HeadingBase"/>
    <w:next w:val="Normal"/>
    <w:link w:val="Heading6Char"/>
    <w:rsid w:val="00FC0B8F"/>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uiPriority w:val="9"/>
    <w:semiHidden/>
    <w:unhideWhenUsed/>
    <w:rsid w:val="0044523F"/>
    <w:pPr>
      <w:keepNext/>
      <w:keepLines/>
      <w:spacing w:before="40"/>
      <w:outlineLvl w:val="6"/>
    </w:pPr>
    <w:rPr>
      <w:rFonts w:asciiTheme="majorHAnsi" w:eastAsiaTheme="majorEastAsia" w:hAnsiTheme="majorHAnsi" w:cstheme="majorBidi"/>
      <w:iCs/>
      <w:color w:val="161B24" w:themeColor="accent1" w:themeShade="7F"/>
    </w:rPr>
  </w:style>
  <w:style w:type="paragraph" w:styleId="Heading8">
    <w:name w:val="heading 8"/>
    <w:basedOn w:val="Normal"/>
    <w:next w:val="Normal"/>
    <w:link w:val="Heading8Char"/>
    <w:uiPriority w:val="9"/>
    <w:unhideWhenUsed/>
    <w:rsid w:val="0044523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44523F"/>
    <w:pPr>
      <w:keepNext/>
      <w:keepLines/>
      <w:spacing w:before="40"/>
      <w:outlineLvl w:val="8"/>
    </w:pPr>
    <w:rPr>
      <w:rFonts w:asciiTheme="majorHAnsi" w:eastAsiaTheme="majorEastAsia" w:hAnsiTheme="majorHAnsi" w:cstheme="majorBidi"/>
      <w:iCs/>
      <w:color w:val="272727" w:themeColor="text1" w:themeTint="D8"/>
      <w:sz w:val="21"/>
      <w:szCs w:val="21"/>
    </w:rPr>
  </w:style>
  <w:style w:type="character" w:default="1" w:styleId="DefaultParagraphFont">
    <w:name w:val="Default Paragraph Font"/>
    <w:uiPriority w:val="1"/>
    <w:semiHidden/>
    <w:unhideWhenUsed/>
    <w:rsid w:val="00FC0B8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C0B8F"/>
  </w:style>
  <w:style w:type="character" w:customStyle="1" w:styleId="Heading1Char">
    <w:name w:val="Heading 1 Char"/>
    <w:basedOn w:val="DefaultParagraphFont"/>
    <w:link w:val="Heading1"/>
    <w:rsid w:val="00FC0B8F"/>
    <w:rPr>
      <w:rFonts w:ascii="Calibri" w:eastAsia="Times New Roman" w:hAnsi="Calibri" w:cs="Arial"/>
      <w:b/>
      <w:color w:val="2C384A" w:themeColor="accent1"/>
      <w:kern w:val="32"/>
      <w:sz w:val="44"/>
      <w:szCs w:val="36"/>
      <w:lang w:eastAsia="en-AU"/>
    </w:rPr>
  </w:style>
  <w:style w:type="character" w:customStyle="1" w:styleId="Heading2Char">
    <w:name w:val="Heading 2 Char"/>
    <w:basedOn w:val="DefaultParagraphFont"/>
    <w:link w:val="Heading2"/>
    <w:rsid w:val="00FC0B8F"/>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FC0B8F"/>
    <w:rPr>
      <w:rFonts w:ascii="Calibri" w:eastAsia="Times New Roman" w:hAnsi="Calibri" w:cs="Arial"/>
      <w:b/>
      <w:color w:val="2C384A" w:themeColor="accent1"/>
      <w:kern w:val="32"/>
      <w:sz w:val="28"/>
      <w:szCs w:val="26"/>
      <w:lang w:eastAsia="en-AU"/>
    </w:rPr>
  </w:style>
  <w:style w:type="character" w:customStyle="1" w:styleId="Heading4Char">
    <w:name w:val="Heading 4 Char"/>
    <w:basedOn w:val="DefaultParagraphFont"/>
    <w:link w:val="Heading4"/>
    <w:rsid w:val="00FC0B8F"/>
    <w:rPr>
      <w:rFonts w:ascii="Calibri Light" w:eastAsia="Times New Roman" w:hAnsi="Calibri Light" w:cs="Arial"/>
      <w:color w:val="5D779D" w:themeColor="accent3"/>
      <w:kern w:val="32"/>
      <w:sz w:val="24"/>
      <w:szCs w:val="26"/>
      <w:lang w:eastAsia="en-AU"/>
    </w:rPr>
  </w:style>
  <w:style w:type="character" w:customStyle="1" w:styleId="Heading5Char">
    <w:name w:val="Heading 5 Char"/>
    <w:basedOn w:val="DefaultParagraphFont"/>
    <w:link w:val="Heading5"/>
    <w:rsid w:val="00FC0B8F"/>
    <w:rPr>
      <w:rFonts w:asciiTheme="majorHAnsi" w:eastAsia="Times New Roman" w:hAnsiTheme="majorHAnsi" w:cs="Arial"/>
      <w:b/>
      <w:iCs/>
      <w:color w:val="2C384A" w:themeColor="accent1"/>
      <w:kern w:val="32"/>
      <w:szCs w:val="36"/>
      <w:lang w:eastAsia="en-AU"/>
    </w:rPr>
  </w:style>
  <w:style w:type="character" w:customStyle="1" w:styleId="Heading6Char">
    <w:name w:val="Heading 6 Char"/>
    <w:basedOn w:val="DefaultParagraphFont"/>
    <w:link w:val="Heading6"/>
    <w:rsid w:val="00FC0B8F"/>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FC0B8F"/>
    <w:pPr>
      <w:keepNext/>
      <w:spacing w:before="0" w:after="0"/>
      <w:jc w:val="center"/>
    </w:pPr>
    <w:rPr>
      <w:color w:val="004A7F"/>
      <w:sz w:val="20"/>
    </w:rPr>
  </w:style>
  <w:style w:type="paragraph" w:customStyle="1" w:styleId="AlphaParagraph">
    <w:name w:val="Alpha Paragraph"/>
    <w:basedOn w:val="Normal"/>
    <w:qFormat/>
    <w:rsid w:val="00FC0B8F"/>
    <w:pPr>
      <w:numPr>
        <w:ilvl w:val="1"/>
        <w:numId w:val="8"/>
      </w:numPr>
      <w:spacing w:before="0"/>
    </w:pPr>
  </w:style>
  <w:style w:type="character" w:customStyle="1" w:styleId="DashChar">
    <w:name w:val="Dash Char"/>
    <w:basedOn w:val="DefaultParagraphFont"/>
    <w:link w:val="Dash"/>
    <w:uiPriority w:val="99"/>
    <w:locked/>
    <w:rsid w:val="00FC0B8F"/>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FC0B8F"/>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FC0B8F"/>
    <w:rPr>
      <w:rFonts w:ascii="Calibri Light" w:eastAsia="Times New Roman" w:hAnsi="Calibri Light" w:cs="Times New Roman"/>
      <w:szCs w:val="20"/>
      <w:lang w:eastAsia="en-AU"/>
    </w:rPr>
  </w:style>
  <w:style w:type="paragraph" w:customStyle="1" w:styleId="BoxHeading">
    <w:name w:val="Box Heading"/>
    <w:basedOn w:val="Normal"/>
    <w:next w:val="Normal"/>
    <w:rsid w:val="00FC0B8F"/>
    <w:pPr>
      <w:keepNext/>
      <w:spacing w:before="240"/>
    </w:pPr>
    <w:rPr>
      <w:b/>
      <w:color w:val="2C384A" w:themeColor="accent1"/>
      <w:sz w:val="26"/>
      <w:szCs w:val="26"/>
    </w:rPr>
  </w:style>
  <w:style w:type="paragraph" w:customStyle="1" w:styleId="BoxText">
    <w:name w:val="Box Text"/>
    <w:basedOn w:val="Normal"/>
    <w:link w:val="BoxTextChar"/>
    <w:rsid w:val="00FC0B8F"/>
  </w:style>
  <w:style w:type="paragraph" w:customStyle="1" w:styleId="Bullet">
    <w:name w:val="Bullet"/>
    <w:basedOn w:val="Normal"/>
    <w:link w:val="BulletChar"/>
    <w:qFormat/>
    <w:rsid w:val="00FC0B8F"/>
    <w:pPr>
      <w:numPr>
        <w:numId w:val="11"/>
      </w:numPr>
      <w:tabs>
        <w:tab w:val="left" w:pos="720"/>
      </w:tabs>
      <w:spacing w:before="0" w:line="276" w:lineRule="auto"/>
    </w:pPr>
  </w:style>
  <w:style w:type="paragraph" w:customStyle="1" w:styleId="ChartandTableFootnoteAlpha">
    <w:name w:val="Chart and Table Footnote Alpha"/>
    <w:rsid w:val="00FC0B8F"/>
    <w:pPr>
      <w:numPr>
        <w:numId w:val="9"/>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FC0B8F"/>
    <w:pPr>
      <w:jc w:val="center"/>
    </w:pPr>
  </w:style>
  <w:style w:type="paragraph" w:customStyle="1" w:styleId="ChartorTableNote">
    <w:name w:val="Chart or Table Note"/>
    <w:next w:val="Normal"/>
    <w:rsid w:val="00FC0B8F"/>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FC0B8F"/>
    <w:pPr>
      <w:jc w:val="center"/>
    </w:pPr>
    <w:rPr>
      <w:b w:val="0"/>
      <w:bCs/>
    </w:rPr>
  </w:style>
  <w:style w:type="paragraph" w:customStyle="1" w:styleId="ReportDate">
    <w:name w:val="Report Date"/>
    <w:basedOn w:val="Normal"/>
    <w:link w:val="ReportDateChar"/>
    <w:rsid w:val="00FC0B8F"/>
    <w:pPr>
      <w:keepNext/>
      <w:spacing w:before="0" w:after="360"/>
    </w:pPr>
    <w:rPr>
      <w:color w:val="EEEEEE" w:themeColor="background2"/>
      <w:sz w:val="32"/>
    </w:rPr>
  </w:style>
  <w:style w:type="paragraph" w:customStyle="1" w:styleId="Dash">
    <w:name w:val="Dash"/>
    <w:basedOn w:val="Normal"/>
    <w:link w:val="DashChar"/>
    <w:uiPriority w:val="99"/>
    <w:qFormat/>
    <w:rsid w:val="00FC0B8F"/>
    <w:pPr>
      <w:numPr>
        <w:ilvl w:val="1"/>
        <w:numId w:val="11"/>
      </w:numPr>
      <w:spacing w:before="0"/>
    </w:pPr>
  </w:style>
  <w:style w:type="paragraph" w:customStyle="1" w:styleId="DoubleDot">
    <w:name w:val="Double Dot"/>
    <w:basedOn w:val="Normal"/>
    <w:link w:val="DoubleDotChar"/>
    <w:uiPriority w:val="99"/>
    <w:qFormat/>
    <w:rsid w:val="00FC0B8F"/>
    <w:pPr>
      <w:numPr>
        <w:ilvl w:val="2"/>
        <w:numId w:val="11"/>
      </w:numPr>
      <w:spacing w:before="0"/>
    </w:pPr>
  </w:style>
  <w:style w:type="paragraph" w:customStyle="1" w:styleId="TableMainHeading">
    <w:name w:val="Table Main Heading"/>
    <w:basedOn w:val="Heading3"/>
    <w:next w:val="Normal"/>
    <w:rsid w:val="00FC0B8F"/>
    <w:pPr>
      <w:spacing w:before="120"/>
    </w:pPr>
    <w:rPr>
      <w:b w:val="0"/>
      <w:sz w:val="26"/>
    </w:rPr>
  </w:style>
  <w:style w:type="paragraph" w:customStyle="1" w:styleId="FooterEven">
    <w:name w:val="Footer Even"/>
    <w:basedOn w:val="Footer"/>
    <w:rsid w:val="00FC0B8F"/>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FC0B8F"/>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FC0B8F"/>
    <w:rPr>
      <w:color w:val="3A6FAF"/>
      <w:u w:val="none"/>
    </w:rPr>
  </w:style>
  <w:style w:type="paragraph" w:customStyle="1" w:styleId="OutlineNumbered1">
    <w:name w:val="Outline Numbered 1"/>
    <w:basedOn w:val="Normal"/>
    <w:link w:val="OutlineNumbered1Char"/>
    <w:rsid w:val="00FC0B8F"/>
    <w:pPr>
      <w:numPr>
        <w:numId w:val="5"/>
      </w:numPr>
      <w:spacing w:before="0"/>
    </w:pPr>
  </w:style>
  <w:style w:type="paragraph" w:customStyle="1" w:styleId="OutlineNumbered2">
    <w:name w:val="Outline Numbered 2"/>
    <w:basedOn w:val="Normal"/>
    <w:link w:val="OutlineNumbered2Char"/>
    <w:rsid w:val="00FC0B8F"/>
    <w:pPr>
      <w:numPr>
        <w:ilvl w:val="1"/>
        <w:numId w:val="5"/>
      </w:numPr>
      <w:spacing w:before="0"/>
    </w:pPr>
  </w:style>
  <w:style w:type="paragraph" w:customStyle="1" w:styleId="OutlineNumbered3">
    <w:name w:val="Outline Numbered 3"/>
    <w:basedOn w:val="Normal"/>
    <w:link w:val="OutlineNumbered3Char"/>
    <w:rsid w:val="00FC0B8F"/>
    <w:pPr>
      <w:numPr>
        <w:ilvl w:val="2"/>
        <w:numId w:val="5"/>
      </w:numPr>
      <w:spacing w:before="0"/>
    </w:pPr>
  </w:style>
  <w:style w:type="paragraph" w:customStyle="1" w:styleId="SingleParagraph">
    <w:name w:val="Single Paragraph"/>
    <w:basedOn w:val="Normal"/>
    <w:next w:val="Normal"/>
    <w:link w:val="SingleParagraphChar"/>
    <w:rsid w:val="00FC0B8F"/>
    <w:pPr>
      <w:spacing w:before="0" w:after="0"/>
    </w:pPr>
  </w:style>
  <w:style w:type="paragraph" w:customStyle="1" w:styleId="TableSecondHeading">
    <w:name w:val="Table Second Heading"/>
    <w:basedOn w:val="Normal"/>
    <w:next w:val="Normal"/>
    <w:rsid w:val="00FC0B8F"/>
    <w:pPr>
      <w:keepNext/>
      <w:spacing w:before="0" w:after="20"/>
    </w:pPr>
    <w:rPr>
      <w:b/>
      <w:color w:val="004A7F"/>
    </w:rPr>
  </w:style>
  <w:style w:type="paragraph" w:customStyle="1" w:styleId="TableColumnHeadingCentred">
    <w:name w:val="Table Column Heading Centred"/>
    <w:basedOn w:val="TableTextLeft"/>
    <w:rsid w:val="00FC0B8F"/>
    <w:pPr>
      <w:jc w:val="center"/>
    </w:pPr>
    <w:rPr>
      <w:b/>
      <w:color w:val="2C384A" w:themeColor="accent1"/>
      <w:sz w:val="20"/>
    </w:rPr>
  </w:style>
  <w:style w:type="paragraph" w:customStyle="1" w:styleId="TableColumnHeadingLeft">
    <w:name w:val="Table Column Heading Left"/>
    <w:basedOn w:val="TableTextLeft"/>
    <w:rsid w:val="00FC0B8F"/>
    <w:rPr>
      <w:b/>
      <w:color w:val="2C384A" w:themeColor="accent1"/>
      <w:sz w:val="20"/>
    </w:rPr>
  </w:style>
  <w:style w:type="paragraph" w:customStyle="1" w:styleId="TableColumnHeadingRight">
    <w:name w:val="Table Column Heading Right"/>
    <w:basedOn w:val="TableTextLeft"/>
    <w:rsid w:val="00FC0B8F"/>
    <w:pPr>
      <w:jc w:val="right"/>
    </w:pPr>
    <w:rPr>
      <w:b/>
      <w:color w:val="2C384A" w:themeColor="accent1"/>
      <w:sz w:val="20"/>
    </w:rPr>
  </w:style>
  <w:style w:type="table" w:styleId="TableGrid">
    <w:name w:val="Table Grid"/>
    <w:basedOn w:val="TableNormal"/>
    <w:rsid w:val="00FC0B8F"/>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FC0B8F"/>
    <w:pPr>
      <w:jc w:val="center"/>
    </w:pPr>
  </w:style>
  <w:style w:type="paragraph" w:customStyle="1" w:styleId="TableTextLeft">
    <w:name w:val="Table Text Left"/>
    <w:basedOn w:val="TableTextRight"/>
    <w:rsid w:val="00FC0B8F"/>
    <w:pPr>
      <w:jc w:val="left"/>
    </w:pPr>
  </w:style>
  <w:style w:type="paragraph" w:customStyle="1" w:styleId="TableTextRight">
    <w:name w:val="Table Text Right"/>
    <w:basedOn w:val="Normal"/>
    <w:rsid w:val="00FC0B8F"/>
    <w:pPr>
      <w:spacing w:before="40" w:after="40"/>
      <w:jc w:val="right"/>
    </w:pPr>
    <w:rPr>
      <w:color w:val="000000"/>
      <w:sz w:val="18"/>
    </w:rPr>
  </w:style>
  <w:style w:type="paragraph" w:styleId="TOC1">
    <w:name w:val="toc 1"/>
    <w:basedOn w:val="Normal"/>
    <w:next w:val="Normal"/>
    <w:uiPriority w:val="39"/>
    <w:rsid w:val="00FC0B8F"/>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FC0B8F"/>
    <w:pPr>
      <w:keepNext/>
      <w:tabs>
        <w:tab w:val="right" w:leader="dot" w:pos="9072"/>
      </w:tabs>
      <w:spacing w:before="40" w:after="20"/>
      <w:ind w:right="-2"/>
    </w:pPr>
    <w:rPr>
      <w:noProof/>
      <w:color w:val="2C384A" w:themeColor="accent1"/>
    </w:rPr>
  </w:style>
  <w:style w:type="paragraph" w:styleId="TOC3">
    <w:name w:val="toc 3"/>
    <w:basedOn w:val="Normal"/>
    <w:next w:val="Normal"/>
    <w:uiPriority w:val="39"/>
    <w:rsid w:val="00FC0B8F"/>
    <w:pPr>
      <w:tabs>
        <w:tab w:val="right" w:leader="dot" w:pos="9072"/>
      </w:tabs>
      <w:spacing w:before="20" w:after="0"/>
      <w:ind w:left="284" w:right="-2"/>
    </w:pPr>
    <w:rPr>
      <w:rFonts w:cs="Calibri"/>
      <w:noProof/>
    </w:rPr>
  </w:style>
  <w:style w:type="numbering" w:customStyle="1" w:styleId="OutlineList">
    <w:name w:val="OutlineList"/>
    <w:uiPriority w:val="99"/>
    <w:rsid w:val="00FC0B8F"/>
    <w:pPr>
      <w:numPr>
        <w:numId w:val="4"/>
      </w:numPr>
    </w:pPr>
  </w:style>
  <w:style w:type="numbering" w:customStyle="1" w:styleId="BulletedList">
    <w:name w:val="Bulleted List"/>
    <w:uiPriority w:val="99"/>
    <w:rsid w:val="00FC0B8F"/>
    <w:pPr>
      <w:numPr>
        <w:numId w:val="1"/>
      </w:numPr>
    </w:pPr>
  </w:style>
  <w:style w:type="numbering" w:customStyle="1" w:styleId="BoxBulletedList">
    <w:name w:val="Box Bulleted List"/>
    <w:uiPriority w:val="99"/>
    <w:rsid w:val="00FC0B8F"/>
    <w:pPr>
      <w:numPr>
        <w:numId w:val="2"/>
      </w:numPr>
    </w:pPr>
  </w:style>
  <w:style w:type="numbering" w:customStyle="1" w:styleId="OneLevelList">
    <w:name w:val="OneLevelList"/>
    <w:uiPriority w:val="99"/>
    <w:rsid w:val="00FC0B8F"/>
    <w:pPr>
      <w:numPr>
        <w:numId w:val="3"/>
      </w:numPr>
    </w:pPr>
  </w:style>
  <w:style w:type="numbering" w:customStyle="1" w:styleId="ChartandTableFootnoteAlphaList">
    <w:name w:val="ChartandTableFootnoteAlphaList"/>
    <w:uiPriority w:val="99"/>
    <w:rsid w:val="00FC0B8F"/>
    <w:pPr>
      <w:numPr>
        <w:numId w:val="9"/>
      </w:numPr>
    </w:pPr>
  </w:style>
  <w:style w:type="paragraph" w:customStyle="1" w:styleId="Heading1Numbered">
    <w:name w:val="Heading 1 Numbered"/>
    <w:basedOn w:val="Heading1"/>
    <w:next w:val="Normal"/>
    <w:rsid w:val="00FC0B8F"/>
    <w:pPr>
      <w:numPr>
        <w:numId w:val="7"/>
      </w:numPr>
    </w:pPr>
  </w:style>
  <w:style w:type="character" w:customStyle="1" w:styleId="SingleParagraphChar">
    <w:name w:val="Single Paragraph Char"/>
    <w:basedOn w:val="DefaultParagraphFont"/>
    <w:link w:val="SingleParagraph"/>
    <w:rsid w:val="00FC0B8F"/>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FC0B8F"/>
    <w:pPr>
      <w:numPr>
        <w:ilvl w:val="1"/>
        <w:numId w:val="7"/>
      </w:numPr>
      <w:ind w:left="284" w:hanging="284"/>
    </w:pPr>
  </w:style>
  <w:style w:type="paragraph" w:customStyle="1" w:styleId="Heading3Numbered">
    <w:name w:val="Heading 3 Numbered"/>
    <w:basedOn w:val="Heading3"/>
    <w:rsid w:val="00FC0B8F"/>
    <w:pPr>
      <w:numPr>
        <w:ilvl w:val="2"/>
        <w:numId w:val="7"/>
      </w:numPr>
      <w:ind w:left="284" w:hanging="284"/>
    </w:pPr>
  </w:style>
  <w:style w:type="paragraph" w:styleId="Title">
    <w:name w:val="Title"/>
    <w:basedOn w:val="Normal"/>
    <w:next w:val="Normal"/>
    <w:link w:val="TitleChar"/>
    <w:uiPriority w:val="10"/>
    <w:rsid w:val="00FC0B8F"/>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FC0B8F"/>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FC0B8F"/>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FC0B8F"/>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FC0B8F"/>
    <w:rPr>
      <w:i/>
      <w:iCs/>
      <w:color w:val="808080" w:themeColor="text1" w:themeTint="7F"/>
    </w:rPr>
  </w:style>
  <w:style w:type="paragraph" w:styleId="Footer">
    <w:name w:val="footer"/>
    <w:basedOn w:val="Normal"/>
    <w:link w:val="FooterChar"/>
    <w:unhideWhenUsed/>
    <w:rsid w:val="00FC0B8F"/>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C0B8F"/>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FC0B8F"/>
    <w:pPr>
      <w:keepNext/>
      <w:spacing w:before="0" w:after="0"/>
      <w:jc w:val="right"/>
    </w:pPr>
    <w:rPr>
      <w:color w:val="004A7F"/>
      <w:sz w:val="20"/>
    </w:rPr>
  </w:style>
  <w:style w:type="character" w:customStyle="1" w:styleId="HeaderChar">
    <w:name w:val="Header Char"/>
    <w:basedOn w:val="DefaultParagraphFont"/>
    <w:link w:val="Header"/>
    <w:uiPriority w:val="99"/>
    <w:rsid w:val="00FC0B8F"/>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FC0B8F"/>
    <w:rPr>
      <w:color w:val="808080"/>
    </w:rPr>
  </w:style>
  <w:style w:type="paragraph" w:customStyle="1" w:styleId="AppendixHeading">
    <w:name w:val="Appendix Heading"/>
    <w:basedOn w:val="Heading1"/>
    <w:next w:val="Normal"/>
    <w:rsid w:val="00FC0B8F"/>
  </w:style>
  <w:style w:type="paragraph" w:customStyle="1" w:styleId="HeadingBase">
    <w:name w:val="Heading Base"/>
    <w:rsid w:val="00FC0B8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FC0B8F"/>
    <w:rPr>
      <w:rFonts w:ascii="Calibri Light" w:eastAsia="Times New Roman" w:hAnsi="Calibri Light" w:cs="Times New Roman"/>
      <w:color w:val="EEEEEE" w:themeColor="background2"/>
      <w:sz w:val="32"/>
      <w:szCs w:val="20"/>
      <w:lang w:eastAsia="en-AU"/>
    </w:rPr>
  </w:style>
  <w:style w:type="paragraph" w:customStyle="1" w:styleId="NotesHeading">
    <w:name w:val="Notes Heading"/>
    <w:basedOn w:val="Normal"/>
    <w:rsid w:val="00FC0B8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link w:val="ListParagraphChar"/>
    <w:uiPriority w:val="34"/>
    <w:rsid w:val="00FC0B8F"/>
    <w:pPr>
      <w:ind w:left="720"/>
      <w:contextualSpacing/>
    </w:pPr>
  </w:style>
  <w:style w:type="paragraph" w:customStyle="1" w:styleId="TableTextIndented">
    <w:name w:val="Table Text Indented"/>
    <w:basedOn w:val="TableTextLeft"/>
    <w:rsid w:val="00FC0B8F"/>
    <w:pPr>
      <w:ind w:left="284"/>
    </w:pPr>
  </w:style>
  <w:style w:type="paragraph" w:customStyle="1" w:styleId="TableHeadingContinued">
    <w:name w:val="Table Heading Continued"/>
    <w:basedOn w:val="TableMainHeading"/>
    <w:next w:val="TableGraphic"/>
    <w:rsid w:val="00FC0B8F"/>
  </w:style>
  <w:style w:type="paragraph" w:customStyle="1" w:styleId="TableGraphic">
    <w:name w:val="Table Graphic"/>
    <w:basedOn w:val="HeadingBase"/>
    <w:next w:val="Normal"/>
    <w:rsid w:val="00FC0B8F"/>
    <w:pPr>
      <w:spacing w:after="0"/>
    </w:pPr>
  </w:style>
  <w:style w:type="paragraph" w:customStyle="1" w:styleId="HeaderEven">
    <w:name w:val="Header Even"/>
    <w:basedOn w:val="Header"/>
    <w:qFormat/>
    <w:rsid w:val="00FC0B8F"/>
    <w:pPr>
      <w:jc w:val="left"/>
    </w:pPr>
    <w:rPr>
      <w:color w:val="002C47"/>
    </w:rPr>
  </w:style>
  <w:style w:type="paragraph" w:customStyle="1" w:styleId="HeaderOdd">
    <w:name w:val="Header Odd"/>
    <w:basedOn w:val="Header"/>
    <w:qFormat/>
    <w:rsid w:val="00FC0B8F"/>
    <w:rPr>
      <w:color w:val="002C47"/>
    </w:rPr>
  </w:style>
  <w:style w:type="paragraph" w:styleId="FootnoteText">
    <w:name w:val="footnote text"/>
    <w:basedOn w:val="Normal"/>
    <w:link w:val="FootnoteTextChar"/>
    <w:uiPriority w:val="99"/>
    <w:rsid w:val="00FC0B8F"/>
    <w:pPr>
      <w:spacing w:before="0" w:after="0"/>
      <w:ind w:left="397" w:hanging="397"/>
    </w:pPr>
    <w:rPr>
      <w:sz w:val="20"/>
    </w:rPr>
  </w:style>
  <w:style w:type="character" w:customStyle="1" w:styleId="FootnoteTextChar">
    <w:name w:val="Footnote Text Char"/>
    <w:basedOn w:val="DefaultParagraphFont"/>
    <w:link w:val="FootnoteText"/>
    <w:uiPriority w:val="99"/>
    <w:rsid w:val="00FC0B8F"/>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FC0B8F"/>
    <w:rPr>
      <w:sz w:val="18"/>
    </w:rPr>
  </w:style>
  <w:style w:type="paragraph" w:styleId="BalloonText">
    <w:name w:val="Balloon Text"/>
    <w:basedOn w:val="Normal"/>
    <w:link w:val="BalloonTextChar"/>
    <w:uiPriority w:val="99"/>
    <w:semiHidden/>
    <w:unhideWhenUsed/>
    <w:rsid w:val="00FC0B8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B8F"/>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FC0B8F"/>
    <w:rPr>
      <w:rFonts w:ascii="Calibri Light" w:eastAsia="Times New Roman" w:hAnsi="Calibri Light" w:cs="Times New Roman"/>
      <w:szCs w:val="20"/>
      <w:lang w:eastAsia="en-AU"/>
    </w:rPr>
  </w:style>
  <w:style w:type="paragraph" w:customStyle="1" w:styleId="Boxbullet">
    <w:name w:val="Box bullet"/>
    <w:basedOn w:val="Bullet"/>
    <w:rsid w:val="00FC0B8F"/>
    <w:pPr>
      <w:numPr>
        <w:numId w:val="34"/>
      </w:numPr>
      <w:tabs>
        <w:tab w:val="clear" w:pos="283"/>
        <w:tab w:val="num" w:pos="284"/>
        <w:tab w:val="num" w:pos="520"/>
      </w:tabs>
      <w:spacing w:before="60"/>
    </w:pPr>
    <w:rPr>
      <w:color w:val="0D0D0D" w:themeColor="text1" w:themeTint="F2"/>
    </w:rPr>
  </w:style>
  <w:style w:type="paragraph" w:customStyle="1" w:styleId="Boxdash">
    <w:name w:val="Box dash"/>
    <w:basedOn w:val="Dash"/>
    <w:rsid w:val="00FC0B8F"/>
    <w:pPr>
      <w:numPr>
        <w:numId w:val="34"/>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FC0B8F"/>
    <w:pPr>
      <w:numPr>
        <w:numId w:val="34"/>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FC0B8F"/>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FC0B8F"/>
    <w:rPr>
      <w:sz w:val="16"/>
      <w:szCs w:val="16"/>
    </w:rPr>
  </w:style>
  <w:style w:type="paragraph" w:styleId="CommentText">
    <w:name w:val="annotation text"/>
    <w:basedOn w:val="Normal"/>
    <w:link w:val="CommentTextChar"/>
    <w:uiPriority w:val="99"/>
    <w:unhideWhenUsed/>
    <w:rsid w:val="00FC0B8F"/>
    <w:rPr>
      <w:rFonts w:ascii="Calibri" w:hAnsi="Calibri"/>
      <w:sz w:val="20"/>
    </w:rPr>
  </w:style>
  <w:style w:type="character" w:customStyle="1" w:styleId="CommentTextChar">
    <w:name w:val="Comment Text Char"/>
    <w:basedOn w:val="DefaultParagraphFont"/>
    <w:link w:val="CommentText"/>
    <w:uiPriority w:val="99"/>
    <w:rsid w:val="00FC0B8F"/>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C0B8F"/>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C0B8F"/>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C0B8F"/>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C0B8F"/>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C0B8F"/>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C0B8F"/>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C0B8F"/>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C0B8F"/>
    <w:rPr>
      <w:rFonts w:ascii="Calibri" w:eastAsia="Times New Roman" w:hAnsi="Calibri" w:cs="Calibri"/>
      <w:b/>
      <w:color w:val="FF0000"/>
      <w:sz w:val="24"/>
      <w:szCs w:val="20"/>
      <w:lang w:eastAsia="en-AU"/>
    </w:rPr>
  </w:style>
  <w:style w:type="character" w:customStyle="1" w:styleId="ui-provider">
    <w:name w:val="ui-provider"/>
    <w:basedOn w:val="DefaultParagraphFont"/>
    <w:rsid w:val="00FC0B8F"/>
  </w:style>
  <w:style w:type="character" w:customStyle="1" w:styleId="Heading7Char">
    <w:name w:val="Heading 7 Char"/>
    <w:basedOn w:val="DefaultParagraphFont"/>
    <w:link w:val="Heading7"/>
    <w:uiPriority w:val="9"/>
    <w:semiHidden/>
    <w:rsid w:val="0044523F"/>
    <w:rPr>
      <w:rFonts w:asciiTheme="majorHAnsi" w:eastAsiaTheme="majorEastAsia" w:hAnsiTheme="majorHAnsi" w:cstheme="majorBidi"/>
      <w:iCs/>
      <w:color w:val="161B24" w:themeColor="accent1" w:themeShade="7F"/>
      <w:szCs w:val="20"/>
      <w:lang w:eastAsia="en-AU"/>
    </w:rPr>
  </w:style>
  <w:style w:type="character" w:customStyle="1" w:styleId="Heading8Char">
    <w:name w:val="Heading 8 Char"/>
    <w:basedOn w:val="DefaultParagraphFont"/>
    <w:link w:val="Heading8"/>
    <w:uiPriority w:val="9"/>
    <w:rsid w:val="0044523F"/>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rsid w:val="0044523F"/>
    <w:rPr>
      <w:rFonts w:asciiTheme="majorHAnsi" w:eastAsiaTheme="majorEastAsia" w:hAnsiTheme="majorHAnsi" w:cstheme="majorBidi"/>
      <w:iCs/>
      <w:color w:val="272727" w:themeColor="text1" w:themeTint="D8"/>
      <w:sz w:val="21"/>
      <w:szCs w:val="21"/>
      <w:lang w:eastAsia="en-AU"/>
    </w:rPr>
  </w:style>
  <w:style w:type="character" w:styleId="UnresolvedMention">
    <w:name w:val="Unresolved Mention"/>
    <w:basedOn w:val="DefaultParagraphFont"/>
    <w:uiPriority w:val="99"/>
    <w:semiHidden/>
    <w:unhideWhenUsed/>
    <w:rsid w:val="0044523F"/>
    <w:rPr>
      <w:color w:val="605E5C"/>
      <w:shd w:val="clear" w:color="auto" w:fill="E1DFDD"/>
    </w:rPr>
  </w:style>
  <w:style w:type="paragraph" w:styleId="NormalWeb">
    <w:name w:val="Normal (Web)"/>
    <w:basedOn w:val="Normal"/>
    <w:uiPriority w:val="99"/>
    <w:unhideWhenUsed/>
    <w:rsid w:val="0044523F"/>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44523F"/>
    <w:rPr>
      <w:rFonts w:ascii="Calibri Light" w:hAnsi="Calibri Light"/>
      <w:b/>
      <w:bCs/>
    </w:rPr>
  </w:style>
  <w:style w:type="character" w:customStyle="1" w:styleId="CommentSubjectChar">
    <w:name w:val="Comment Subject Char"/>
    <w:basedOn w:val="CommentTextChar"/>
    <w:link w:val="CommentSubject"/>
    <w:semiHidden/>
    <w:rsid w:val="0044523F"/>
    <w:rPr>
      <w:rFonts w:ascii="Calibri Light" w:eastAsia="Times New Roman" w:hAnsi="Calibri Light" w:cs="Times New Roman"/>
      <w:b/>
      <w:bCs/>
      <w:sz w:val="20"/>
      <w:szCs w:val="20"/>
      <w:lang w:eastAsia="en-AU"/>
    </w:rPr>
  </w:style>
  <w:style w:type="paragraph" w:customStyle="1" w:styleId="Heading1-NOTOC">
    <w:name w:val="Heading 1 - NO TOC"/>
    <w:basedOn w:val="Heading1"/>
    <w:qFormat/>
    <w:rsid w:val="00950D6C"/>
    <w:pPr>
      <w:outlineLvl w:val="9"/>
    </w:pPr>
  </w:style>
  <w:style w:type="paragraph" w:styleId="Revision">
    <w:name w:val="Revision"/>
    <w:hidden/>
    <w:uiPriority w:val="99"/>
    <w:semiHidden/>
    <w:rsid w:val="0044523F"/>
    <w:pPr>
      <w:spacing w:after="0" w:line="240" w:lineRule="auto"/>
    </w:pPr>
    <w:rPr>
      <w:rFonts w:ascii="Calibri Light" w:eastAsia="Times New Roman" w:hAnsi="Calibri Light" w:cs="Times New Roman"/>
      <w:szCs w:val="20"/>
      <w:lang w:eastAsia="en-AU"/>
    </w:rPr>
  </w:style>
  <w:style w:type="character" w:styleId="Mention">
    <w:name w:val="Mention"/>
    <w:basedOn w:val="DefaultParagraphFont"/>
    <w:uiPriority w:val="99"/>
    <w:unhideWhenUsed/>
    <w:rsid w:val="0044523F"/>
    <w:rPr>
      <w:color w:val="2B579A"/>
      <w:shd w:val="clear" w:color="auto" w:fill="E1DFDD"/>
    </w:rPr>
  </w:style>
  <w:style w:type="table" w:styleId="ListTable2-Accent2">
    <w:name w:val="List Table 2 Accent 2"/>
    <w:basedOn w:val="TableNormal"/>
    <w:uiPriority w:val="47"/>
    <w:rsid w:val="0044523F"/>
    <w:pPr>
      <w:spacing w:after="0" w:line="240" w:lineRule="auto"/>
    </w:pPr>
    <w:tblPr>
      <w:tblStyleRowBandSize w:val="1"/>
      <w:tblStyleColBandSize w:val="1"/>
      <w:tblBorders>
        <w:top w:val="single" w:sz="4" w:space="0" w:color="8CB59F" w:themeColor="accent2" w:themeTint="99"/>
        <w:bottom w:val="single" w:sz="4" w:space="0" w:color="8CB59F" w:themeColor="accent2" w:themeTint="99"/>
        <w:insideH w:val="single" w:sz="4" w:space="0" w:color="8CB59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6DF" w:themeFill="accent2" w:themeFillTint="33"/>
      </w:tcPr>
    </w:tblStylePr>
    <w:tblStylePr w:type="band1Horz">
      <w:tblPr/>
      <w:tcPr>
        <w:shd w:val="clear" w:color="auto" w:fill="D8E6DF" w:themeFill="accent2" w:themeFillTint="33"/>
      </w:tcPr>
    </w:tblStylePr>
  </w:style>
  <w:style w:type="table" w:styleId="GridTable6Colorful-Accent2">
    <w:name w:val="Grid Table 6 Colorful Accent 2"/>
    <w:basedOn w:val="TableNormal"/>
    <w:uiPriority w:val="51"/>
    <w:rsid w:val="0044523F"/>
    <w:pPr>
      <w:spacing w:after="0" w:line="240" w:lineRule="auto"/>
    </w:pPr>
    <w:rPr>
      <w:color w:val="395948" w:themeColor="accent2" w:themeShade="BF"/>
    </w:rPr>
    <w:tblPr>
      <w:tblStyleRowBandSize w:val="1"/>
      <w:tblStyleColBandSize w:val="1"/>
      <w:tblBorders>
        <w:top w:val="single" w:sz="4" w:space="0" w:color="8CB59F" w:themeColor="accent2" w:themeTint="99"/>
        <w:left w:val="single" w:sz="4" w:space="0" w:color="8CB59F" w:themeColor="accent2" w:themeTint="99"/>
        <w:bottom w:val="single" w:sz="4" w:space="0" w:color="8CB59F" w:themeColor="accent2" w:themeTint="99"/>
        <w:right w:val="single" w:sz="4" w:space="0" w:color="8CB59F" w:themeColor="accent2" w:themeTint="99"/>
        <w:insideH w:val="single" w:sz="4" w:space="0" w:color="8CB59F" w:themeColor="accent2" w:themeTint="99"/>
        <w:insideV w:val="single" w:sz="4" w:space="0" w:color="8CB59F" w:themeColor="accent2" w:themeTint="99"/>
      </w:tblBorders>
    </w:tblPr>
    <w:tblStylePr w:type="firstRow">
      <w:rPr>
        <w:b/>
        <w:bCs/>
      </w:rPr>
      <w:tblPr/>
      <w:tcPr>
        <w:tcBorders>
          <w:bottom w:val="single" w:sz="12" w:space="0" w:color="8CB59F" w:themeColor="accent2" w:themeTint="99"/>
        </w:tcBorders>
      </w:tcPr>
    </w:tblStylePr>
    <w:tblStylePr w:type="lastRow">
      <w:rPr>
        <w:b/>
        <w:bCs/>
      </w:rPr>
      <w:tblPr/>
      <w:tcPr>
        <w:tcBorders>
          <w:top w:val="double" w:sz="4" w:space="0" w:color="8CB59F" w:themeColor="accent2" w:themeTint="99"/>
        </w:tcBorders>
      </w:tcPr>
    </w:tblStylePr>
    <w:tblStylePr w:type="firstCol">
      <w:rPr>
        <w:b/>
        <w:bCs/>
      </w:rPr>
    </w:tblStylePr>
    <w:tblStylePr w:type="lastCol">
      <w:rPr>
        <w:b/>
        <w:bCs/>
      </w:rPr>
    </w:tblStylePr>
    <w:tblStylePr w:type="band1Vert">
      <w:tblPr/>
      <w:tcPr>
        <w:shd w:val="clear" w:color="auto" w:fill="D8E6DF" w:themeFill="accent2" w:themeFillTint="33"/>
      </w:tcPr>
    </w:tblStylePr>
    <w:tblStylePr w:type="band1Horz">
      <w:tblPr/>
      <w:tcPr>
        <w:shd w:val="clear" w:color="auto" w:fill="D8E6DF" w:themeFill="accent2" w:themeFillTint="33"/>
      </w:tcPr>
    </w:tblStylePr>
  </w:style>
  <w:style w:type="table" w:styleId="ListTable3-Accent2">
    <w:name w:val="List Table 3 Accent 2"/>
    <w:basedOn w:val="TableNormal"/>
    <w:uiPriority w:val="48"/>
    <w:rsid w:val="0044523F"/>
    <w:pPr>
      <w:spacing w:after="0" w:line="240" w:lineRule="auto"/>
    </w:pPr>
    <w:tblPr>
      <w:tblStyleRowBandSize w:val="1"/>
      <w:tblStyleColBandSize w:val="1"/>
      <w:tblBorders>
        <w:top w:val="single" w:sz="4" w:space="0" w:color="4D7861" w:themeColor="accent2"/>
        <w:left w:val="single" w:sz="4" w:space="0" w:color="4D7861" w:themeColor="accent2"/>
        <w:bottom w:val="single" w:sz="4" w:space="0" w:color="4D7861" w:themeColor="accent2"/>
        <w:right w:val="single" w:sz="4" w:space="0" w:color="4D7861" w:themeColor="accent2"/>
      </w:tblBorders>
    </w:tblPr>
    <w:tblStylePr w:type="firstRow">
      <w:rPr>
        <w:b/>
        <w:bCs/>
        <w:color w:val="FFFFFF" w:themeColor="background1"/>
      </w:rPr>
      <w:tblPr/>
      <w:tcPr>
        <w:shd w:val="clear" w:color="auto" w:fill="4D7861" w:themeFill="accent2"/>
      </w:tcPr>
    </w:tblStylePr>
    <w:tblStylePr w:type="lastRow">
      <w:rPr>
        <w:b/>
        <w:bCs/>
      </w:rPr>
      <w:tblPr/>
      <w:tcPr>
        <w:tcBorders>
          <w:top w:val="double" w:sz="4" w:space="0" w:color="4D786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7861" w:themeColor="accent2"/>
          <w:right w:val="single" w:sz="4" w:space="0" w:color="4D7861" w:themeColor="accent2"/>
        </w:tcBorders>
      </w:tcPr>
    </w:tblStylePr>
    <w:tblStylePr w:type="band1Horz">
      <w:tblPr/>
      <w:tcPr>
        <w:tcBorders>
          <w:top w:val="single" w:sz="4" w:space="0" w:color="4D7861" w:themeColor="accent2"/>
          <w:bottom w:val="single" w:sz="4" w:space="0" w:color="4D786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7861" w:themeColor="accent2"/>
          <w:left w:val="nil"/>
        </w:tcBorders>
      </w:tcPr>
    </w:tblStylePr>
    <w:tblStylePr w:type="swCell">
      <w:tblPr/>
      <w:tcPr>
        <w:tcBorders>
          <w:top w:val="double" w:sz="4" w:space="0" w:color="4D7861" w:themeColor="accent2"/>
          <w:right w:val="nil"/>
        </w:tcBorders>
      </w:tcPr>
    </w:tblStylePr>
  </w:style>
  <w:style w:type="table" w:styleId="GridTable4-Accent2">
    <w:name w:val="Grid Table 4 Accent 2"/>
    <w:basedOn w:val="TableNormal"/>
    <w:uiPriority w:val="49"/>
    <w:rsid w:val="0044523F"/>
    <w:pPr>
      <w:spacing w:after="0" w:line="240" w:lineRule="auto"/>
    </w:pPr>
    <w:tblPr>
      <w:tblStyleRowBandSize w:val="1"/>
      <w:tblStyleColBandSize w:val="1"/>
      <w:tblBorders>
        <w:top w:val="single" w:sz="4" w:space="0" w:color="8CB59F" w:themeColor="accent2" w:themeTint="99"/>
        <w:left w:val="single" w:sz="4" w:space="0" w:color="8CB59F" w:themeColor="accent2" w:themeTint="99"/>
        <w:bottom w:val="single" w:sz="4" w:space="0" w:color="8CB59F" w:themeColor="accent2" w:themeTint="99"/>
        <w:right w:val="single" w:sz="4" w:space="0" w:color="8CB59F" w:themeColor="accent2" w:themeTint="99"/>
        <w:insideH w:val="single" w:sz="4" w:space="0" w:color="8CB59F" w:themeColor="accent2" w:themeTint="99"/>
        <w:insideV w:val="single" w:sz="4" w:space="0" w:color="8CB59F" w:themeColor="accent2" w:themeTint="99"/>
      </w:tblBorders>
    </w:tblPr>
    <w:tblStylePr w:type="firstRow">
      <w:rPr>
        <w:b/>
        <w:bCs/>
        <w:color w:val="FFFFFF" w:themeColor="background1"/>
      </w:rPr>
      <w:tblPr/>
      <w:tcPr>
        <w:tcBorders>
          <w:top w:val="single" w:sz="4" w:space="0" w:color="4D7861" w:themeColor="accent2"/>
          <w:left w:val="single" w:sz="4" w:space="0" w:color="4D7861" w:themeColor="accent2"/>
          <w:bottom w:val="single" w:sz="4" w:space="0" w:color="4D7861" w:themeColor="accent2"/>
          <w:right w:val="single" w:sz="4" w:space="0" w:color="4D7861" w:themeColor="accent2"/>
          <w:insideH w:val="nil"/>
          <w:insideV w:val="nil"/>
        </w:tcBorders>
        <w:shd w:val="clear" w:color="auto" w:fill="4D7861" w:themeFill="accent2"/>
      </w:tcPr>
    </w:tblStylePr>
    <w:tblStylePr w:type="lastRow">
      <w:rPr>
        <w:b/>
        <w:bCs/>
      </w:rPr>
      <w:tblPr/>
      <w:tcPr>
        <w:tcBorders>
          <w:top w:val="double" w:sz="4" w:space="0" w:color="4D7861" w:themeColor="accent2"/>
        </w:tcBorders>
      </w:tcPr>
    </w:tblStylePr>
    <w:tblStylePr w:type="firstCol">
      <w:rPr>
        <w:b/>
        <w:bCs/>
      </w:rPr>
    </w:tblStylePr>
    <w:tblStylePr w:type="lastCol">
      <w:rPr>
        <w:b/>
        <w:bCs/>
      </w:rPr>
    </w:tblStylePr>
    <w:tblStylePr w:type="band1Vert">
      <w:tblPr/>
      <w:tcPr>
        <w:shd w:val="clear" w:color="auto" w:fill="D8E6DF" w:themeFill="accent2" w:themeFillTint="33"/>
      </w:tcPr>
    </w:tblStylePr>
    <w:tblStylePr w:type="band1Horz">
      <w:tblPr/>
      <w:tcPr>
        <w:shd w:val="clear" w:color="auto" w:fill="D8E6DF" w:themeFill="accent2" w:themeFillTint="33"/>
      </w:tcPr>
    </w:tblStylePr>
  </w:style>
  <w:style w:type="paragraph" w:styleId="Caption">
    <w:name w:val="caption"/>
    <w:basedOn w:val="Normal"/>
    <w:next w:val="Normal"/>
    <w:uiPriority w:val="35"/>
    <w:unhideWhenUsed/>
    <w:qFormat/>
    <w:rsid w:val="0044523F"/>
    <w:pPr>
      <w:spacing w:before="0" w:after="200"/>
    </w:pPr>
    <w:rPr>
      <w:i/>
      <w:iCs/>
      <w:color w:val="5F5F5F" w:themeColor="text2"/>
      <w:sz w:val="18"/>
      <w:szCs w:val="18"/>
    </w:rPr>
  </w:style>
  <w:style w:type="paragraph" w:customStyle="1" w:styleId="Factsheettitle">
    <w:name w:val="Fact sheet title"/>
    <w:basedOn w:val="Normal"/>
    <w:qFormat/>
    <w:rsid w:val="0044523F"/>
    <w:pPr>
      <w:spacing w:after="600"/>
    </w:pPr>
    <w:rPr>
      <w:rFonts w:ascii="Calibri" w:hAnsi="Calibri"/>
      <w:color w:val="2C384A" w:themeColor="accent1"/>
      <w:spacing w:val="-14"/>
      <w:sz w:val="68"/>
      <w:szCs w:val="68"/>
    </w:rPr>
  </w:style>
  <w:style w:type="table" w:customStyle="1" w:styleId="TableGrid1">
    <w:name w:val="Table Grid1"/>
    <w:basedOn w:val="TableNormal"/>
    <w:next w:val="TableGrid"/>
    <w:uiPriority w:val="59"/>
    <w:rsid w:val="0044523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4523F"/>
    <w:pPr>
      <w:spacing w:after="0" w:line="240" w:lineRule="auto"/>
    </w:pPr>
    <w:rPr>
      <w:rFonts w:ascii="Calibri" w:hAnsi="Calibri" w:cs="Times New Roman"/>
      <w:sz w:val="20"/>
      <w:szCs w:val="20"/>
    </w:rPr>
    <w:tblPr>
      <w:tblBorders>
        <w:top w:val="single" w:sz="2" w:space="0" w:color="2E74B5"/>
        <w:left w:val="single" w:sz="2" w:space="0" w:color="2E74B5"/>
        <w:bottom w:val="single" w:sz="2" w:space="0" w:color="2E74B5"/>
        <w:right w:val="single" w:sz="2" w:space="0" w:color="2E74B5"/>
        <w:insideH w:val="single" w:sz="2" w:space="0" w:color="2E74B5"/>
        <w:insideV w:val="single" w:sz="2" w:space="0" w:color="2E74B5"/>
      </w:tblBorders>
    </w:tblPr>
    <w:tblStylePr w:type="firstRow">
      <w:rPr>
        <w:rFonts w:ascii="Calibri" w:hAnsi="Calibri"/>
        <w:b/>
        <w:i w:val="0"/>
        <w:color w:val="FFFFFF"/>
        <w:sz w:val="20"/>
      </w:rPr>
      <w:tblPr/>
      <w:tcPr>
        <w:shd w:val="clear" w:color="auto" w:fill="2E74B5"/>
      </w:tcPr>
    </w:tblStylePr>
  </w:style>
  <w:style w:type="paragraph" w:customStyle="1" w:styleId="Introtext">
    <w:name w:val="Intro text"/>
    <w:basedOn w:val="Normal"/>
    <w:qFormat/>
    <w:rsid w:val="0044523F"/>
    <w:pPr>
      <w:numPr>
        <w:ilvl w:val="1"/>
      </w:numPr>
      <w:spacing w:after="240"/>
    </w:pPr>
    <w:rPr>
      <w:rFonts w:ascii="Calibri" w:eastAsiaTheme="minorEastAsia" w:hAnsi="Calibri" w:cstheme="minorBidi"/>
      <w:color w:val="10263B"/>
      <w:sz w:val="26"/>
      <w:szCs w:val="26"/>
      <w:lang w:eastAsia="zh-CN"/>
    </w:rPr>
  </w:style>
  <w:style w:type="character" w:styleId="FollowedHyperlink">
    <w:name w:val="FollowedHyperlink"/>
    <w:basedOn w:val="DefaultParagraphFont"/>
    <w:semiHidden/>
    <w:unhideWhenUsed/>
    <w:rsid w:val="0044523F"/>
    <w:rPr>
      <w:color w:val="844D9E" w:themeColor="followedHyperlink"/>
      <w:u w:val="single"/>
    </w:rPr>
  </w:style>
  <w:style w:type="paragraph" w:styleId="NoSpacing">
    <w:name w:val="No Spacing"/>
    <w:link w:val="NoSpacingChar"/>
    <w:uiPriority w:val="1"/>
    <w:qFormat/>
    <w:rsid w:val="0044523F"/>
    <w:pPr>
      <w:spacing w:after="0" w:line="240" w:lineRule="auto"/>
    </w:pPr>
    <w:rPr>
      <w:rFonts w:eastAsiaTheme="minorEastAsia"/>
      <w:lang w:val="en-US"/>
    </w:rPr>
  </w:style>
  <w:style w:type="paragraph" w:customStyle="1" w:styleId="Default">
    <w:name w:val="Default"/>
    <w:rsid w:val="0044523F"/>
    <w:pPr>
      <w:autoSpaceDE w:val="0"/>
      <w:autoSpaceDN w:val="0"/>
      <w:adjustRightInd w:val="0"/>
      <w:spacing w:after="0" w:line="240" w:lineRule="auto"/>
    </w:pPr>
    <w:rPr>
      <w:rFonts w:ascii="Verdana" w:eastAsia="Times New Roman" w:hAnsi="Verdana" w:cs="Verdana"/>
      <w:color w:val="000000"/>
      <w:sz w:val="24"/>
      <w:szCs w:val="24"/>
      <w:lang w:eastAsia="en-AU"/>
    </w:rPr>
  </w:style>
  <w:style w:type="table" w:customStyle="1" w:styleId="GridTable5Dark-Accent61">
    <w:name w:val="Grid Table 5 Dark - Accent 61"/>
    <w:basedOn w:val="TableNormal"/>
    <w:uiPriority w:val="50"/>
    <w:rsid w:val="0044523F"/>
    <w:pPr>
      <w:spacing w:before="100" w:after="0" w:line="240" w:lineRule="auto"/>
    </w:pPr>
    <w:rPr>
      <w:rFonts w:eastAsiaTheme="minorEastAsia"/>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E8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E8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E8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E81" w:themeFill="accent6"/>
      </w:tcPr>
    </w:tblStylePr>
    <w:tblStylePr w:type="band1Vert">
      <w:tblPr/>
      <w:tcPr>
        <w:shd w:val="clear" w:color="auto" w:fill="F9DECC" w:themeFill="accent6" w:themeFillTint="66"/>
      </w:tcPr>
    </w:tblStylePr>
    <w:tblStylePr w:type="band1Horz">
      <w:tblPr/>
      <w:tcPr>
        <w:shd w:val="clear" w:color="auto" w:fill="F9DECC" w:themeFill="accent6" w:themeFillTint="66"/>
      </w:tcPr>
    </w:tblStylePr>
  </w:style>
  <w:style w:type="paragraph" w:customStyle="1" w:styleId="KeyContactsName">
    <w:name w:val="KeyContacts Name"/>
    <w:basedOn w:val="Normal"/>
    <w:next w:val="Normal"/>
    <w:semiHidden/>
    <w:rsid w:val="0044523F"/>
    <w:pPr>
      <w:framePr w:w="2058" w:h="13054" w:hRule="exact" w:wrap="around" w:vAnchor="text" w:hAnchor="page" w:x="965" w:y="1"/>
      <w:pBdr>
        <w:top w:val="single" w:sz="18" w:space="1" w:color="CCD6E3"/>
        <w:left w:val="single" w:sz="18" w:space="4" w:color="CCD6E3"/>
        <w:bottom w:val="single" w:sz="18" w:space="1" w:color="CCD6E3"/>
        <w:right w:val="single" w:sz="18" w:space="4" w:color="CCD6E3"/>
      </w:pBdr>
      <w:shd w:val="clear" w:color="auto" w:fill="CCD6E3"/>
      <w:spacing w:before="240" w:after="0" w:afterAutospacing="1" w:line="264" w:lineRule="auto"/>
    </w:pPr>
    <w:rPr>
      <w:rFonts w:ascii="Univers 45 Light" w:hAnsi="Univers 45 Light"/>
      <w:b/>
      <w:color w:val="0C2D83"/>
      <w:sz w:val="18"/>
      <w:szCs w:val="24"/>
      <w:lang w:val="en-GB"/>
    </w:rPr>
  </w:style>
  <w:style w:type="character" w:customStyle="1" w:styleId="ListParagraphChar">
    <w:name w:val="List Paragraph Char"/>
    <w:basedOn w:val="DefaultParagraphFont"/>
    <w:link w:val="ListParagraph"/>
    <w:uiPriority w:val="34"/>
    <w:rsid w:val="0044523F"/>
    <w:rPr>
      <w:rFonts w:ascii="Calibri Light" w:eastAsia="Times New Roman" w:hAnsi="Calibri Light" w:cs="Times New Roman"/>
      <w:szCs w:val="20"/>
      <w:lang w:eastAsia="en-AU"/>
    </w:rPr>
  </w:style>
  <w:style w:type="table" w:customStyle="1" w:styleId="ListTable4-Accent61">
    <w:name w:val="List Table 4 - Accent 61"/>
    <w:basedOn w:val="TableNormal"/>
    <w:uiPriority w:val="49"/>
    <w:rsid w:val="0044523F"/>
    <w:pPr>
      <w:spacing w:before="100" w:after="0" w:line="240" w:lineRule="auto"/>
    </w:pPr>
    <w:rPr>
      <w:rFonts w:eastAsiaTheme="minorEastAsia"/>
      <w:sz w:val="20"/>
      <w:szCs w:val="20"/>
      <w:lang w:eastAsia="en-AU"/>
    </w:rPr>
    <w:tblPr>
      <w:tblStyleRowBandSize w:val="1"/>
      <w:tblStyleColBandSize w:val="1"/>
      <w:tblBorders>
        <w:top w:val="single" w:sz="4" w:space="0" w:color="F6CEB3" w:themeColor="accent6" w:themeTint="99"/>
        <w:left w:val="single" w:sz="4" w:space="0" w:color="F6CEB3" w:themeColor="accent6" w:themeTint="99"/>
        <w:bottom w:val="single" w:sz="4" w:space="0" w:color="F6CEB3" w:themeColor="accent6" w:themeTint="99"/>
        <w:right w:val="single" w:sz="4" w:space="0" w:color="F6CEB3" w:themeColor="accent6" w:themeTint="99"/>
        <w:insideH w:val="single" w:sz="4" w:space="0" w:color="F6CEB3" w:themeColor="accent6" w:themeTint="99"/>
      </w:tblBorders>
    </w:tblPr>
    <w:tblStylePr w:type="firstRow">
      <w:rPr>
        <w:b/>
        <w:bCs/>
        <w:color w:val="FFFFFF" w:themeColor="background1"/>
      </w:rPr>
      <w:tblPr/>
      <w:tcPr>
        <w:tcBorders>
          <w:top w:val="single" w:sz="4" w:space="0" w:color="F0AE81" w:themeColor="accent6"/>
          <w:left w:val="single" w:sz="4" w:space="0" w:color="F0AE81" w:themeColor="accent6"/>
          <w:bottom w:val="single" w:sz="4" w:space="0" w:color="F0AE81" w:themeColor="accent6"/>
          <w:right w:val="single" w:sz="4" w:space="0" w:color="F0AE81" w:themeColor="accent6"/>
          <w:insideH w:val="nil"/>
        </w:tcBorders>
        <w:shd w:val="clear" w:color="auto" w:fill="F0AE81" w:themeFill="accent6"/>
      </w:tcPr>
    </w:tblStylePr>
    <w:tblStylePr w:type="lastRow">
      <w:rPr>
        <w:b/>
        <w:bCs/>
      </w:rPr>
      <w:tblPr/>
      <w:tcPr>
        <w:tcBorders>
          <w:top w:val="double" w:sz="4" w:space="0" w:color="F6CEB3" w:themeColor="accent6" w:themeTint="99"/>
        </w:tcBorders>
      </w:tcPr>
    </w:tblStylePr>
    <w:tblStylePr w:type="firstCol">
      <w:rPr>
        <w:b/>
        <w:bCs/>
      </w:rPr>
    </w:tblStylePr>
    <w:tblStylePr w:type="lastCol">
      <w:rPr>
        <w:b/>
        <w:bCs/>
      </w:rPr>
    </w:tblStylePr>
    <w:tblStylePr w:type="band1Vert">
      <w:tblPr/>
      <w:tcPr>
        <w:shd w:val="clear" w:color="auto" w:fill="FCEEE5" w:themeFill="accent6" w:themeFillTint="33"/>
      </w:tcPr>
    </w:tblStylePr>
    <w:tblStylePr w:type="band1Horz">
      <w:tblPr/>
      <w:tcPr>
        <w:shd w:val="clear" w:color="auto" w:fill="FCEEE5" w:themeFill="accent6" w:themeFillTint="33"/>
      </w:tcPr>
    </w:tblStylePr>
  </w:style>
  <w:style w:type="character" w:customStyle="1" w:styleId="NoSpacingChar">
    <w:name w:val="No Spacing Char"/>
    <w:basedOn w:val="DefaultParagraphFont"/>
    <w:link w:val="NoSpacing"/>
    <w:uiPriority w:val="1"/>
    <w:rsid w:val="0044523F"/>
    <w:rPr>
      <w:rFonts w:eastAsiaTheme="minorEastAsia"/>
      <w:lang w:val="en-US"/>
    </w:rPr>
  </w:style>
  <w:style w:type="character" w:styleId="PageNumber">
    <w:name w:val="page number"/>
    <w:basedOn w:val="DefaultParagraphFont"/>
    <w:rsid w:val="0044523F"/>
  </w:style>
  <w:style w:type="numbering" w:customStyle="1" w:styleId="StyleBulletedSymbolsymbol11ptLeft4cmHanging05">
    <w:name w:val="Style Bulleted Symbol (symbol) 11 pt Left:  4 cm Hanging:  0.5 ..."/>
    <w:basedOn w:val="NoList"/>
    <w:rsid w:val="0044523F"/>
    <w:pPr>
      <w:numPr>
        <w:numId w:val="14"/>
      </w:numPr>
    </w:pPr>
  </w:style>
  <w:style w:type="numbering" w:customStyle="1" w:styleId="StyleBulletedSymbolsymbol11ptLeft4cmHanging051">
    <w:name w:val="Style Bulleted Symbol (symbol) 11 pt Left:  4 cm Hanging:  0.5 ...1"/>
    <w:basedOn w:val="NoList"/>
    <w:rsid w:val="0044523F"/>
    <w:pPr>
      <w:numPr>
        <w:numId w:val="15"/>
      </w:numPr>
    </w:pPr>
  </w:style>
  <w:style w:type="numbering" w:customStyle="1" w:styleId="BoxBulletedList1">
    <w:name w:val="Box Bulleted List1"/>
    <w:uiPriority w:val="99"/>
    <w:rsid w:val="0044523F"/>
  </w:style>
  <w:style w:type="paragraph" w:customStyle="1" w:styleId="Tableheading">
    <w:name w:val="Table heading"/>
    <w:basedOn w:val="Normal"/>
    <w:rsid w:val="0044523F"/>
    <w:pPr>
      <w:keepLines/>
      <w:jc w:val="center"/>
    </w:pPr>
    <w:rPr>
      <w:b/>
    </w:rPr>
  </w:style>
  <w:style w:type="paragraph" w:customStyle="1" w:styleId="TableText">
    <w:name w:val="Table Text"/>
    <w:basedOn w:val="Normal"/>
    <w:rsid w:val="0044523F"/>
    <w:pPr>
      <w:spacing w:before="100" w:line="264" w:lineRule="auto"/>
    </w:pPr>
    <w:rPr>
      <w:rFonts w:ascii="Calibri" w:eastAsia="Batang" w:hAnsi="Calibri" w:cstheme="minorBidi"/>
      <w:sz w:val="24"/>
    </w:rPr>
  </w:style>
  <w:style w:type="paragraph" w:customStyle="1" w:styleId="Tabletext0">
    <w:name w:val="Table text"/>
    <w:basedOn w:val="Normal"/>
    <w:link w:val="TabletextChar"/>
    <w:rsid w:val="0044523F"/>
    <w:pPr>
      <w:spacing w:before="80" w:after="80"/>
    </w:pPr>
    <w:rPr>
      <w:rFonts w:ascii="Univers 45 Light" w:hAnsi="Univers 45 Light"/>
      <w:sz w:val="19"/>
    </w:rPr>
  </w:style>
  <w:style w:type="character" w:customStyle="1" w:styleId="TabletextChar">
    <w:name w:val="Table text Char"/>
    <w:basedOn w:val="DefaultParagraphFont"/>
    <w:link w:val="Tabletext0"/>
    <w:rsid w:val="0044523F"/>
    <w:rPr>
      <w:rFonts w:ascii="Univers 45 Light" w:eastAsia="Times New Roman" w:hAnsi="Univers 45 Light" w:cs="Times New Roman"/>
      <w:sz w:val="19"/>
      <w:szCs w:val="20"/>
      <w:lang w:eastAsia="en-AU"/>
    </w:rPr>
  </w:style>
  <w:style w:type="character" w:customStyle="1" w:styleId="UnresolvedMention1">
    <w:name w:val="Unresolved Mention1"/>
    <w:basedOn w:val="DefaultParagraphFont"/>
    <w:uiPriority w:val="99"/>
    <w:semiHidden/>
    <w:unhideWhenUsed/>
    <w:rsid w:val="0044523F"/>
    <w:rPr>
      <w:color w:val="605E5C"/>
      <w:shd w:val="clear" w:color="auto" w:fill="E1DFDD"/>
    </w:rPr>
  </w:style>
  <w:style w:type="character" w:customStyle="1" w:styleId="OutlineNumbered1Char">
    <w:name w:val="Outline Numbered 1 Char"/>
    <w:basedOn w:val="DefaultParagraphFont"/>
    <w:link w:val="OutlineNumbered1"/>
    <w:rsid w:val="0044523F"/>
    <w:rPr>
      <w:rFonts w:ascii="Calibri Light" w:eastAsia="Times New Roman" w:hAnsi="Calibri Light" w:cs="Times New Roman"/>
      <w:szCs w:val="20"/>
      <w:lang w:eastAsia="en-AU"/>
    </w:rPr>
  </w:style>
  <w:style w:type="character" w:customStyle="1" w:styleId="OutlineNumbered2Char">
    <w:name w:val="Outline Numbered 2 Char"/>
    <w:basedOn w:val="DefaultParagraphFont"/>
    <w:link w:val="OutlineNumbered2"/>
    <w:rsid w:val="0044523F"/>
    <w:rPr>
      <w:rFonts w:ascii="Calibri Light" w:eastAsia="Times New Roman" w:hAnsi="Calibri Light" w:cs="Times New Roman"/>
      <w:szCs w:val="20"/>
      <w:lang w:eastAsia="en-AU"/>
    </w:rPr>
  </w:style>
  <w:style w:type="character" w:customStyle="1" w:styleId="OutlineNumbered3Char">
    <w:name w:val="Outline Numbered 3 Char"/>
    <w:basedOn w:val="DefaultParagraphFont"/>
    <w:link w:val="OutlineNumbered3"/>
    <w:rsid w:val="0044523F"/>
    <w:rPr>
      <w:rFonts w:ascii="Calibri Light" w:eastAsia="Times New Roman" w:hAnsi="Calibri Light" w:cs="Times New Roman"/>
      <w:szCs w:val="20"/>
      <w:lang w:eastAsia="en-AU"/>
    </w:rPr>
  </w:style>
  <w:style w:type="character" w:customStyle="1" w:styleId="normaltextrun">
    <w:name w:val="normaltextrun"/>
    <w:basedOn w:val="DefaultParagraphFont"/>
    <w:rsid w:val="0044523F"/>
  </w:style>
  <w:style w:type="character" w:styleId="Strong">
    <w:name w:val="Strong"/>
    <w:basedOn w:val="DefaultParagraphFont"/>
    <w:qFormat/>
    <w:rsid w:val="00AD4DCC"/>
    <w:rPr>
      <w:b/>
      <w:bCs/>
    </w:rPr>
  </w:style>
  <w:style w:type="character" w:customStyle="1" w:styleId="tabchar">
    <w:name w:val="tabchar"/>
    <w:basedOn w:val="DefaultParagraphFont"/>
    <w:rsid w:val="0044523F"/>
  </w:style>
  <w:style w:type="character" w:customStyle="1" w:styleId="Mention1">
    <w:name w:val="Mention1"/>
    <w:basedOn w:val="DefaultParagraphFont"/>
    <w:uiPriority w:val="99"/>
    <w:unhideWhenUsed/>
    <w:rsid w:val="0044523F"/>
    <w:rPr>
      <w:color w:val="2B579A"/>
      <w:shd w:val="clear" w:color="auto" w:fill="E1DFDD"/>
    </w:rPr>
  </w:style>
  <w:style w:type="paragraph" w:customStyle="1" w:styleId="NumberedList-Level1">
    <w:name w:val="Numbered List - Level 1"/>
    <w:basedOn w:val="ListParagraph"/>
    <w:uiPriority w:val="1"/>
    <w:qFormat/>
    <w:rsid w:val="0044523F"/>
    <w:pPr>
      <w:tabs>
        <w:tab w:val="num" w:pos="360"/>
      </w:tabs>
      <w:spacing w:before="0" w:after="160" w:line="264" w:lineRule="auto"/>
    </w:pPr>
    <w:rPr>
      <w:rFonts w:asciiTheme="minorHAnsi" w:eastAsiaTheme="minorEastAsia" w:hAnsiTheme="minorHAnsi" w:cstheme="minorBidi"/>
      <w:szCs w:val="21"/>
      <w:lang w:eastAsia="en-US"/>
    </w:rPr>
  </w:style>
  <w:style w:type="paragraph" w:customStyle="1" w:styleId="NumberedList-level2">
    <w:name w:val="Numbered List - level 2"/>
    <w:basedOn w:val="ListParagraph"/>
    <w:uiPriority w:val="1"/>
    <w:qFormat/>
    <w:rsid w:val="0044523F"/>
    <w:pPr>
      <w:tabs>
        <w:tab w:val="num" w:pos="360"/>
      </w:tabs>
      <w:spacing w:before="0" w:after="160" w:line="264" w:lineRule="auto"/>
    </w:pPr>
    <w:rPr>
      <w:rFonts w:asciiTheme="minorHAnsi" w:eastAsiaTheme="minorEastAsia" w:hAnsiTheme="minorHAnsi" w:cstheme="minorBidi"/>
      <w:szCs w:val="21"/>
      <w:lang w:eastAsia="en-US"/>
    </w:rPr>
  </w:style>
  <w:style w:type="paragraph" w:customStyle="1" w:styleId="NumberedList-Level3">
    <w:name w:val="Numbered List - Level 3"/>
    <w:basedOn w:val="ListParagraph"/>
    <w:uiPriority w:val="1"/>
    <w:qFormat/>
    <w:rsid w:val="0044523F"/>
    <w:pPr>
      <w:tabs>
        <w:tab w:val="num" w:pos="360"/>
      </w:tabs>
      <w:spacing w:before="0" w:after="160" w:line="264" w:lineRule="auto"/>
    </w:pPr>
    <w:rPr>
      <w:rFonts w:asciiTheme="minorHAnsi" w:eastAsiaTheme="minorEastAsia" w:hAnsiTheme="minorHAnsi" w:cstheme="minorBidi"/>
      <w:szCs w:val="21"/>
      <w:lang w:eastAsia="en-US"/>
    </w:rPr>
  </w:style>
  <w:style w:type="table" w:customStyle="1" w:styleId="TableGrid2">
    <w:name w:val="Table Grid2"/>
    <w:basedOn w:val="TableNormal"/>
    <w:next w:val="TableGrid"/>
    <w:uiPriority w:val="59"/>
    <w:rsid w:val="0044523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4523F"/>
    <w:pPr>
      <w:spacing w:after="0" w:line="240" w:lineRule="auto"/>
    </w:pPr>
    <w:rPr>
      <w:rFonts w:ascii="Calibri" w:hAnsi="Calibri" w:cs="Times New Roman"/>
      <w:sz w:val="20"/>
      <w:szCs w:val="20"/>
    </w:rPr>
    <w:tblPr>
      <w:tblBorders>
        <w:top w:val="single" w:sz="2" w:space="0" w:color="2E74B5"/>
        <w:left w:val="single" w:sz="2" w:space="0" w:color="2E74B5"/>
        <w:bottom w:val="single" w:sz="2" w:space="0" w:color="2E74B5"/>
        <w:right w:val="single" w:sz="2" w:space="0" w:color="2E74B5"/>
        <w:insideH w:val="single" w:sz="2" w:space="0" w:color="2E74B5"/>
        <w:insideV w:val="single" w:sz="2" w:space="0" w:color="2E74B5"/>
      </w:tblBorders>
    </w:tblPr>
    <w:tblStylePr w:type="firstRow">
      <w:rPr>
        <w:rFonts w:ascii="Calibri" w:hAnsi="Calibri"/>
        <w:b/>
        <w:i w:val="0"/>
        <w:color w:val="FFFFFF"/>
        <w:sz w:val="20"/>
      </w:rPr>
      <w:tblPr/>
      <w:tcPr>
        <w:shd w:val="clear" w:color="auto" w:fill="2E74B5"/>
      </w:tcPr>
    </w:tblStylePr>
  </w:style>
  <w:style w:type="numbering" w:customStyle="1" w:styleId="StyleBulletedSymbolsymbol11ptLeft4cmHanging052">
    <w:name w:val="Style Bulleted Symbol (symbol) 11 pt Left:  4 cm Hanging:  0.5 ...2"/>
    <w:basedOn w:val="NoList"/>
    <w:rsid w:val="0044523F"/>
  </w:style>
  <w:style w:type="numbering" w:customStyle="1" w:styleId="StyleBulletedSymbolsymbol11ptLeft4cmHanging0511">
    <w:name w:val="Style Bulleted Symbol (symbol) 11 pt Left:  4 cm Hanging:  0.5 ...11"/>
    <w:basedOn w:val="NoList"/>
    <w:rsid w:val="0044523F"/>
  </w:style>
  <w:style w:type="numbering" w:customStyle="1" w:styleId="BoxBulletedList2">
    <w:name w:val="Box Bulleted List2"/>
    <w:uiPriority w:val="99"/>
    <w:rsid w:val="0044523F"/>
  </w:style>
  <w:style w:type="paragraph" w:styleId="TOC4">
    <w:name w:val="toc 4"/>
    <w:basedOn w:val="Normal"/>
    <w:next w:val="Normal"/>
    <w:autoRedefine/>
    <w:uiPriority w:val="39"/>
    <w:unhideWhenUsed/>
    <w:rsid w:val="0044523F"/>
    <w:pPr>
      <w:spacing w:before="0" w:after="100" w:line="259" w:lineRule="auto"/>
      <w:ind w:left="660"/>
    </w:pPr>
    <w:rPr>
      <w:rFonts w:asciiTheme="minorHAnsi" w:eastAsiaTheme="minorEastAsia" w:hAnsiTheme="minorHAnsi" w:cstheme="minorBidi"/>
      <w:kern w:val="2"/>
      <w:szCs w:val="22"/>
      <w14:ligatures w14:val="standardContextual"/>
    </w:rPr>
  </w:style>
  <w:style w:type="paragraph" w:styleId="TOC5">
    <w:name w:val="toc 5"/>
    <w:basedOn w:val="Normal"/>
    <w:next w:val="Normal"/>
    <w:autoRedefine/>
    <w:uiPriority w:val="39"/>
    <w:unhideWhenUsed/>
    <w:rsid w:val="0044523F"/>
    <w:pPr>
      <w:spacing w:before="0" w:after="100" w:line="259" w:lineRule="auto"/>
      <w:ind w:left="880"/>
    </w:pPr>
    <w:rPr>
      <w:rFonts w:asciiTheme="minorHAnsi" w:eastAsiaTheme="minorEastAsia" w:hAnsiTheme="minorHAnsi" w:cstheme="minorBidi"/>
      <w:kern w:val="2"/>
      <w:szCs w:val="22"/>
      <w14:ligatures w14:val="standardContextual"/>
    </w:rPr>
  </w:style>
  <w:style w:type="paragraph" w:styleId="TOC6">
    <w:name w:val="toc 6"/>
    <w:basedOn w:val="Normal"/>
    <w:next w:val="Normal"/>
    <w:autoRedefine/>
    <w:uiPriority w:val="39"/>
    <w:unhideWhenUsed/>
    <w:rsid w:val="0044523F"/>
    <w:pPr>
      <w:spacing w:before="0" w:after="100" w:line="259" w:lineRule="auto"/>
      <w:ind w:left="1100"/>
    </w:pPr>
    <w:rPr>
      <w:rFonts w:asciiTheme="minorHAnsi" w:eastAsiaTheme="minorEastAsia" w:hAnsiTheme="minorHAnsi" w:cstheme="minorBidi"/>
      <w:kern w:val="2"/>
      <w:szCs w:val="22"/>
      <w14:ligatures w14:val="standardContextual"/>
    </w:rPr>
  </w:style>
  <w:style w:type="paragraph" w:styleId="TOC7">
    <w:name w:val="toc 7"/>
    <w:basedOn w:val="Normal"/>
    <w:next w:val="Normal"/>
    <w:autoRedefine/>
    <w:uiPriority w:val="39"/>
    <w:unhideWhenUsed/>
    <w:rsid w:val="0044523F"/>
    <w:pPr>
      <w:spacing w:before="0" w:after="100" w:line="259" w:lineRule="auto"/>
      <w:ind w:left="1320"/>
    </w:pPr>
    <w:rPr>
      <w:rFonts w:asciiTheme="minorHAnsi" w:eastAsiaTheme="minorEastAsia" w:hAnsiTheme="minorHAnsi" w:cstheme="minorBidi"/>
      <w:kern w:val="2"/>
      <w:szCs w:val="22"/>
      <w14:ligatures w14:val="standardContextual"/>
    </w:rPr>
  </w:style>
  <w:style w:type="paragraph" w:styleId="TOC8">
    <w:name w:val="toc 8"/>
    <w:basedOn w:val="Normal"/>
    <w:next w:val="Normal"/>
    <w:autoRedefine/>
    <w:uiPriority w:val="39"/>
    <w:unhideWhenUsed/>
    <w:rsid w:val="0044523F"/>
    <w:pPr>
      <w:spacing w:before="0" w:after="100" w:line="259" w:lineRule="auto"/>
      <w:ind w:left="1540"/>
    </w:pPr>
    <w:rPr>
      <w:rFonts w:asciiTheme="minorHAnsi" w:eastAsiaTheme="minorEastAsia" w:hAnsiTheme="minorHAnsi" w:cstheme="minorBidi"/>
      <w:kern w:val="2"/>
      <w:szCs w:val="22"/>
      <w14:ligatures w14:val="standardContextual"/>
    </w:rPr>
  </w:style>
  <w:style w:type="paragraph" w:styleId="TOC9">
    <w:name w:val="toc 9"/>
    <w:basedOn w:val="Normal"/>
    <w:next w:val="Normal"/>
    <w:autoRedefine/>
    <w:uiPriority w:val="39"/>
    <w:unhideWhenUsed/>
    <w:rsid w:val="0044523F"/>
    <w:pPr>
      <w:spacing w:before="0" w:after="100" w:line="259" w:lineRule="auto"/>
      <w:ind w:left="1760"/>
    </w:pPr>
    <w:rPr>
      <w:rFonts w:asciiTheme="minorHAnsi" w:eastAsiaTheme="minorEastAsia" w:hAnsiTheme="minorHAnsi" w:cstheme="minorBidi"/>
      <w:kern w:val="2"/>
      <w:szCs w:val="22"/>
      <w14:ligatures w14:val="standardContextual"/>
    </w:rPr>
  </w:style>
  <w:style w:type="character" w:styleId="Emphasis">
    <w:name w:val="Emphasis"/>
    <w:basedOn w:val="DefaultParagraphFont"/>
    <w:uiPriority w:val="20"/>
    <w:qFormat/>
    <w:rsid w:val="0044523F"/>
    <w:rPr>
      <w:i/>
      <w:iCs/>
    </w:rPr>
  </w:style>
  <w:style w:type="table" w:styleId="GridTable1Light">
    <w:name w:val="Grid Table 1 Light"/>
    <w:basedOn w:val="TableNormal"/>
    <w:uiPriority w:val="46"/>
    <w:rsid w:val="004452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452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rsid w:val="005B6092"/>
    <w:pPr>
      <w:spacing w:after="0" w:line="240" w:lineRule="auto"/>
    </w:pPr>
    <w:tblPr>
      <w:tblStyleRowBandSize w:val="1"/>
      <w:tblStyleColBandSize w:val="1"/>
      <w:tblBorders>
        <w:top w:val="single" w:sz="4" w:space="0" w:color="9DADC5" w:themeColor="accent3" w:themeTint="99"/>
        <w:left w:val="single" w:sz="4" w:space="0" w:color="9DADC5" w:themeColor="accent3" w:themeTint="99"/>
        <w:bottom w:val="single" w:sz="4" w:space="0" w:color="9DADC5" w:themeColor="accent3" w:themeTint="99"/>
        <w:right w:val="single" w:sz="4" w:space="0" w:color="9DADC5" w:themeColor="accent3" w:themeTint="99"/>
        <w:insideH w:val="single" w:sz="4" w:space="0" w:color="9DADC5" w:themeColor="accent3" w:themeTint="99"/>
        <w:insideV w:val="single" w:sz="4" w:space="0" w:color="9DADC5" w:themeColor="accent3" w:themeTint="99"/>
      </w:tblBorders>
    </w:tblPr>
    <w:tblStylePr w:type="firstRow">
      <w:rPr>
        <w:b/>
        <w:bCs/>
        <w:color w:val="FFFFFF" w:themeColor="background1"/>
      </w:rPr>
      <w:tblPr/>
      <w:tcPr>
        <w:tcBorders>
          <w:top w:val="single" w:sz="4" w:space="0" w:color="5D779D" w:themeColor="accent3"/>
          <w:left w:val="single" w:sz="4" w:space="0" w:color="5D779D" w:themeColor="accent3"/>
          <w:bottom w:val="single" w:sz="4" w:space="0" w:color="5D779D" w:themeColor="accent3"/>
          <w:right w:val="single" w:sz="4" w:space="0" w:color="5D779D" w:themeColor="accent3"/>
          <w:insideH w:val="nil"/>
          <w:insideV w:val="nil"/>
        </w:tcBorders>
        <w:shd w:val="clear" w:color="auto" w:fill="5D779D" w:themeFill="accent3"/>
      </w:tcPr>
    </w:tblStylePr>
    <w:tblStylePr w:type="lastRow">
      <w:rPr>
        <w:b/>
        <w:bCs/>
      </w:rPr>
      <w:tblPr/>
      <w:tcPr>
        <w:tcBorders>
          <w:top w:val="double" w:sz="4" w:space="0" w:color="5D779D" w:themeColor="accent3"/>
        </w:tcBorders>
      </w:tcPr>
    </w:tblStylePr>
    <w:tblStylePr w:type="firstCol">
      <w:rPr>
        <w:b/>
        <w:bCs/>
      </w:rPr>
    </w:tblStylePr>
    <w:tblStylePr w:type="lastCol">
      <w:rPr>
        <w:b/>
        <w:bCs/>
      </w:rPr>
    </w:tblStylePr>
    <w:tblStylePr w:type="band1Vert">
      <w:tblPr/>
      <w:tcPr>
        <w:shd w:val="clear" w:color="auto" w:fill="DEE3EB" w:themeFill="accent3" w:themeFillTint="33"/>
      </w:tcPr>
    </w:tblStylePr>
    <w:tblStylePr w:type="band1Horz">
      <w:tblPr/>
      <w:tcPr>
        <w:shd w:val="clear" w:color="auto" w:fill="DEE3EB"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431">
      <w:bodyDiv w:val="1"/>
      <w:marLeft w:val="0"/>
      <w:marRight w:val="0"/>
      <w:marTop w:val="0"/>
      <w:marBottom w:val="0"/>
      <w:divBdr>
        <w:top w:val="none" w:sz="0" w:space="0" w:color="auto"/>
        <w:left w:val="none" w:sz="0" w:space="0" w:color="auto"/>
        <w:bottom w:val="none" w:sz="0" w:space="0" w:color="auto"/>
        <w:right w:val="none" w:sz="0" w:space="0" w:color="auto"/>
      </w:divBdr>
    </w:div>
    <w:div w:id="12583840">
      <w:bodyDiv w:val="1"/>
      <w:marLeft w:val="0"/>
      <w:marRight w:val="0"/>
      <w:marTop w:val="0"/>
      <w:marBottom w:val="0"/>
      <w:divBdr>
        <w:top w:val="none" w:sz="0" w:space="0" w:color="auto"/>
        <w:left w:val="none" w:sz="0" w:space="0" w:color="auto"/>
        <w:bottom w:val="none" w:sz="0" w:space="0" w:color="auto"/>
        <w:right w:val="none" w:sz="0" w:space="0" w:color="auto"/>
      </w:divBdr>
    </w:div>
    <w:div w:id="13463730">
      <w:bodyDiv w:val="1"/>
      <w:marLeft w:val="0"/>
      <w:marRight w:val="0"/>
      <w:marTop w:val="0"/>
      <w:marBottom w:val="0"/>
      <w:divBdr>
        <w:top w:val="none" w:sz="0" w:space="0" w:color="auto"/>
        <w:left w:val="none" w:sz="0" w:space="0" w:color="auto"/>
        <w:bottom w:val="none" w:sz="0" w:space="0" w:color="auto"/>
        <w:right w:val="none" w:sz="0" w:space="0" w:color="auto"/>
      </w:divBdr>
      <w:divsChild>
        <w:div w:id="835878665">
          <w:marLeft w:val="403"/>
          <w:marRight w:val="0"/>
          <w:marTop w:val="96"/>
          <w:marBottom w:val="0"/>
          <w:divBdr>
            <w:top w:val="none" w:sz="0" w:space="0" w:color="auto"/>
            <w:left w:val="none" w:sz="0" w:space="0" w:color="auto"/>
            <w:bottom w:val="none" w:sz="0" w:space="0" w:color="auto"/>
            <w:right w:val="none" w:sz="0" w:space="0" w:color="auto"/>
          </w:divBdr>
        </w:div>
        <w:div w:id="1094008462">
          <w:marLeft w:val="878"/>
          <w:marRight w:val="0"/>
          <w:marTop w:val="96"/>
          <w:marBottom w:val="0"/>
          <w:divBdr>
            <w:top w:val="none" w:sz="0" w:space="0" w:color="auto"/>
            <w:left w:val="none" w:sz="0" w:space="0" w:color="auto"/>
            <w:bottom w:val="none" w:sz="0" w:space="0" w:color="auto"/>
            <w:right w:val="none" w:sz="0" w:space="0" w:color="auto"/>
          </w:divBdr>
        </w:div>
        <w:div w:id="1162358186">
          <w:marLeft w:val="446"/>
          <w:marRight w:val="0"/>
          <w:marTop w:val="96"/>
          <w:marBottom w:val="0"/>
          <w:divBdr>
            <w:top w:val="none" w:sz="0" w:space="0" w:color="auto"/>
            <w:left w:val="none" w:sz="0" w:space="0" w:color="auto"/>
            <w:bottom w:val="none" w:sz="0" w:space="0" w:color="auto"/>
            <w:right w:val="none" w:sz="0" w:space="0" w:color="auto"/>
          </w:divBdr>
        </w:div>
        <w:div w:id="1314411033">
          <w:marLeft w:val="878"/>
          <w:marRight w:val="0"/>
          <w:marTop w:val="96"/>
          <w:marBottom w:val="0"/>
          <w:divBdr>
            <w:top w:val="none" w:sz="0" w:space="0" w:color="auto"/>
            <w:left w:val="none" w:sz="0" w:space="0" w:color="auto"/>
            <w:bottom w:val="none" w:sz="0" w:space="0" w:color="auto"/>
            <w:right w:val="none" w:sz="0" w:space="0" w:color="auto"/>
          </w:divBdr>
        </w:div>
        <w:div w:id="1425103424">
          <w:marLeft w:val="446"/>
          <w:marRight w:val="0"/>
          <w:marTop w:val="96"/>
          <w:marBottom w:val="0"/>
          <w:divBdr>
            <w:top w:val="none" w:sz="0" w:space="0" w:color="auto"/>
            <w:left w:val="none" w:sz="0" w:space="0" w:color="auto"/>
            <w:bottom w:val="none" w:sz="0" w:space="0" w:color="auto"/>
            <w:right w:val="none" w:sz="0" w:space="0" w:color="auto"/>
          </w:divBdr>
        </w:div>
        <w:div w:id="1492604614">
          <w:marLeft w:val="878"/>
          <w:marRight w:val="0"/>
          <w:marTop w:val="96"/>
          <w:marBottom w:val="0"/>
          <w:divBdr>
            <w:top w:val="none" w:sz="0" w:space="0" w:color="auto"/>
            <w:left w:val="none" w:sz="0" w:space="0" w:color="auto"/>
            <w:bottom w:val="none" w:sz="0" w:space="0" w:color="auto"/>
            <w:right w:val="none" w:sz="0" w:space="0" w:color="auto"/>
          </w:divBdr>
        </w:div>
        <w:div w:id="1550452603">
          <w:marLeft w:val="878"/>
          <w:marRight w:val="0"/>
          <w:marTop w:val="96"/>
          <w:marBottom w:val="0"/>
          <w:divBdr>
            <w:top w:val="none" w:sz="0" w:space="0" w:color="auto"/>
            <w:left w:val="none" w:sz="0" w:space="0" w:color="auto"/>
            <w:bottom w:val="none" w:sz="0" w:space="0" w:color="auto"/>
            <w:right w:val="none" w:sz="0" w:space="0" w:color="auto"/>
          </w:divBdr>
        </w:div>
        <w:div w:id="1919825871">
          <w:marLeft w:val="878"/>
          <w:marRight w:val="0"/>
          <w:marTop w:val="96"/>
          <w:marBottom w:val="0"/>
          <w:divBdr>
            <w:top w:val="none" w:sz="0" w:space="0" w:color="auto"/>
            <w:left w:val="none" w:sz="0" w:space="0" w:color="auto"/>
            <w:bottom w:val="none" w:sz="0" w:space="0" w:color="auto"/>
            <w:right w:val="none" w:sz="0" w:space="0" w:color="auto"/>
          </w:divBdr>
        </w:div>
      </w:divsChild>
    </w:div>
    <w:div w:id="179971455">
      <w:bodyDiv w:val="1"/>
      <w:marLeft w:val="0"/>
      <w:marRight w:val="0"/>
      <w:marTop w:val="0"/>
      <w:marBottom w:val="0"/>
      <w:divBdr>
        <w:top w:val="none" w:sz="0" w:space="0" w:color="auto"/>
        <w:left w:val="none" w:sz="0" w:space="0" w:color="auto"/>
        <w:bottom w:val="none" w:sz="0" w:space="0" w:color="auto"/>
        <w:right w:val="none" w:sz="0" w:space="0" w:color="auto"/>
      </w:divBdr>
    </w:div>
    <w:div w:id="251283358">
      <w:bodyDiv w:val="1"/>
      <w:marLeft w:val="0"/>
      <w:marRight w:val="0"/>
      <w:marTop w:val="0"/>
      <w:marBottom w:val="0"/>
      <w:divBdr>
        <w:top w:val="none" w:sz="0" w:space="0" w:color="auto"/>
        <w:left w:val="none" w:sz="0" w:space="0" w:color="auto"/>
        <w:bottom w:val="none" w:sz="0" w:space="0" w:color="auto"/>
        <w:right w:val="none" w:sz="0" w:space="0" w:color="auto"/>
      </w:divBdr>
    </w:div>
    <w:div w:id="292367706">
      <w:bodyDiv w:val="1"/>
      <w:marLeft w:val="0"/>
      <w:marRight w:val="0"/>
      <w:marTop w:val="0"/>
      <w:marBottom w:val="0"/>
      <w:divBdr>
        <w:top w:val="none" w:sz="0" w:space="0" w:color="auto"/>
        <w:left w:val="none" w:sz="0" w:space="0" w:color="auto"/>
        <w:bottom w:val="none" w:sz="0" w:space="0" w:color="auto"/>
        <w:right w:val="none" w:sz="0" w:space="0" w:color="auto"/>
      </w:divBdr>
    </w:div>
    <w:div w:id="350184293">
      <w:bodyDiv w:val="1"/>
      <w:marLeft w:val="0"/>
      <w:marRight w:val="0"/>
      <w:marTop w:val="0"/>
      <w:marBottom w:val="0"/>
      <w:divBdr>
        <w:top w:val="none" w:sz="0" w:space="0" w:color="auto"/>
        <w:left w:val="none" w:sz="0" w:space="0" w:color="auto"/>
        <w:bottom w:val="none" w:sz="0" w:space="0" w:color="auto"/>
        <w:right w:val="none" w:sz="0" w:space="0" w:color="auto"/>
      </w:divBdr>
    </w:div>
    <w:div w:id="397171095">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51964552">
      <w:bodyDiv w:val="1"/>
      <w:marLeft w:val="0"/>
      <w:marRight w:val="0"/>
      <w:marTop w:val="0"/>
      <w:marBottom w:val="0"/>
      <w:divBdr>
        <w:top w:val="none" w:sz="0" w:space="0" w:color="auto"/>
        <w:left w:val="none" w:sz="0" w:space="0" w:color="auto"/>
        <w:bottom w:val="none" w:sz="0" w:space="0" w:color="auto"/>
        <w:right w:val="none" w:sz="0" w:space="0" w:color="auto"/>
      </w:divBdr>
    </w:div>
    <w:div w:id="659773020">
      <w:bodyDiv w:val="1"/>
      <w:marLeft w:val="0"/>
      <w:marRight w:val="0"/>
      <w:marTop w:val="0"/>
      <w:marBottom w:val="0"/>
      <w:divBdr>
        <w:top w:val="none" w:sz="0" w:space="0" w:color="auto"/>
        <w:left w:val="none" w:sz="0" w:space="0" w:color="auto"/>
        <w:bottom w:val="none" w:sz="0" w:space="0" w:color="auto"/>
        <w:right w:val="none" w:sz="0" w:space="0" w:color="auto"/>
      </w:divBdr>
    </w:div>
    <w:div w:id="670255142">
      <w:bodyDiv w:val="1"/>
      <w:marLeft w:val="0"/>
      <w:marRight w:val="0"/>
      <w:marTop w:val="0"/>
      <w:marBottom w:val="0"/>
      <w:divBdr>
        <w:top w:val="none" w:sz="0" w:space="0" w:color="auto"/>
        <w:left w:val="none" w:sz="0" w:space="0" w:color="auto"/>
        <w:bottom w:val="none" w:sz="0" w:space="0" w:color="auto"/>
        <w:right w:val="none" w:sz="0" w:space="0" w:color="auto"/>
      </w:divBdr>
    </w:div>
    <w:div w:id="716466597">
      <w:bodyDiv w:val="1"/>
      <w:marLeft w:val="0"/>
      <w:marRight w:val="0"/>
      <w:marTop w:val="0"/>
      <w:marBottom w:val="0"/>
      <w:divBdr>
        <w:top w:val="none" w:sz="0" w:space="0" w:color="auto"/>
        <w:left w:val="none" w:sz="0" w:space="0" w:color="auto"/>
        <w:bottom w:val="none" w:sz="0" w:space="0" w:color="auto"/>
        <w:right w:val="none" w:sz="0" w:space="0" w:color="auto"/>
      </w:divBdr>
    </w:div>
    <w:div w:id="750125070">
      <w:bodyDiv w:val="1"/>
      <w:marLeft w:val="0"/>
      <w:marRight w:val="0"/>
      <w:marTop w:val="0"/>
      <w:marBottom w:val="0"/>
      <w:divBdr>
        <w:top w:val="none" w:sz="0" w:space="0" w:color="auto"/>
        <w:left w:val="none" w:sz="0" w:space="0" w:color="auto"/>
        <w:bottom w:val="none" w:sz="0" w:space="0" w:color="auto"/>
        <w:right w:val="none" w:sz="0" w:space="0" w:color="auto"/>
      </w:divBdr>
    </w:div>
    <w:div w:id="773131431">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75435274">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02195632">
      <w:bodyDiv w:val="1"/>
      <w:marLeft w:val="0"/>
      <w:marRight w:val="0"/>
      <w:marTop w:val="0"/>
      <w:marBottom w:val="0"/>
      <w:divBdr>
        <w:top w:val="none" w:sz="0" w:space="0" w:color="auto"/>
        <w:left w:val="none" w:sz="0" w:space="0" w:color="auto"/>
        <w:bottom w:val="none" w:sz="0" w:space="0" w:color="auto"/>
        <w:right w:val="none" w:sz="0" w:space="0" w:color="auto"/>
      </w:divBdr>
    </w:div>
    <w:div w:id="1077678581">
      <w:bodyDiv w:val="1"/>
      <w:marLeft w:val="0"/>
      <w:marRight w:val="0"/>
      <w:marTop w:val="0"/>
      <w:marBottom w:val="0"/>
      <w:divBdr>
        <w:top w:val="none" w:sz="0" w:space="0" w:color="auto"/>
        <w:left w:val="none" w:sz="0" w:space="0" w:color="auto"/>
        <w:bottom w:val="none" w:sz="0" w:space="0" w:color="auto"/>
        <w:right w:val="none" w:sz="0" w:space="0" w:color="auto"/>
      </w:divBdr>
    </w:div>
    <w:div w:id="1197541508">
      <w:bodyDiv w:val="1"/>
      <w:marLeft w:val="0"/>
      <w:marRight w:val="0"/>
      <w:marTop w:val="0"/>
      <w:marBottom w:val="0"/>
      <w:divBdr>
        <w:top w:val="none" w:sz="0" w:space="0" w:color="auto"/>
        <w:left w:val="none" w:sz="0" w:space="0" w:color="auto"/>
        <w:bottom w:val="none" w:sz="0" w:space="0" w:color="auto"/>
        <w:right w:val="none" w:sz="0" w:space="0" w:color="auto"/>
      </w:divBdr>
    </w:div>
    <w:div w:id="1210921976">
      <w:bodyDiv w:val="1"/>
      <w:marLeft w:val="0"/>
      <w:marRight w:val="0"/>
      <w:marTop w:val="0"/>
      <w:marBottom w:val="0"/>
      <w:divBdr>
        <w:top w:val="none" w:sz="0" w:space="0" w:color="auto"/>
        <w:left w:val="none" w:sz="0" w:space="0" w:color="auto"/>
        <w:bottom w:val="none" w:sz="0" w:space="0" w:color="auto"/>
        <w:right w:val="none" w:sz="0" w:space="0" w:color="auto"/>
      </w:divBdr>
    </w:div>
    <w:div w:id="1288704849">
      <w:bodyDiv w:val="1"/>
      <w:marLeft w:val="0"/>
      <w:marRight w:val="0"/>
      <w:marTop w:val="0"/>
      <w:marBottom w:val="0"/>
      <w:divBdr>
        <w:top w:val="none" w:sz="0" w:space="0" w:color="auto"/>
        <w:left w:val="none" w:sz="0" w:space="0" w:color="auto"/>
        <w:bottom w:val="none" w:sz="0" w:space="0" w:color="auto"/>
        <w:right w:val="none" w:sz="0" w:space="0" w:color="auto"/>
      </w:divBdr>
    </w:div>
    <w:div w:id="1295215030">
      <w:bodyDiv w:val="1"/>
      <w:marLeft w:val="0"/>
      <w:marRight w:val="0"/>
      <w:marTop w:val="0"/>
      <w:marBottom w:val="0"/>
      <w:divBdr>
        <w:top w:val="none" w:sz="0" w:space="0" w:color="auto"/>
        <w:left w:val="none" w:sz="0" w:space="0" w:color="auto"/>
        <w:bottom w:val="none" w:sz="0" w:space="0" w:color="auto"/>
        <w:right w:val="none" w:sz="0" w:space="0" w:color="auto"/>
      </w:divBdr>
    </w:div>
    <w:div w:id="1296375914">
      <w:bodyDiv w:val="1"/>
      <w:marLeft w:val="0"/>
      <w:marRight w:val="0"/>
      <w:marTop w:val="0"/>
      <w:marBottom w:val="0"/>
      <w:divBdr>
        <w:top w:val="none" w:sz="0" w:space="0" w:color="auto"/>
        <w:left w:val="none" w:sz="0" w:space="0" w:color="auto"/>
        <w:bottom w:val="none" w:sz="0" w:space="0" w:color="auto"/>
        <w:right w:val="none" w:sz="0" w:space="0" w:color="auto"/>
      </w:divBdr>
    </w:div>
    <w:div w:id="1317995900">
      <w:bodyDiv w:val="1"/>
      <w:marLeft w:val="0"/>
      <w:marRight w:val="0"/>
      <w:marTop w:val="0"/>
      <w:marBottom w:val="0"/>
      <w:divBdr>
        <w:top w:val="none" w:sz="0" w:space="0" w:color="auto"/>
        <w:left w:val="none" w:sz="0" w:space="0" w:color="auto"/>
        <w:bottom w:val="none" w:sz="0" w:space="0" w:color="auto"/>
        <w:right w:val="none" w:sz="0" w:space="0" w:color="auto"/>
      </w:divBdr>
    </w:div>
    <w:div w:id="1678725388">
      <w:bodyDiv w:val="1"/>
      <w:marLeft w:val="0"/>
      <w:marRight w:val="0"/>
      <w:marTop w:val="0"/>
      <w:marBottom w:val="0"/>
      <w:divBdr>
        <w:top w:val="none" w:sz="0" w:space="0" w:color="auto"/>
        <w:left w:val="none" w:sz="0" w:space="0" w:color="auto"/>
        <w:bottom w:val="none" w:sz="0" w:space="0" w:color="auto"/>
        <w:right w:val="none" w:sz="0" w:space="0" w:color="auto"/>
      </w:divBdr>
    </w:div>
    <w:div w:id="1697267413">
      <w:bodyDiv w:val="1"/>
      <w:marLeft w:val="0"/>
      <w:marRight w:val="0"/>
      <w:marTop w:val="0"/>
      <w:marBottom w:val="0"/>
      <w:divBdr>
        <w:top w:val="none" w:sz="0" w:space="0" w:color="auto"/>
        <w:left w:val="none" w:sz="0" w:space="0" w:color="auto"/>
        <w:bottom w:val="none" w:sz="0" w:space="0" w:color="auto"/>
        <w:right w:val="none" w:sz="0" w:space="0" w:color="auto"/>
      </w:divBdr>
    </w:div>
    <w:div w:id="1797605971">
      <w:bodyDiv w:val="1"/>
      <w:marLeft w:val="0"/>
      <w:marRight w:val="0"/>
      <w:marTop w:val="0"/>
      <w:marBottom w:val="0"/>
      <w:divBdr>
        <w:top w:val="none" w:sz="0" w:space="0" w:color="auto"/>
        <w:left w:val="none" w:sz="0" w:space="0" w:color="auto"/>
        <w:bottom w:val="none" w:sz="0" w:space="0" w:color="auto"/>
        <w:right w:val="none" w:sz="0" w:space="0" w:color="auto"/>
      </w:divBdr>
    </w:div>
    <w:div w:id="1797748994">
      <w:bodyDiv w:val="1"/>
      <w:marLeft w:val="0"/>
      <w:marRight w:val="0"/>
      <w:marTop w:val="0"/>
      <w:marBottom w:val="0"/>
      <w:divBdr>
        <w:top w:val="none" w:sz="0" w:space="0" w:color="auto"/>
        <w:left w:val="none" w:sz="0" w:space="0" w:color="auto"/>
        <w:bottom w:val="none" w:sz="0" w:space="0" w:color="auto"/>
        <w:right w:val="none" w:sz="0" w:space="0" w:color="auto"/>
      </w:divBdr>
    </w:div>
    <w:div w:id="1874267042">
      <w:bodyDiv w:val="1"/>
      <w:marLeft w:val="0"/>
      <w:marRight w:val="0"/>
      <w:marTop w:val="0"/>
      <w:marBottom w:val="0"/>
      <w:divBdr>
        <w:top w:val="none" w:sz="0" w:space="0" w:color="auto"/>
        <w:left w:val="none" w:sz="0" w:space="0" w:color="auto"/>
        <w:bottom w:val="none" w:sz="0" w:space="0" w:color="auto"/>
        <w:right w:val="none" w:sz="0" w:space="0" w:color="auto"/>
      </w:divBdr>
    </w:div>
    <w:div w:id="1932275589">
      <w:bodyDiv w:val="1"/>
      <w:marLeft w:val="0"/>
      <w:marRight w:val="0"/>
      <w:marTop w:val="0"/>
      <w:marBottom w:val="0"/>
      <w:divBdr>
        <w:top w:val="none" w:sz="0" w:space="0" w:color="auto"/>
        <w:left w:val="none" w:sz="0" w:space="0" w:color="auto"/>
        <w:bottom w:val="none" w:sz="0" w:space="0" w:color="auto"/>
        <w:right w:val="none" w:sz="0" w:space="0" w:color="auto"/>
      </w:divBdr>
    </w:div>
    <w:div w:id="2063286684">
      <w:bodyDiv w:val="1"/>
      <w:marLeft w:val="0"/>
      <w:marRight w:val="0"/>
      <w:marTop w:val="0"/>
      <w:marBottom w:val="0"/>
      <w:divBdr>
        <w:top w:val="none" w:sz="0" w:space="0" w:color="auto"/>
        <w:left w:val="none" w:sz="0" w:space="0" w:color="auto"/>
        <w:bottom w:val="none" w:sz="0" w:space="0" w:color="auto"/>
        <w:right w:val="none" w:sz="0" w:space="0" w:color="auto"/>
      </w:divBdr>
    </w:div>
    <w:div w:id="2094617245">
      <w:bodyDiv w:val="1"/>
      <w:marLeft w:val="0"/>
      <w:marRight w:val="0"/>
      <w:marTop w:val="0"/>
      <w:marBottom w:val="0"/>
      <w:divBdr>
        <w:top w:val="none" w:sz="0" w:space="0" w:color="auto"/>
        <w:left w:val="none" w:sz="0" w:space="0" w:color="auto"/>
        <w:bottom w:val="none" w:sz="0" w:space="0" w:color="auto"/>
        <w:right w:val="none" w:sz="0" w:space="0" w:color="auto"/>
      </w:divBdr>
    </w:div>
    <w:div w:id="212298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2.xml"/><Relationship Id="rId42" Type="http://schemas.openxmlformats.org/officeDocument/2006/relationships/chart" Target="charts/chart14.xml"/><Relationship Id="rId47" Type="http://schemas.openxmlformats.org/officeDocument/2006/relationships/image" Target="media/image10.jpg"/><Relationship Id="rId63" Type="http://schemas.openxmlformats.org/officeDocument/2006/relationships/chart" Target="charts/chart30.xml"/><Relationship Id="rId68" Type="http://schemas.openxmlformats.org/officeDocument/2006/relationships/chart" Target="charts/chart35.xml"/><Relationship Id="rId84" Type="http://schemas.openxmlformats.org/officeDocument/2006/relationships/chart" Target="charts/chart51.xml"/><Relationship Id="rId89" Type="http://schemas.openxmlformats.org/officeDocument/2006/relationships/chart" Target="charts/chart56.xml"/><Relationship Id="rId16" Type="http://schemas.openxmlformats.org/officeDocument/2006/relationships/hyperlink" Target="https://www.legislation.gov.au/C2013A00123/latest/versions" TargetMode="External"/><Relationship Id="rId11" Type="http://schemas.openxmlformats.org/officeDocument/2006/relationships/footer" Target="footer1.xml"/><Relationship Id="rId32" Type="http://schemas.openxmlformats.org/officeDocument/2006/relationships/chart" Target="charts/chart11.xml"/><Relationship Id="rId37" Type="http://schemas.openxmlformats.org/officeDocument/2006/relationships/header" Target="header5.xml"/><Relationship Id="rId53" Type="http://schemas.openxmlformats.org/officeDocument/2006/relationships/chart" Target="charts/chart21.xml"/><Relationship Id="rId58" Type="http://schemas.openxmlformats.org/officeDocument/2006/relationships/chart" Target="charts/chart26.xml"/><Relationship Id="rId74" Type="http://schemas.openxmlformats.org/officeDocument/2006/relationships/chart" Target="charts/chart41.xml"/><Relationship Id="rId79" Type="http://schemas.openxmlformats.org/officeDocument/2006/relationships/chart" Target="charts/chart46.xml"/><Relationship Id="rId5" Type="http://schemas.openxmlformats.org/officeDocument/2006/relationships/webSettings" Target="webSettings.xml"/><Relationship Id="rId90" Type="http://schemas.openxmlformats.org/officeDocument/2006/relationships/chart" Target="charts/chart57.xml"/><Relationship Id="rId95" Type="http://schemas.openxmlformats.org/officeDocument/2006/relationships/header" Target="header8.xml"/><Relationship Id="rId22" Type="http://schemas.openxmlformats.org/officeDocument/2006/relationships/image" Target="media/image5.png"/><Relationship Id="rId27" Type="http://schemas.openxmlformats.org/officeDocument/2006/relationships/chart" Target="charts/chart6.xml"/><Relationship Id="rId43" Type="http://schemas.openxmlformats.org/officeDocument/2006/relationships/image" Target="media/image8.emf"/><Relationship Id="rId48" Type="http://schemas.openxmlformats.org/officeDocument/2006/relationships/image" Target="media/image11.jpg"/><Relationship Id="rId64" Type="http://schemas.openxmlformats.org/officeDocument/2006/relationships/chart" Target="charts/chart31.xml"/><Relationship Id="rId69" Type="http://schemas.openxmlformats.org/officeDocument/2006/relationships/chart" Target="charts/chart36.xml"/><Relationship Id="rId80" Type="http://schemas.openxmlformats.org/officeDocument/2006/relationships/chart" Target="charts/chart47.xml"/><Relationship Id="rId85" Type="http://schemas.openxmlformats.org/officeDocument/2006/relationships/chart" Target="charts/chart5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legislation.gov.au/Series/C2013A00123" TargetMode="External"/><Relationship Id="rId25" Type="http://schemas.openxmlformats.org/officeDocument/2006/relationships/image" Target="media/image6.emf"/><Relationship Id="rId33" Type="http://schemas.openxmlformats.org/officeDocument/2006/relationships/chart" Target="charts/chart12.xml"/><Relationship Id="rId38" Type="http://schemas.openxmlformats.org/officeDocument/2006/relationships/footer" Target="footer4.xml"/><Relationship Id="rId46" Type="http://schemas.openxmlformats.org/officeDocument/2006/relationships/chart" Target="charts/chart16.xml"/><Relationship Id="rId59" Type="http://schemas.openxmlformats.org/officeDocument/2006/relationships/chart" Target="charts/chart27.xml"/><Relationship Id="rId67" Type="http://schemas.openxmlformats.org/officeDocument/2006/relationships/chart" Target="charts/chart34.xml"/><Relationship Id="rId20" Type="http://schemas.openxmlformats.org/officeDocument/2006/relationships/chart" Target="charts/chart1.xml"/><Relationship Id="rId41" Type="http://schemas.openxmlformats.org/officeDocument/2006/relationships/footer" Target="footer6.xml"/><Relationship Id="rId54" Type="http://schemas.openxmlformats.org/officeDocument/2006/relationships/chart" Target="charts/chart22.xml"/><Relationship Id="rId62" Type="http://schemas.openxmlformats.org/officeDocument/2006/relationships/image" Target="media/image12.emf"/><Relationship Id="rId70" Type="http://schemas.openxmlformats.org/officeDocument/2006/relationships/chart" Target="charts/chart37.xml"/><Relationship Id="rId75" Type="http://schemas.openxmlformats.org/officeDocument/2006/relationships/chart" Target="charts/chart42.xml"/><Relationship Id="rId83" Type="http://schemas.openxmlformats.org/officeDocument/2006/relationships/chart" Target="charts/chart50.xml"/><Relationship Id="rId88" Type="http://schemas.openxmlformats.org/officeDocument/2006/relationships/chart" Target="charts/chart55.xml"/><Relationship Id="rId91" Type="http://schemas.openxmlformats.org/officeDocument/2006/relationships/chart" Target="charts/chart58.xml"/><Relationship Id="rId9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eader" Target="header4.xml"/><Relationship Id="rId49" Type="http://schemas.openxmlformats.org/officeDocument/2006/relationships/chart" Target="charts/chart17.xml"/><Relationship Id="rId57" Type="http://schemas.openxmlformats.org/officeDocument/2006/relationships/chart" Target="charts/chart25.xml"/><Relationship Id="rId10" Type="http://schemas.openxmlformats.org/officeDocument/2006/relationships/header" Target="header2.xml"/><Relationship Id="rId31" Type="http://schemas.openxmlformats.org/officeDocument/2006/relationships/chart" Target="charts/chart10.xml"/><Relationship Id="rId44" Type="http://schemas.openxmlformats.org/officeDocument/2006/relationships/image" Target="media/image9.emf"/><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32.xml"/><Relationship Id="rId73" Type="http://schemas.openxmlformats.org/officeDocument/2006/relationships/chart" Target="charts/chart40.xml"/><Relationship Id="rId78" Type="http://schemas.openxmlformats.org/officeDocument/2006/relationships/chart" Target="charts/chart45.xml"/><Relationship Id="rId81" Type="http://schemas.openxmlformats.org/officeDocument/2006/relationships/chart" Target="charts/chart48.xml"/><Relationship Id="rId86" Type="http://schemas.openxmlformats.org/officeDocument/2006/relationships/chart" Target="charts/chart53.xml"/><Relationship Id="rId94" Type="http://schemas.openxmlformats.org/officeDocument/2006/relationships/header" Target="header7.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legislation.gov.au/C2013A00123/latest/versions" TargetMode="External"/><Relationship Id="rId39" Type="http://schemas.openxmlformats.org/officeDocument/2006/relationships/footer" Target="footer5.xml"/><Relationship Id="rId34" Type="http://schemas.openxmlformats.org/officeDocument/2006/relationships/chart" Target="charts/chart13.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chart" Target="charts/chart43.xml"/><Relationship Id="rId97"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chart" Target="charts/chart38.xml"/><Relationship Id="rId92" Type="http://schemas.openxmlformats.org/officeDocument/2006/relationships/chart" Target="charts/chart59.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4.xml"/><Relationship Id="rId40" Type="http://schemas.openxmlformats.org/officeDocument/2006/relationships/header" Target="header6.xml"/><Relationship Id="rId45" Type="http://schemas.openxmlformats.org/officeDocument/2006/relationships/chart" Target="charts/chart15.xml"/><Relationship Id="rId66" Type="http://schemas.openxmlformats.org/officeDocument/2006/relationships/chart" Target="charts/chart33.xml"/><Relationship Id="rId87" Type="http://schemas.openxmlformats.org/officeDocument/2006/relationships/chart" Target="charts/chart54.xml"/><Relationship Id="rId61" Type="http://schemas.openxmlformats.org/officeDocument/2006/relationships/chart" Target="charts/chart29.xml"/><Relationship Id="rId82" Type="http://schemas.openxmlformats.org/officeDocument/2006/relationships/chart" Target="charts/chart49.xml"/><Relationship Id="rId19" Type="http://schemas.openxmlformats.org/officeDocument/2006/relationships/hyperlink" Target="https://www.legislation.gov.au/Series/C2013A00123" TargetMode="External"/><Relationship Id="rId14" Type="http://schemas.openxmlformats.org/officeDocument/2006/relationships/footer" Target="footer3.xml"/><Relationship Id="rId30" Type="http://schemas.openxmlformats.org/officeDocument/2006/relationships/chart" Target="charts/chart9.xml"/><Relationship Id="rId35" Type="http://schemas.openxmlformats.org/officeDocument/2006/relationships/image" Target="media/image7.jpg"/><Relationship Id="rId56" Type="http://schemas.openxmlformats.org/officeDocument/2006/relationships/chart" Target="charts/chart24.xml"/><Relationship Id="rId77" Type="http://schemas.openxmlformats.org/officeDocument/2006/relationships/chart" Target="charts/chart44.xm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hart" Target="charts/chart19.xml"/><Relationship Id="rId72" Type="http://schemas.openxmlformats.org/officeDocument/2006/relationships/chart" Target="charts/chart39.xml"/><Relationship Id="rId93" Type="http://schemas.openxmlformats.org/officeDocument/2006/relationships/chart" Target="charts/chart60.xml"/><Relationship Id="rId98"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psc.gov.au/working-aps/information-aps-employment/aps-values/stewardship-guidance"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MCD\Publishing\Graphic%20Design%20Services%20Team\Projects\2023\Australian%20Centre%20for%20Evaluation\Word%20Templates\ACE%20A4%20Report_navy_02.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6.xml"/><Relationship Id="rId1" Type="http://schemas.microsoft.com/office/2011/relationships/chartStyle" Target="style56.xml"/></Relationships>
</file>

<file path=word/charts/_rels/chart5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8.xml"/><Relationship Id="rId1" Type="http://schemas.microsoft.com/office/2011/relationships/chartStyle" Target="style58.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854682304733959E-2"/>
          <c:y val="1.3154819688634776E-3"/>
          <c:w val="0.98149944873208383"/>
          <c:h val="0.9959474885844749"/>
        </c:manualLayout>
      </c:layout>
      <c:barChart>
        <c:barDir val="bar"/>
        <c:grouping val="clustered"/>
        <c:varyColors val="0"/>
        <c:ser>
          <c:idx val="0"/>
          <c:order val="0"/>
          <c:tx>
            <c:strRef>
              <c:f>'Q3'!$B$1</c:f>
              <c:strCache>
                <c:ptCount val="1"/>
                <c:pt idx="0">
                  <c:v>Entities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'Q3'!$A$2:$A$5</c:f>
              <c:strCache>
                <c:ptCount val="4"/>
                <c:pt idx="0">
                  <c:v>Micro (&lt; 100 employees)</c:v>
                </c:pt>
                <c:pt idx="1">
                  <c:v>Small (101 – 250 employees)</c:v>
                </c:pt>
                <c:pt idx="2">
                  <c:v>Medium (251 – 1000 employees)</c:v>
                </c:pt>
                <c:pt idx="3">
                  <c:v>Large (&gt; 1001 employees)</c:v>
                </c:pt>
              </c:strCache>
            </c:strRef>
          </c:cat>
          <c:val>
            <c:numRef>
              <c:f>'Q3'!$B$2:$B$5</c:f>
              <c:numCache>
                <c:formatCode>General</c:formatCode>
                <c:ptCount val="4"/>
                <c:pt idx="0">
                  <c:v>24</c:v>
                </c:pt>
                <c:pt idx="1">
                  <c:v>18</c:v>
                </c:pt>
                <c:pt idx="2">
                  <c:v>16</c:v>
                </c:pt>
                <c:pt idx="3">
                  <c:v>34</c:v>
                </c:pt>
              </c:numCache>
            </c:numRef>
          </c:val>
          <c:extLst>
            <c:ext xmlns:c16="http://schemas.microsoft.com/office/drawing/2014/chart" uri="{C3380CC4-5D6E-409C-BE32-E72D297353CC}">
              <c16:uniqueId val="{00000000-321C-4A66-821A-3AB059BD0523}"/>
            </c:ext>
          </c:extLst>
        </c:ser>
        <c:ser>
          <c:idx val="1"/>
          <c:order val="1"/>
          <c:tx>
            <c:strRef>
              <c:f>'Q3'!$D$17</c:f>
              <c:strCache>
                <c:ptCount val="1"/>
              </c:strCache>
            </c:strRef>
          </c:tx>
          <c:spPr>
            <a:solidFill>
              <a:srgbClr val="213657"/>
            </a:solidFill>
            <a:ln>
              <a:noFill/>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l">
                    <a:defRPr sz="11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extLst>
                <c:ext xmlns:c15="http://schemas.microsoft.com/office/drawing/2012/chart" uri="{CE6537A1-D6FC-4f65-9D91-7224C49458BB}">
                  <c15:layout>
                    <c:manualLayout>
                      <c:w val="0.54006099724745138"/>
                      <c:h val="0.14988399071925751"/>
                    </c:manualLayout>
                  </c15:layout>
                </c:ext>
                <c:ext xmlns:c16="http://schemas.microsoft.com/office/drawing/2014/chart" uri="{C3380CC4-5D6E-409C-BE32-E72D297353CC}">
                  <c16:uniqueId val="{00000001-321C-4A66-821A-3AB059BD0523}"/>
                </c:ext>
              </c:extLst>
            </c:dLbl>
            <c:dLbl>
              <c:idx val="1"/>
              <c:dLblPos val="inBase"/>
              <c:showLegendKey val="0"/>
              <c:showVal val="0"/>
              <c:showCatName val="1"/>
              <c:showSerName val="0"/>
              <c:showPercent val="0"/>
              <c:showBubbleSize val="0"/>
              <c:extLst>
                <c:ext xmlns:c15="http://schemas.microsoft.com/office/drawing/2012/chart" uri="{CE6537A1-D6FC-4f65-9D91-7224C49458BB}">
                  <c15:layout>
                    <c:manualLayout>
                      <c:w val="0.43031659105949149"/>
                      <c:h val="0.21786542923433871"/>
                    </c:manualLayout>
                  </c15:layout>
                </c:ext>
                <c:ext xmlns:c16="http://schemas.microsoft.com/office/drawing/2014/chart" uri="{C3380CC4-5D6E-409C-BE32-E72D297353CC}">
                  <c16:uniqueId val="{00000002-321C-4A66-821A-3AB059BD0523}"/>
                </c:ext>
              </c:extLst>
            </c:dLbl>
            <c:dLbl>
              <c:idx val="2"/>
              <c:dLblPos val="inBase"/>
              <c:showLegendKey val="0"/>
              <c:showVal val="0"/>
              <c:showCatName val="1"/>
              <c:showSerName val="0"/>
              <c:showPercent val="0"/>
              <c:showBubbleSize val="0"/>
              <c:extLst>
                <c:ext xmlns:c15="http://schemas.microsoft.com/office/drawing/2012/chart" uri="{CE6537A1-D6FC-4f65-9D91-7224C49458BB}">
                  <c15:layout>
                    <c:manualLayout>
                      <c:w val="0.42013388704000298"/>
                      <c:h val="0.21786542923433871"/>
                    </c:manualLayout>
                  </c15:layout>
                </c:ext>
                <c:ext xmlns:c16="http://schemas.microsoft.com/office/drawing/2014/chart" uri="{C3380CC4-5D6E-409C-BE32-E72D297353CC}">
                  <c16:uniqueId val="{00000003-321C-4A66-821A-3AB059BD0523}"/>
                </c:ext>
              </c:extLst>
            </c:dLbl>
            <c:dLbl>
              <c:idx val="3"/>
              <c:dLblPos val="inBase"/>
              <c:showLegendKey val="0"/>
              <c:showVal val="0"/>
              <c:showCatName val="1"/>
              <c:showSerName val="0"/>
              <c:showPercent val="0"/>
              <c:showBubbleSize val="0"/>
              <c:extLst>
                <c:ext xmlns:c15="http://schemas.microsoft.com/office/drawing/2012/chart" uri="{CE6537A1-D6FC-4f65-9D91-7224C49458BB}">
                  <c15:layout>
                    <c:manualLayout>
                      <c:w val="0.5814859926918392"/>
                      <c:h val="0.14988399071925751"/>
                    </c:manualLayout>
                  </c15:layout>
                </c:ext>
                <c:ext xmlns:c16="http://schemas.microsoft.com/office/drawing/2014/chart" uri="{C3380CC4-5D6E-409C-BE32-E72D297353CC}">
                  <c16:uniqueId val="{00000004-321C-4A66-821A-3AB059BD0523}"/>
                </c:ext>
              </c:extLst>
            </c:dLbl>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'Q3'!$A$2:$A$5</c:f>
              <c:strCache>
                <c:ptCount val="4"/>
                <c:pt idx="0">
                  <c:v>Micro (&lt; 100 employees)</c:v>
                </c:pt>
                <c:pt idx="1">
                  <c:v>Small (101 – 250 employees)</c:v>
                </c:pt>
                <c:pt idx="2">
                  <c:v>Medium (251 – 1000 employees)</c:v>
                </c:pt>
                <c:pt idx="3">
                  <c:v>Large (&gt; 1001 employees)</c:v>
                </c:pt>
              </c:strCache>
            </c:strRef>
          </c:cat>
          <c:val>
            <c:numRef>
              <c:f>'Q3'!$B$2:$B$5</c:f>
              <c:numCache>
                <c:formatCode>General</c:formatCode>
                <c:ptCount val="4"/>
                <c:pt idx="0">
                  <c:v>24</c:v>
                </c:pt>
                <c:pt idx="1">
                  <c:v>18</c:v>
                </c:pt>
                <c:pt idx="2">
                  <c:v>16</c:v>
                </c:pt>
                <c:pt idx="3">
                  <c:v>34</c:v>
                </c:pt>
              </c:numCache>
            </c:numRef>
          </c:val>
          <c:extLst>
            <c:ext xmlns:c16="http://schemas.microsoft.com/office/drawing/2014/chart" uri="{C3380CC4-5D6E-409C-BE32-E72D297353CC}">
              <c16:uniqueId val="{00000005-321C-4A66-821A-3AB059BD0523}"/>
            </c:ext>
          </c:extLst>
        </c:ser>
        <c:dLbls>
          <c:showLegendKey val="0"/>
          <c:showVal val="0"/>
          <c:showCatName val="0"/>
          <c:showSerName val="0"/>
          <c:showPercent val="0"/>
          <c:showBubbleSize val="0"/>
        </c:dLbls>
        <c:gapWidth val="50"/>
        <c:overlap val="100"/>
        <c:axId val="1385375055"/>
        <c:axId val="1385351055"/>
      </c:barChart>
      <c:catAx>
        <c:axId val="1385375055"/>
        <c:scaling>
          <c:orientation val="minMax"/>
        </c:scaling>
        <c:delete val="1"/>
        <c:axPos val="l"/>
        <c:numFmt formatCode="General" sourceLinked="1"/>
        <c:majorTickMark val="out"/>
        <c:minorTickMark val="none"/>
        <c:tickLblPos val="low"/>
        <c:crossAx val="1385351055"/>
        <c:crosses val="autoZero"/>
        <c:auto val="1"/>
        <c:lblAlgn val="ctr"/>
        <c:lblOffset val="100"/>
        <c:noMultiLvlLbl val="0"/>
      </c:catAx>
      <c:valAx>
        <c:axId val="1385351055"/>
        <c:scaling>
          <c:orientation val="minMax"/>
        </c:scaling>
        <c:delete val="1"/>
        <c:axPos val="b"/>
        <c:numFmt formatCode="0" sourceLinked="0"/>
        <c:majorTickMark val="in"/>
        <c:minorTickMark val="none"/>
        <c:tickLblPos val="nextTo"/>
        <c:crossAx val="138537505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804503902282336E-2"/>
          <c:y val="1.1193365908110438E-3"/>
          <c:w val="0.98156195470053564"/>
          <c:h val="0.99757494140252467"/>
        </c:manualLayout>
      </c:layout>
      <c:barChart>
        <c:barDir val="bar"/>
        <c:grouping val="clustered"/>
        <c:varyColors val="0"/>
        <c:ser>
          <c:idx val="1"/>
          <c:order val="0"/>
          <c:tx>
            <c:strRef>
              <c:f>'Q14'!$H$34</c:f>
              <c:strCache>
                <c:ptCount val="1"/>
                <c:pt idx="0">
                  <c:v>Total</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'Q14'!$I$34:$I$40</c:f>
              <c:strCache>
                <c:ptCount val="7"/>
                <c:pt idx="0">
                  <c:v>Not linked to performance measures</c:v>
                </c:pt>
                <c:pt idx="1">
                  <c:v>To inform agency direction</c:v>
                </c:pt>
                <c:pt idx="2">
                  <c:v>Aligned with Commonwealth Performance Framework</c:v>
                </c:pt>
                <c:pt idx="3">
                  <c:v>Assessing progress</c:v>
                </c:pt>
                <c:pt idx="4">
                  <c:v>Develop performance measures</c:v>
                </c:pt>
                <c:pt idx="5">
                  <c:v>Assessment of policy and program objectives</c:v>
                </c:pt>
                <c:pt idx="6">
                  <c:v>Design and decision making</c:v>
                </c:pt>
              </c:strCache>
            </c:strRef>
          </c:cat>
          <c:val>
            <c:numRef>
              <c:f>'Q14'!$K$34:$K$40</c:f>
              <c:numCache>
                <c:formatCode>0.00%</c:formatCode>
                <c:ptCount val="7"/>
                <c:pt idx="0">
                  <c:v>0.219512195121951</c:v>
                </c:pt>
                <c:pt idx="1">
                  <c:v>0.34146341463414598</c:v>
                </c:pt>
                <c:pt idx="2">
                  <c:v>0.439024390243902</c:v>
                </c:pt>
                <c:pt idx="3">
                  <c:v>0.52439024390243905</c:v>
                </c:pt>
                <c:pt idx="4">
                  <c:v>0.54878048780487798</c:v>
                </c:pt>
                <c:pt idx="5">
                  <c:v>0.67073170731707299</c:v>
                </c:pt>
                <c:pt idx="6">
                  <c:v>0.68292682926829296</c:v>
                </c:pt>
              </c:numCache>
            </c:numRef>
          </c:val>
          <c:extLst>
            <c:ext xmlns:c16="http://schemas.microsoft.com/office/drawing/2014/chart" uri="{C3380CC4-5D6E-409C-BE32-E72D297353CC}">
              <c16:uniqueId val="{00000000-76CF-462F-9CA8-CABFD3AC668E}"/>
            </c:ext>
          </c:extLst>
        </c:ser>
        <c:ser>
          <c:idx val="0"/>
          <c:order val="1"/>
          <c:tx>
            <c:strRef>
              <c:f>'Q14'!$H$34</c:f>
              <c:strCache>
                <c:ptCount val="1"/>
                <c:pt idx="0">
                  <c:v>Total</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0">
                  <a:no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extLst>
                <c:ext xmlns:c15="http://schemas.microsoft.com/office/drawing/2012/chart" uri="{CE6537A1-D6FC-4f65-9D91-7224C49458BB}">
                  <c15:layout>
                    <c:manualLayout>
                      <c:w val="0.26363836824696801"/>
                      <c:h val="0.1541804226186895"/>
                    </c:manualLayout>
                  </c15:layout>
                </c:ext>
                <c:ext xmlns:c16="http://schemas.microsoft.com/office/drawing/2014/chart" uri="{C3380CC4-5D6E-409C-BE32-E72D297353CC}">
                  <c16:uniqueId val="{00000008-76CF-462F-9CA8-CABFD3AC668E}"/>
                </c:ext>
              </c:extLst>
            </c:dLbl>
            <c:dLbl>
              <c:idx val="1"/>
              <c:dLblPos val="inBase"/>
              <c:showLegendKey val="0"/>
              <c:showVal val="0"/>
              <c:showCatName val="1"/>
              <c:showSerName val="0"/>
              <c:showPercent val="0"/>
              <c:showBubbleSize val="0"/>
              <c:extLst>
                <c:ext xmlns:c15="http://schemas.microsoft.com/office/drawing/2012/chart" uri="{CE6537A1-D6FC-4f65-9D91-7224C49458BB}">
                  <c15:layout>
                    <c:manualLayout>
                      <c:w val="0.36041896361631753"/>
                      <c:h val="0.12739795918367347"/>
                    </c:manualLayout>
                  </c15:layout>
                </c:ext>
                <c:ext xmlns:c16="http://schemas.microsoft.com/office/drawing/2014/chart" uri="{C3380CC4-5D6E-409C-BE32-E72D297353CC}">
                  <c16:uniqueId val="{00000007-76CF-462F-9CA8-CABFD3AC668E}"/>
                </c:ext>
              </c:extLst>
            </c:dLbl>
            <c:dLbl>
              <c:idx val="2"/>
              <c:dLblPos val="inBase"/>
              <c:showLegendKey val="0"/>
              <c:showVal val="0"/>
              <c:showCatName val="1"/>
              <c:showSerName val="0"/>
              <c:showPercent val="0"/>
              <c:showBubbleSize val="0"/>
              <c:extLst>
                <c:ext xmlns:c15="http://schemas.microsoft.com/office/drawing/2012/chart" uri="{CE6537A1-D6FC-4f65-9D91-7224C49458BB}">
                  <c15:layout>
                    <c:manualLayout>
                      <c:w val="0.53017649254703136"/>
                      <c:h val="0.23948979591836736"/>
                    </c:manualLayout>
                  </c15:layout>
                </c:ext>
                <c:ext xmlns:c16="http://schemas.microsoft.com/office/drawing/2014/chart" uri="{C3380CC4-5D6E-409C-BE32-E72D297353CC}">
                  <c16:uniqueId val="{00000006-76CF-462F-9CA8-CABFD3AC668E}"/>
                </c:ext>
              </c:extLst>
            </c:dLbl>
            <c:dLbl>
              <c:idx val="3"/>
              <c:spPr>
                <a:noFill/>
                <a:ln>
                  <a:noFill/>
                </a:ln>
                <a:effectLst/>
              </c:spPr>
              <c:txPr>
                <a:bodyPr rot="0" spcFirstLastPara="1" vertOverflow="ellipsis" vert="horz" wrap="square" lIns="38100" tIns="19050" rIns="38100" bIns="19050" anchor="ctr" anchorCtr="0">
                  <a:no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extLst>
                <c:ext xmlns:c15="http://schemas.microsoft.com/office/drawing/2012/chart" uri="{CE6537A1-D6FC-4f65-9D91-7224C49458BB}">
                  <c15:layout>
                    <c:manualLayout>
                      <c:w val="0.51233728915087373"/>
                      <c:h val="9.1760404949381313E-2"/>
                    </c:manualLayout>
                  </c15:layout>
                </c:ext>
                <c:ext xmlns:c16="http://schemas.microsoft.com/office/drawing/2014/chart" uri="{C3380CC4-5D6E-409C-BE32-E72D297353CC}">
                  <c16:uniqueId val="{00000005-76CF-462F-9CA8-CABFD3AC668E}"/>
                </c:ext>
              </c:extLst>
            </c:dLbl>
            <c:dLbl>
              <c:idx val="4"/>
              <c:dLblPos val="inBase"/>
              <c:showLegendKey val="0"/>
              <c:showVal val="0"/>
              <c:showCatName val="1"/>
              <c:showSerName val="0"/>
              <c:showPercent val="0"/>
              <c:showBubbleSize val="0"/>
              <c:extLst>
                <c:ext xmlns:c15="http://schemas.microsoft.com/office/drawing/2012/chart" uri="{CE6537A1-D6FC-4f65-9D91-7224C49458BB}">
                  <c15:layout>
                    <c:manualLayout>
                      <c:w val="0.56368246968026459"/>
                      <c:h val="0.12739795918367347"/>
                    </c:manualLayout>
                  </c15:layout>
                </c:ext>
                <c:ext xmlns:c16="http://schemas.microsoft.com/office/drawing/2014/chart" uri="{C3380CC4-5D6E-409C-BE32-E72D297353CC}">
                  <c16:uniqueId val="{00000004-76CF-462F-9CA8-CABFD3AC668E}"/>
                </c:ext>
              </c:extLst>
            </c:dLbl>
            <c:dLbl>
              <c:idx val="5"/>
              <c:dLblPos val="inBase"/>
              <c:showLegendKey val="0"/>
              <c:showVal val="0"/>
              <c:showCatName val="1"/>
              <c:showSerName val="0"/>
              <c:showPercent val="0"/>
              <c:showBubbleSize val="0"/>
              <c:extLst>
                <c:ext xmlns:c15="http://schemas.microsoft.com/office/drawing/2012/chart" uri="{CE6537A1-D6FC-4f65-9D91-7224C49458BB}">
                  <c15:layout>
                    <c:manualLayout>
                      <c:w val="0.67746416758544659"/>
                      <c:h val="0.1834439570033424"/>
                    </c:manualLayout>
                  </c15:layout>
                </c:ext>
                <c:ext xmlns:c16="http://schemas.microsoft.com/office/drawing/2014/chart" uri="{C3380CC4-5D6E-409C-BE32-E72D297353CC}">
                  <c16:uniqueId val="{00000003-76CF-462F-9CA8-CABFD3AC668E}"/>
                </c:ext>
              </c:extLst>
            </c:dLbl>
            <c:dLbl>
              <c:idx val="6"/>
              <c:dLblPos val="inBase"/>
              <c:showLegendKey val="0"/>
              <c:showVal val="0"/>
              <c:showCatName val="1"/>
              <c:showSerName val="0"/>
              <c:showPercent val="0"/>
              <c:showBubbleSize val="0"/>
              <c:extLst>
                <c:ext xmlns:c15="http://schemas.microsoft.com/office/drawing/2012/chart" uri="{CE6537A1-D6FC-4f65-9D91-7224C49458BB}">
                  <c15:layout>
                    <c:manualLayout>
                      <c:w val="0.40693486357204245"/>
                      <c:h val="0.12739795918367347"/>
                    </c:manualLayout>
                  </c15:layout>
                </c:ext>
                <c:ext xmlns:c16="http://schemas.microsoft.com/office/drawing/2014/chart" uri="{C3380CC4-5D6E-409C-BE32-E72D297353CC}">
                  <c16:uniqueId val="{00000002-76CF-462F-9CA8-CABFD3AC668E}"/>
                </c:ext>
              </c:extLst>
            </c:dLbl>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val>
            <c:numRef>
              <c:f>'Q14'!$K$34:$K$40</c:f>
              <c:numCache>
                <c:formatCode>0.00%</c:formatCode>
                <c:ptCount val="7"/>
                <c:pt idx="0">
                  <c:v>0.219512195121951</c:v>
                </c:pt>
                <c:pt idx="1">
                  <c:v>0.34146341463414598</c:v>
                </c:pt>
                <c:pt idx="2">
                  <c:v>0.439024390243902</c:v>
                </c:pt>
                <c:pt idx="3">
                  <c:v>0.52439024390243905</c:v>
                </c:pt>
                <c:pt idx="4">
                  <c:v>0.54878048780487798</c:v>
                </c:pt>
                <c:pt idx="5">
                  <c:v>0.67073170731707299</c:v>
                </c:pt>
                <c:pt idx="6">
                  <c:v>0.68292682926829296</c:v>
                </c:pt>
              </c:numCache>
            </c:numRef>
          </c:val>
          <c:extLst>
            <c:ext xmlns:c16="http://schemas.microsoft.com/office/drawing/2014/chart" uri="{C3380CC4-5D6E-409C-BE32-E72D297353CC}">
              <c16:uniqueId val="{00000001-76CF-462F-9CA8-CABFD3AC668E}"/>
            </c:ext>
          </c:extLst>
        </c:ser>
        <c:dLbls>
          <c:showLegendKey val="0"/>
          <c:showVal val="0"/>
          <c:showCatName val="0"/>
          <c:showSerName val="0"/>
          <c:showPercent val="0"/>
          <c:showBubbleSize val="0"/>
        </c:dLbls>
        <c:gapWidth val="50"/>
        <c:overlap val="100"/>
        <c:axId val="1323261263"/>
        <c:axId val="1323234863"/>
      </c:barChart>
      <c:catAx>
        <c:axId val="1323261263"/>
        <c:scaling>
          <c:orientation val="minMax"/>
        </c:scaling>
        <c:delete val="1"/>
        <c:axPos val="l"/>
        <c:numFmt formatCode="General" sourceLinked="1"/>
        <c:majorTickMark val="out"/>
        <c:minorTickMark val="none"/>
        <c:tickLblPos val="low"/>
        <c:crossAx val="1323234863"/>
        <c:crosses val="autoZero"/>
        <c:auto val="1"/>
        <c:lblAlgn val="ctr"/>
        <c:lblOffset val="100"/>
        <c:noMultiLvlLbl val="0"/>
      </c:catAx>
      <c:valAx>
        <c:axId val="1323234863"/>
        <c:scaling>
          <c:orientation val="minMax"/>
        </c:scaling>
        <c:delete val="1"/>
        <c:axPos val="b"/>
        <c:numFmt formatCode="0.0" sourceLinked="0"/>
        <c:majorTickMark val="in"/>
        <c:minorTickMark val="none"/>
        <c:tickLblPos val="nextTo"/>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
          <c:y val="6.5300188654148434E-3"/>
          <c:w val="1"/>
          <c:h val="0.95302260940589623"/>
        </c:manualLayout>
      </c:layout>
      <c:barChart>
        <c:barDir val="bar"/>
        <c:grouping val="cluster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'[SoE graphs with totals.xlsx]Q19'!$A$4:$A$16</c:f>
              <c:strCache>
                <c:ptCount val="13"/>
                <c:pt idx="0">
                  <c:v>To reduce waste</c:v>
                </c:pt>
                <c:pt idx="1">
                  <c:v>To consider service expansion</c:v>
                </c:pt>
                <c:pt idx="2">
                  <c:v>To seek funding renewal</c:v>
                </c:pt>
                <c:pt idx="3">
                  <c:v>To identify innovative solutions</c:v>
                </c:pt>
                <c:pt idx="4">
                  <c:v>To assess whether a program is needed</c:v>
                </c:pt>
                <c:pt idx="5">
                  <c:v>To meet legislative requirements</c:v>
                </c:pt>
                <c:pt idx="6">
                  <c:v>To help plan future interventions</c:v>
                </c:pt>
                <c:pt idx="7">
                  <c:v>To give stakeholders a voice</c:v>
                </c:pt>
                <c:pt idx="8">
                  <c:v>To understand the impact of an intervention</c:v>
                </c:pt>
                <c:pt idx="9">
                  <c:v>To build greater knowledge</c:v>
                </c:pt>
                <c:pt idx="10">
                  <c:v>To promote transparency</c:v>
                </c:pt>
                <c:pt idx="11">
                  <c:v>To enhance accountability</c:v>
                </c:pt>
                <c:pt idx="12">
                  <c:v>To improve implementation</c:v>
                </c:pt>
              </c:strCache>
            </c:strRef>
          </c:cat>
          <c:val>
            <c:numRef>
              <c:f>'[SoE graphs with totals.xlsx]Q19'!$B$4:$B$16</c:f>
              <c:numCache>
                <c:formatCode>0%</c:formatCode>
                <c:ptCount val="13"/>
                <c:pt idx="0">
                  <c:v>0.22727272727272727</c:v>
                </c:pt>
                <c:pt idx="1">
                  <c:v>0.30681818181818182</c:v>
                </c:pt>
                <c:pt idx="2">
                  <c:v>0.39772727272727271</c:v>
                </c:pt>
                <c:pt idx="3">
                  <c:v>0.40909090909090912</c:v>
                </c:pt>
                <c:pt idx="4">
                  <c:v>0.43181818181818182</c:v>
                </c:pt>
                <c:pt idx="5">
                  <c:v>0.45454545454545453</c:v>
                </c:pt>
                <c:pt idx="6">
                  <c:v>0.48863636363636365</c:v>
                </c:pt>
                <c:pt idx="7">
                  <c:v>0.51136363636363635</c:v>
                </c:pt>
                <c:pt idx="8">
                  <c:v>0.54545454545454541</c:v>
                </c:pt>
                <c:pt idx="9">
                  <c:v>0.61363636363636365</c:v>
                </c:pt>
                <c:pt idx="10">
                  <c:v>0.625</c:v>
                </c:pt>
                <c:pt idx="11">
                  <c:v>0.67045454545454541</c:v>
                </c:pt>
                <c:pt idx="12">
                  <c:v>0.77272727272727271</c:v>
                </c:pt>
              </c:numCache>
            </c:numRef>
          </c:val>
          <c:extLst>
            <c:ext xmlns:c16="http://schemas.microsoft.com/office/drawing/2014/chart" uri="{C3380CC4-5D6E-409C-BE32-E72D297353CC}">
              <c16:uniqueId val="{00000000-CC27-47AB-A401-3109B0CA395B}"/>
            </c:ext>
          </c:extLst>
        </c:ser>
        <c:ser>
          <c:idx val="1"/>
          <c:order val="1"/>
          <c:tx>
            <c:strRef>
              <c:f>'[SoE graphs with totals.xlsx]Q19'!$B$2:$B$16</c:f>
              <c:strCache>
                <c:ptCount val="15"/>
                <c:pt idx="0">
                  <c:v>16%</c:v>
                </c:pt>
                <c:pt idx="1">
                  <c:v>16%</c:v>
                </c:pt>
                <c:pt idx="2">
                  <c:v>23%</c:v>
                </c:pt>
                <c:pt idx="3">
                  <c:v>31%</c:v>
                </c:pt>
                <c:pt idx="4">
                  <c:v>40%</c:v>
                </c:pt>
                <c:pt idx="5">
                  <c:v>41%</c:v>
                </c:pt>
                <c:pt idx="6">
                  <c:v>43%</c:v>
                </c:pt>
                <c:pt idx="7">
                  <c:v>45%</c:v>
                </c:pt>
                <c:pt idx="8">
                  <c:v>49%</c:v>
                </c:pt>
                <c:pt idx="9">
                  <c:v>51%</c:v>
                </c:pt>
                <c:pt idx="10">
                  <c:v>55%</c:v>
                </c:pt>
                <c:pt idx="11">
                  <c:v>61%</c:v>
                </c:pt>
                <c:pt idx="12">
                  <c:v>63%</c:v>
                </c:pt>
                <c:pt idx="13">
                  <c:v>67%</c:v>
                </c:pt>
                <c:pt idx="14">
                  <c:v>77%</c:v>
                </c:pt>
              </c:strCache>
            </c:strRef>
          </c:tx>
          <c:spPr>
            <a:solidFill>
              <a:srgbClr val="213657"/>
            </a:solidFill>
            <a:ln>
              <a:noFill/>
            </a:ln>
            <a:effectLst/>
          </c:spPr>
          <c:invertIfNegative val="0"/>
          <c:dLbls>
            <c:dLbl>
              <c:idx val="1"/>
              <c:dLblPos val="inBase"/>
              <c:showLegendKey val="0"/>
              <c:showVal val="0"/>
              <c:showCatName val="1"/>
              <c:showSerName val="0"/>
              <c:showPercent val="0"/>
              <c:showBubbleSize val="0"/>
              <c:extLst>
                <c:ext xmlns:c15="http://schemas.microsoft.com/office/drawing/2012/chart" uri="{CE6537A1-D6FC-4f65-9D91-7224C49458BB}">
                  <c15:layout>
                    <c:manualLayout>
                      <c:w val="0.31746416758544654"/>
                      <c:h val="6.6075681397195024E-2"/>
                    </c:manualLayout>
                  </c15:layout>
                </c:ext>
                <c:ext xmlns:c16="http://schemas.microsoft.com/office/drawing/2014/chart" uri="{C3380CC4-5D6E-409C-BE32-E72D297353CC}">
                  <c16:uniqueId val="{00000001-CC27-47AB-A401-3109B0CA395B}"/>
                </c:ext>
              </c:extLst>
            </c:dLbl>
            <c:dLbl>
              <c:idx val="2"/>
              <c:dLblPos val="inBase"/>
              <c:showLegendKey val="0"/>
              <c:showVal val="0"/>
              <c:showCatName val="1"/>
              <c:showSerName val="0"/>
              <c:showPercent val="0"/>
              <c:showBubbleSize val="0"/>
              <c:extLst>
                <c:ext xmlns:c15="http://schemas.microsoft.com/office/drawing/2012/chart" uri="{CE6537A1-D6FC-4f65-9D91-7224C49458BB}">
                  <c15:layout>
                    <c:manualLayout>
                      <c:w val="0.33238156421186049"/>
                      <c:h val="6.6075681397195024E-2"/>
                    </c:manualLayout>
                  </c15:layout>
                </c:ext>
                <c:ext xmlns:c16="http://schemas.microsoft.com/office/drawing/2014/chart" uri="{C3380CC4-5D6E-409C-BE32-E72D297353CC}">
                  <c16:uniqueId val="{00000002-CC27-47AB-A401-3109B0CA395B}"/>
                </c:ext>
              </c:extLst>
            </c:dLbl>
            <c:dLbl>
              <c:idx val="3"/>
              <c:dLblPos val="inBase"/>
              <c:showLegendKey val="0"/>
              <c:showVal val="0"/>
              <c:showCatName val="1"/>
              <c:showSerName val="0"/>
              <c:showPercent val="0"/>
              <c:showBubbleSize val="0"/>
              <c:extLst>
                <c:ext xmlns:c15="http://schemas.microsoft.com/office/drawing/2012/chart" uri="{CE6537A1-D6FC-4f65-9D91-7224C49458BB}">
                  <c15:layout>
                    <c:manualLayout>
                      <c:w val="0.34481816840149665"/>
                      <c:h val="6.6075681397195024E-2"/>
                    </c:manualLayout>
                  </c15:layout>
                </c:ext>
                <c:ext xmlns:c16="http://schemas.microsoft.com/office/drawing/2014/chart" uri="{C3380CC4-5D6E-409C-BE32-E72D297353CC}">
                  <c16:uniqueId val="{00000003-CC27-47AB-A401-3109B0CA395B}"/>
                </c:ext>
              </c:extLst>
            </c:dLbl>
            <c:dLbl>
              <c:idx val="4"/>
              <c:dLblPos val="inBase"/>
              <c:showLegendKey val="0"/>
              <c:showVal val="0"/>
              <c:showCatName val="1"/>
              <c:showSerName val="0"/>
              <c:showPercent val="0"/>
              <c:showBubbleSize val="0"/>
              <c:extLst>
                <c:ext xmlns:c15="http://schemas.microsoft.com/office/drawing/2012/chart" uri="{CE6537A1-D6FC-4f65-9D91-7224C49458BB}">
                  <c15:layout>
                    <c:manualLayout>
                      <c:w val="0.42651589995572492"/>
                      <c:h val="6.6075681397195024E-2"/>
                    </c:manualLayout>
                  </c15:layout>
                </c:ext>
                <c:ext xmlns:c16="http://schemas.microsoft.com/office/drawing/2014/chart" uri="{C3380CC4-5D6E-409C-BE32-E72D297353CC}">
                  <c16:uniqueId val="{00000004-CC27-47AB-A401-3109B0CA395B}"/>
                </c:ext>
              </c:extLst>
            </c:dLbl>
            <c:dLbl>
              <c:idx val="5"/>
              <c:dLblPos val="inBase"/>
              <c:showLegendKey val="0"/>
              <c:showVal val="0"/>
              <c:showCatName val="1"/>
              <c:showSerName val="0"/>
              <c:showPercent val="0"/>
              <c:showBubbleSize val="0"/>
              <c:extLst>
                <c:ext xmlns:c15="http://schemas.microsoft.com/office/drawing/2012/chart" uri="{CE6537A1-D6FC-4f65-9D91-7224C49458BB}">
                  <c15:layout>
                    <c:manualLayout>
                      <c:w val="0.40513781697905171"/>
                      <c:h val="6.6075681397195024E-2"/>
                    </c:manualLayout>
                  </c15:layout>
                </c:ext>
                <c:ext xmlns:c16="http://schemas.microsoft.com/office/drawing/2014/chart" uri="{C3380CC4-5D6E-409C-BE32-E72D297353CC}">
                  <c16:uniqueId val="{00000005-CC27-47AB-A401-3109B0CA395B}"/>
                </c:ext>
              </c:extLst>
            </c:dLbl>
            <c:dLbl>
              <c:idx val="6"/>
              <c:dLblPos val="inBase"/>
              <c:showLegendKey val="0"/>
              <c:showVal val="0"/>
              <c:showCatName val="1"/>
              <c:showSerName val="0"/>
              <c:showPercent val="0"/>
              <c:showBubbleSize val="0"/>
              <c:extLst>
                <c:ext xmlns:c15="http://schemas.microsoft.com/office/drawing/2012/chart" uri="{CE6537A1-D6FC-4f65-9D91-7224C49458BB}">
                  <c15:layout>
                    <c:manualLayout>
                      <c:w val="0.4408269886881559"/>
                      <c:h val="6.6075681397195024E-2"/>
                    </c:manualLayout>
                  </c15:layout>
                </c:ext>
                <c:ext xmlns:c16="http://schemas.microsoft.com/office/drawing/2014/chart" uri="{C3380CC4-5D6E-409C-BE32-E72D297353CC}">
                  <c16:uniqueId val="{00000006-CC27-47AB-A401-3109B0CA395B}"/>
                </c:ext>
              </c:extLst>
            </c:dLbl>
            <c:dLbl>
              <c:idx val="7"/>
              <c:dLblPos val="inBase"/>
              <c:showLegendKey val="0"/>
              <c:showVal val="0"/>
              <c:showCatName val="1"/>
              <c:showSerName val="0"/>
              <c:showPercent val="0"/>
              <c:showBubbleSize val="0"/>
              <c:extLst>
                <c:ext xmlns:c15="http://schemas.microsoft.com/office/drawing/2012/chart" uri="{CE6537A1-D6FC-4f65-9D91-7224C49458BB}">
                  <c15:layout>
                    <c:manualLayout>
                      <c:w val="0.48338487181935774"/>
                      <c:h val="6.6075681397195024E-2"/>
                    </c:manualLayout>
                  </c15:layout>
                </c:ext>
                <c:ext xmlns:c16="http://schemas.microsoft.com/office/drawing/2014/chart" uri="{C3380CC4-5D6E-409C-BE32-E72D297353CC}">
                  <c16:uniqueId val="{00000007-CC27-47AB-A401-3109B0CA395B}"/>
                </c:ext>
              </c:extLst>
            </c:dLbl>
            <c:dLbl>
              <c:idx val="8"/>
              <c:dLblPos val="inBase"/>
              <c:showLegendKey val="0"/>
              <c:showVal val="0"/>
              <c:showCatName val="1"/>
              <c:showSerName val="0"/>
              <c:showPercent val="0"/>
              <c:showBubbleSize val="0"/>
              <c:extLst>
                <c:ext xmlns:c15="http://schemas.microsoft.com/office/drawing/2012/chart" uri="{CE6537A1-D6FC-4f65-9D91-7224C49458BB}">
                  <c15:layout>
                    <c:manualLayout>
                      <c:w val="0.50394707828004404"/>
                      <c:h val="9.514432222831104E-2"/>
                    </c:manualLayout>
                  </c15:layout>
                </c:ext>
                <c:ext xmlns:c16="http://schemas.microsoft.com/office/drawing/2014/chart" uri="{C3380CC4-5D6E-409C-BE32-E72D297353CC}">
                  <c16:uniqueId val="{00000008-CC27-47AB-A401-3109B0CA395B}"/>
                </c:ext>
              </c:extLst>
            </c:dLbl>
            <c:dLbl>
              <c:idx val="9"/>
              <c:dLblPos val="inBase"/>
              <c:showLegendKey val="0"/>
              <c:showVal val="0"/>
              <c:showCatName val="1"/>
              <c:showSerName val="0"/>
              <c:showPercent val="0"/>
              <c:showBubbleSize val="0"/>
              <c:extLst>
                <c:ext xmlns:c15="http://schemas.microsoft.com/office/drawing/2012/chart" uri="{CE6537A1-D6FC-4f65-9D91-7224C49458BB}">
                  <c15:layout>
                    <c:manualLayout>
                      <c:w val="0.43289966923925027"/>
                      <c:h val="6.6075681397195024E-2"/>
                    </c:manualLayout>
                  </c15:layout>
                </c:ext>
                <c:ext xmlns:c16="http://schemas.microsoft.com/office/drawing/2014/chart" uri="{C3380CC4-5D6E-409C-BE32-E72D297353CC}">
                  <c16:uniqueId val="{00000009-CC27-47AB-A401-3109B0CA395B}"/>
                </c:ext>
              </c:extLst>
            </c:dLbl>
            <c:dLbl>
              <c:idx val="10"/>
              <c:dLblPos val="inBase"/>
              <c:showLegendKey val="0"/>
              <c:showVal val="0"/>
              <c:showCatName val="1"/>
              <c:showSerName val="0"/>
              <c:showPercent val="0"/>
              <c:showBubbleSize val="0"/>
              <c:extLst>
                <c:ext xmlns:c15="http://schemas.microsoft.com/office/drawing/2012/chart" uri="{CE6537A1-D6FC-4f65-9D91-7224C49458BB}">
                  <c15:layout>
                    <c:manualLayout>
                      <c:w val="0.46964710171978225"/>
                      <c:h val="6.6075681397195024E-2"/>
                    </c:manualLayout>
                  </c15:layout>
                </c:ext>
                <c:ext xmlns:c16="http://schemas.microsoft.com/office/drawing/2014/chart" uri="{C3380CC4-5D6E-409C-BE32-E72D297353CC}">
                  <c16:uniqueId val="{0000000A-CC27-47AB-A401-3109B0CA395B}"/>
                </c:ext>
              </c:extLst>
            </c:dLbl>
            <c:dLbl>
              <c:idx val="11"/>
              <c:dLblPos val="inBase"/>
              <c:showLegendKey val="0"/>
              <c:showVal val="0"/>
              <c:showCatName val="1"/>
              <c:showSerName val="0"/>
              <c:showPercent val="0"/>
              <c:showBubbleSize val="0"/>
              <c:extLst>
                <c:ext xmlns:c15="http://schemas.microsoft.com/office/drawing/2012/chart" uri="{CE6537A1-D6FC-4f65-9D91-7224C49458BB}">
                  <c15:layout>
                    <c:manualLayout>
                      <c:w val="0.30973530458637544"/>
                      <c:h val="6.6075681397195024E-2"/>
                    </c:manualLayout>
                  </c15:layout>
                </c:ext>
                <c:ext xmlns:c16="http://schemas.microsoft.com/office/drawing/2014/chart" uri="{C3380CC4-5D6E-409C-BE32-E72D297353CC}">
                  <c16:uniqueId val="{0000000B-CC27-47AB-A401-3109B0CA395B}"/>
                </c:ext>
              </c:extLst>
            </c:dLbl>
            <c:dLbl>
              <c:idx val="12"/>
              <c:dLblPos val="inBase"/>
              <c:showLegendKey val="0"/>
              <c:showVal val="0"/>
              <c:showCatName val="1"/>
              <c:showSerName val="0"/>
              <c:showPercent val="0"/>
              <c:showBubbleSize val="0"/>
              <c:extLst>
                <c:ext xmlns:c15="http://schemas.microsoft.com/office/drawing/2012/chart" uri="{CE6537A1-D6FC-4f65-9D91-7224C49458BB}">
                  <c15:layout>
                    <c:manualLayout>
                      <c:w val="0.62582138919514885"/>
                      <c:h val="6.6075681397195024E-2"/>
                    </c:manualLayout>
                  </c15:layout>
                </c:ext>
                <c:ext xmlns:c16="http://schemas.microsoft.com/office/drawing/2014/chart" uri="{C3380CC4-5D6E-409C-BE32-E72D297353CC}">
                  <c16:uniqueId val="{0000000C-CC27-47AB-A401-3109B0CA395B}"/>
                </c:ext>
              </c:extLst>
            </c:dLbl>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'[SoE graphs with totals.xlsx]Q19'!$A$4:$A$16</c:f>
              <c:strCache>
                <c:ptCount val="13"/>
                <c:pt idx="0">
                  <c:v>To reduce waste</c:v>
                </c:pt>
                <c:pt idx="1">
                  <c:v>To consider service expansion</c:v>
                </c:pt>
                <c:pt idx="2">
                  <c:v>To seek funding renewal</c:v>
                </c:pt>
                <c:pt idx="3">
                  <c:v>To identify innovative solutions</c:v>
                </c:pt>
                <c:pt idx="4">
                  <c:v>To assess whether a program is needed</c:v>
                </c:pt>
                <c:pt idx="5">
                  <c:v>To meet legislative requirements</c:v>
                </c:pt>
                <c:pt idx="6">
                  <c:v>To help plan future interventions</c:v>
                </c:pt>
                <c:pt idx="7">
                  <c:v>To give stakeholders a voice</c:v>
                </c:pt>
                <c:pt idx="8">
                  <c:v>To understand the impact of an intervention</c:v>
                </c:pt>
                <c:pt idx="9">
                  <c:v>To build greater knowledge</c:v>
                </c:pt>
                <c:pt idx="10">
                  <c:v>To promote transparency</c:v>
                </c:pt>
                <c:pt idx="11">
                  <c:v>To enhance accountability</c:v>
                </c:pt>
                <c:pt idx="12">
                  <c:v>To improve implementation</c:v>
                </c:pt>
              </c:strCache>
            </c:strRef>
          </c:cat>
          <c:val>
            <c:numRef>
              <c:f>'[SoE graphs with totals.xlsx]Q19'!$B$4:$B$16</c:f>
              <c:numCache>
                <c:formatCode>0%</c:formatCode>
                <c:ptCount val="13"/>
                <c:pt idx="0">
                  <c:v>0.22727272727272727</c:v>
                </c:pt>
                <c:pt idx="1">
                  <c:v>0.30681818181818182</c:v>
                </c:pt>
                <c:pt idx="2">
                  <c:v>0.39772727272727271</c:v>
                </c:pt>
                <c:pt idx="3">
                  <c:v>0.40909090909090912</c:v>
                </c:pt>
                <c:pt idx="4">
                  <c:v>0.43181818181818182</c:v>
                </c:pt>
                <c:pt idx="5">
                  <c:v>0.45454545454545453</c:v>
                </c:pt>
                <c:pt idx="6">
                  <c:v>0.48863636363636365</c:v>
                </c:pt>
                <c:pt idx="7">
                  <c:v>0.51136363636363635</c:v>
                </c:pt>
                <c:pt idx="8">
                  <c:v>0.54545454545454541</c:v>
                </c:pt>
                <c:pt idx="9">
                  <c:v>0.61363636363636365</c:v>
                </c:pt>
                <c:pt idx="10">
                  <c:v>0.625</c:v>
                </c:pt>
                <c:pt idx="11">
                  <c:v>0.67045454545454541</c:v>
                </c:pt>
                <c:pt idx="12">
                  <c:v>0.77272727272727271</c:v>
                </c:pt>
              </c:numCache>
            </c:numRef>
          </c:val>
          <c:extLst>
            <c:ext xmlns:c16="http://schemas.microsoft.com/office/drawing/2014/chart" uri="{C3380CC4-5D6E-409C-BE32-E72D297353CC}">
              <c16:uniqueId val="{0000000D-CC27-47AB-A401-3109B0CA395B}"/>
            </c:ext>
          </c:extLst>
        </c:ser>
        <c:dLbls>
          <c:showLegendKey val="0"/>
          <c:showVal val="0"/>
          <c:showCatName val="0"/>
          <c:showSerName val="0"/>
          <c:showPercent val="0"/>
          <c:showBubbleSize val="0"/>
        </c:dLbls>
        <c:gapWidth val="50"/>
        <c:overlap val="100"/>
        <c:axId val="1385360175"/>
        <c:axId val="1385360655"/>
      </c:barChart>
      <c:catAx>
        <c:axId val="1385360175"/>
        <c:scaling>
          <c:orientation val="minMax"/>
        </c:scaling>
        <c:delete val="1"/>
        <c:axPos val="l"/>
        <c:numFmt formatCode="General" sourceLinked="1"/>
        <c:majorTickMark val="out"/>
        <c:minorTickMark val="none"/>
        <c:tickLblPos val="low"/>
        <c:crossAx val="1385360655"/>
        <c:crosses val="autoZero"/>
        <c:auto val="1"/>
        <c:lblAlgn val="ctr"/>
        <c:lblOffset val="100"/>
        <c:noMultiLvlLbl val="0"/>
      </c:catAx>
      <c:valAx>
        <c:axId val="1385360655"/>
        <c:scaling>
          <c:orientation val="minMax"/>
        </c:scaling>
        <c:delete val="1"/>
        <c:axPos val="b"/>
        <c:numFmt formatCode="0.0" sourceLinked="0"/>
        <c:majorTickMark val="in"/>
        <c:minorTickMark val="none"/>
        <c:tickLblPos val="nextTo"/>
        <c:crossAx val="138536017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clustered"/>
        <c:varyColors val="0"/>
        <c:ser>
          <c:idx val="0"/>
          <c:order val="0"/>
          <c:tx>
            <c:strRef>
              <c:f>'[SoE graphs with totals.xlsx]Q9'!$C$9</c:f>
              <c:strCache>
                <c:ptCount val="1"/>
                <c:pt idx="0">
                  <c:v>Total</c:v>
                </c:pt>
              </c:strCache>
            </c:strRef>
          </c:tx>
          <c:spPr>
            <a:solidFill>
              <a:srgbClr val="213657"/>
            </a:solidFill>
            <a:ln>
              <a:noFill/>
            </a:ln>
            <a:effectLst/>
          </c:spPr>
          <c:invertIfNegative val="0"/>
          <c:dLbls>
            <c:dLbl>
              <c:idx val="0"/>
              <c:tx>
                <c:rich>
                  <a:bodyPr/>
                  <a:lstStyle/>
                  <a:p>
                    <a:fld id="{B89EDD9D-E755-4926-898E-49994F1962F5}"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9AD-4B87-AEF0-39B33F3A38D6}"/>
                </c:ext>
              </c:extLst>
            </c:dLbl>
            <c:dLbl>
              <c:idx val="1"/>
              <c:tx>
                <c:rich>
                  <a:bodyPr/>
                  <a:lstStyle/>
                  <a:p>
                    <a:fld id="{E3F73AD5-6503-43A6-BEEC-E4D11450FC16}"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9AD-4B87-AEF0-39B33F3A38D6}"/>
                </c:ext>
              </c:extLst>
            </c:dLbl>
            <c:dLbl>
              <c:idx val="2"/>
              <c:tx>
                <c:rich>
                  <a:bodyPr/>
                  <a:lstStyle/>
                  <a:p>
                    <a:fld id="{EBFE4FFF-BC64-445B-9C45-0F0E43412353}"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9AD-4B87-AEF0-39B33F3A38D6}"/>
                </c:ext>
              </c:extLst>
            </c:dLbl>
            <c:dLbl>
              <c:idx val="3"/>
              <c:tx>
                <c:rich>
                  <a:bodyPr/>
                  <a:lstStyle/>
                  <a:p>
                    <a:fld id="{EA3569EB-6CC0-4975-B637-D2E83AA12DE8}"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9AD-4B87-AEF0-39B33F3A38D6}"/>
                </c:ext>
              </c:extLst>
            </c:dLbl>
            <c:dLbl>
              <c:idx val="4"/>
              <c:tx>
                <c:rich>
                  <a:bodyPr/>
                  <a:lstStyle/>
                  <a:p>
                    <a:fld id="{352F8FB5-B21C-4A37-85A0-BD0AC56C3486}"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9AD-4B87-AEF0-39B33F3A38D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'[SoE graphs with totals.xlsx]Q9'!$B$11:$B$15</c:f>
              <c:strCache>
                <c:ptCount val="5"/>
                <c:pt idx="0">
                  <c:v>Internal audit</c:v>
                </c:pt>
                <c:pt idx="1">
                  <c:v>Budget prioritisation processes</c:v>
                </c:pt>
                <c:pt idx="2">
                  <c:v>Enterprise-level risk management</c:v>
                </c:pt>
                <c:pt idx="3">
                  <c:v>Program management</c:v>
                </c:pt>
                <c:pt idx="4">
                  <c:v>Corporate performance reporting</c:v>
                </c:pt>
              </c:strCache>
            </c:strRef>
          </c:cat>
          <c:val>
            <c:numRef>
              <c:f>'[SoE graphs with totals.xlsx]Q9'!$C$11:$C$15</c:f>
              <c:numCache>
                <c:formatCode>General</c:formatCode>
                <c:ptCount val="5"/>
                <c:pt idx="0">
                  <c:v>44.578313253012048</c:v>
                </c:pt>
                <c:pt idx="1">
                  <c:v>46.987951807228917</c:v>
                </c:pt>
                <c:pt idx="2">
                  <c:v>48.192771084337352</c:v>
                </c:pt>
                <c:pt idx="3">
                  <c:v>63.855421686746979</c:v>
                </c:pt>
                <c:pt idx="4">
                  <c:v>75.903614457831324</c:v>
                </c:pt>
              </c:numCache>
            </c:numRef>
          </c:val>
          <c:extLst>
            <c:ext xmlns:c16="http://schemas.microsoft.com/office/drawing/2014/chart" uri="{C3380CC4-5D6E-409C-BE32-E72D297353CC}">
              <c16:uniqueId val="{00000005-89AD-4B87-AEF0-39B33F3A38D6}"/>
            </c:ext>
          </c:extLst>
        </c:ser>
        <c:ser>
          <c:idx val="1"/>
          <c:order val="1"/>
          <c:tx>
            <c:strRef>
              <c:f>'[SoE graphs with totals.xlsx]Q9'!$D$9</c:f>
              <c:strCache>
                <c:ptCount val="1"/>
                <c:pt idx="0">
                  <c:v>Large (&gt; 1001 employees)</c:v>
                </c:pt>
              </c:strCache>
            </c:strRef>
          </c:tx>
          <c:spPr>
            <a:solidFill>
              <a:srgbClr val="02843D"/>
            </a:solidFill>
            <a:ln>
              <a:noFill/>
            </a:ln>
            <a:effectLst/>
          </c:spPr>
          <c:invertIfNegative val="0"/>
          <c:dLbls>
            <c:dLbl>
              <c:idx val="0"/>
              <c:tx>
                <c:rich>
                  <a:bodyPr/>
                  <a:lstStyle/>
                  <a:p>
                    <a:fld id="{D056022D-D1CB-4093-992D-B3CE4EFBC830}"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9AD-4B87-AEF0-39B33F3A38D6}"/>
                </c:ext>
              </c:extLst>
            </c:dLbl>
            <c:dLbl>
              <c:idx val="1"/>
              <c:tx>
                <c:rich>
                  <a:bodyPr/>
                  <a:lstStyle/>
                  <a:p>
                    <a:fld id="{D98B89BF-E028-4BDC-9CE1-E1BCB765D52D}"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9AD-4B87-AEF0-39B33F3A38D6}"/>
                </c:ext>
              </c:extLst>
            </c:dLbl>
            <c:dLbl>
              <c:idx val="2"/>
              <c:tx>
                <c:rich>
                  <a:bodyPr/>
                  <a:lstStyle/>
                  <a:p>
                    <a:fld id="{F5AB7169-5E49-49E3-B3AF-C36FB95C40FD}"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9AD-4B87-AEF0-39B33F3A38D6}"/>
                </c:ext>
              </c:extLst>
            </c:dLbl>
            <c:dLbl>
              <c:idx val="3"/>
              <c:tx>
                <c:rich>
                  <a:bodyPr/>
                  <a:lstStyle/>
                  <a:p>
                    <a:fld id="{28D46B5A-8FC8-4C14-B403-003C5EB76B52}"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9AD-4B87-AEF0-39B33F3A38D6}"/>
                </c:ext>
              </c:extLst>
            </c:dLbl>
            <c:dLbl>
              <c:idx val="4"/>
              <c:tx>
                <c:rich>
                  <a:bodyPr/>
                  <a:lstStyle/>
                  <a:p>
                    <a:fld id="{9EC87C59-B25C-4504-A9B6-144EA12BEE76}"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9AD-4B87-AEF0-39B33F3A38D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'[SoE graphs with totals.xlsx]Q9'!$B$11:$B$15</c:f>
              <c:strCache>
                <c:ptCount val="5"/>
                <c:pt idx="0">
                  <c:v>Internal audit</c:v>
                </c:pt>
                <c:pt idx="1">
                  <c:v>Budget prioritisation processes</c:v>
                </c:pt>
                <c:pt idx="2">
                  <c:v>Enterprise-level risk management</c:v>
                </c:pt>
                <c:pt idx="3">
                  <c:v>Program management</c:v>
                </c:pt>
                <c:pt idx="4">
                  <c:v>Corporate performance reporting</c:v>
                </c:pt>
              </c:strCache>
            </c:strRef>
          </c:cat>
          <c:val>
            <c:numRef>
              <c:f>'[SoE graphs with totals.xlsx]Q9'!$D$11:$D$15</c:f>
              <c:numCache>
                <c:formatCode>General</c:formatCode>
                <c:ptCount val="5"/>
                <c:pt idx="0">
                  <c:v>62.5</c:v>
                </c:pt>
                <c:pt idx="1">
                  <c:v>71.875</c:v>
                </c:pt>
                <c:pt idx="2">
                  <c:v>62.5</c:v>
                </c:pt>
                <c:pt idx="3">
                  <c:v>78.125</c:v>
                </c:pt>
                <c:pt idx="4">
                  <c:v>87.5</c:v>
                </c:pt>
              </c:numCache>
            </c:numRef>
          </c:val>
          <c:extLst>
            <c:ext xmlns:c16="http://schemas.microsoft.com/office/drawing/2014/chart" uri="{C3380CC4-5D6E-409C-BE32-E72D297353CC}">
              <c16:uniqueId val="{0000000B-89AD-4B87-AEF0-39B33F3A38D6}"/>
            </c:ext>
          </c:extLst>
        </c:ser>
        <c:dLbls>
          <c:dLblPos val="inEnd"/>
          <c:showLegendKey val="0"/>
          <c:showVal val="1"/>
          <c:showCatName val="0"/>
          <c:showSerName val="0"/>
          <c:showPercent val="0"/>
          <c:showBubbleSize val="0"/>
        </c:dLbls>
        <c:gapWidth val="50"/>
        <c:axId val="1318712768"/>
        <c:axId val="1319494352"/>
      </c:barChart>
      <c:catAx>
        <c:axId val="1318712768"/>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Arial"/>
                <a:cs typeface="Arial"/>
              </a:defRPr>
            </a:pPr>
            <a:endParaRPr lang="en-US"/>
          </a:p>
        </c:txPr>
        <c:crossAx val="1319494352"/>
        <c:crosses val="autoZero"/>
        <c:auto val="1"/>
        <c:lblAlgn val="ctr"/>
        <c:lblOffset val="100"/>
        <c:tickMarkSkip val="1"/>
        <c:noMultiLvlLbl val="0"/>
      </c:catAx>
      <c:valAx>
        <c:axId val="1319494352"/>
        <c:scaling>
          <c:orientation val="minMax"/>
          <c:max val="95"/>
          <c:min val="0"/>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vert="horz" wrap="square" anchor="ctr" anchorCtr="1"/>
              <a:lstStyle/>
              <a:p>
                <a:pPr>
                  <a:defRPr sz="800" b="1" i="0" u="none" strike="noStrike" kern="1200" baseline="0">
                    <a:solidFill>
                      <a:srgbClr val="000000"/>
                    </a:solidFill>
                    <a:latin typeface="Arial"/>
                    <a:ea typeface="Arial"/>
                    <a:cs typeface="Arial"/>
                  </a:defRPr>
                </a:pPr>
                <a:r>
                  <a:rPr lang="en-AU"/>
                  <a:t>%</a:t>
                </a:r>
              </a:p>
            </c:rich>
          </c:tx>
          <c:layout>
            <c:manualLayout>
              <c:xMode val="edge"/>
              <c:yMode val="edge"/>
              <c:x val="0.96441025641025646"/>
              <c:y val="0.86506249999999996"/>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18712768"/>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layout>
        <c:manualLayout>
          <c:xMode val="edge"/>
          <c:yMode val="edge"/>
          <c:x val="0.4115344017094017"/>
          <c:y val="0.92792048611111111"/>
          <c:w val="0.41518717948717943"/>
          <c:h val="6.5464930555555551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900" b="0" i="0" u="none" strike="noStrike" kern="1200" baseline="0">
              <a:solidFill>
                <a:srgbClr val="000000"/>
              </a:solidFill>
              <a:latin typeface="+mn-lt"/>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'[SoE graphs with totals.xlsx]Q30'!$F$15</c:f>
              <c:strCache>
                <c:ptCount val="1"/>
                <c:pt idx="0">
                  <c:v>Total</c:v>
                </c:pt>
              </c:strCache>
            </c:strRef>
          </c:tx>
          <c:dPt>
            <c:idx val="0"/>
            <c:bubble3D val="0"/>
            <c:spPr>
              <a:solidFill>
                <a:srgbClr val="213657"/>
              </a:solidFill>
              <a:ln w="19050">
                <a:solidFill>
                  <a:schemeClr val="lt1"/>
                </a:solidFill>
              </a:ln>
              <a:effectLst/>
            </c:spPr>
            <c:extLst>
              <c:ext xmlns:c16="http://schemas.microsoft.com/office/drawing/2014/chart" uri="{C3380CC4-5D6E-409C-BE32-E72D297353CC}">
                <c16:uniqueId val="{00000001-E52C-4F97-A298-70311F0AD239}"/>
              </c:ext>
            </c:extLst>
          </c:dPt>
          <c:dPt>
            <c:idx val="1"/>
            <c:bubble3D val="0"/>
            <c:spPr>
              <a:solidFill>
                <a:srgbClr val="02843D"/>
              </a:solidFill>
              <a:ln w="19050">
                <a:solidFill>
                  <a:schemeClr val="lt1"/>
                </a:solidFill>
              </a:ln>
              <a:effectLst/>
            </c:spPr>
            <c:extLst>
              <c:ext xmlns:c16="http://schemas.microsoft.com/office/drawing/2014/chart" uri="{C3380CC4-5D6E-409C-BE32-E72D297353CC}">
                <c16:uniqueId val="{00000003-E52C-4F97-A298-70311F0AD239}"/>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2C-4F97-A298-70311F0AD239}"/>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2C-4F97-A298-70311F0AD23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'[SoE graphs with totals.xlsx]Q30'!$A$16:$A$17</c:f>
              <c:strCache>
                <c:ptCount val="2"/>
                <c:pt idx="0">
                  <c:v>No</c:v>
                </c:pt>
                <c:pt idx="1">
                  <c:v>Yes</c:v>
                </c:pt>
              </c:strCache>
            </c:strRef>
          </c:cat>
          <c:val>
            <c:numRef>
              <c:f>'[SoE graphs with totals.xlsx]Q30'!$F$16:$F$17</c:f>
              <c:numCache>
                <c:formatCode>0.00%</c:formatCode>
                <c:ptCount val="2"/>
                <c:pt idx="0">
                  <c:v>0.68965517241379304</c:v>
                </c:pt>
                <c:pt idx="1">
                  <c:v>0.31034482758620702</c:v>
                </c:pt>
              </c:numCache>
            </c:numRef>
          </c:val>
          <c:extLst>
            <c:ext xmlns:c16="http://schemas.microsoft.com/office/drawing/2014/chart" uri="{C3380CC4-5D6E-409C-BE32-E72D297353CC}">
              <c16:uniqueId val="{00000004-E52C-4F97-A298-70311F0AD23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421773667180485E-2"/>
          <c:y val="2.5374106691094522E-2"/>
          <c:w val="0.94369731561332615"/>
          <c:h val="0.95566564259265996"/>
        </c:manualLayout>
      </c:layout>
      <c:barChart>
        <c:barDir val="bar"/>
        <c:grouping val="clustered"/>
        <c:varyColors val="0"/>
        <c:ser>
          <c:idx val="1"/>
          <c:order val="0"/>
          <c:tx>
            <c:strRef>
              <c:f>'[SoE graphs with totals.xlsx]Q32'!$E$17</c:f>
              <c:strCache>
                <c:ptCount val="1"/>
                <c:pt idx="0">
                  <c:v>Total</c:v>
                </c:pt>
              </c:strCache>
            </c:strRef>
          </c:tx>
          <c:spPr>
            <a:solidFill>
              <a:srgbClr val="213657"/>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'[SoE graphs with totals.xlsx]Q32'!$F$2:$F$10</c:f>
              <c:strCache>
                <c:ptCount val="9"/>
                <c:pt idx="0">
                  <c:v>Internal CoP events</c:v>
                </c:pt>
                <c:pt idx="1">
                  <c:v>Evaluation coaching/mentoring</c:v>
                </c:pt>
                <c:pt idx="2">
                  <c:v>Capability through formal external partnerships</c:v>
                </c:pt>
                <c:pt idx="3">
                  <c:v>Internal training</c:v>
                </c:pt>
                <c:pt idx="4">
                  <c:v>External training</c:v>
                </c:pt>
                <c:pt idx="5">
                  <c:v>Commonwealth Evaluation CoP events</c:v>
                </c:pt>
                <c:pt idx="6">
                  <c:v>Practical learning</c:v>
                </c:pt>
                <c:pt idx="7">
                  <c:v>Written materials (e.g. guidance)</c:v>
                </c:pt>
                <c:pt idx="8">
                  <c:v>Inter-agency knowledge exchange</c:v>
                </c:pt>
              </c:strCache>
            </c:strRef>
          </c:cat>
          <c:val>
            <c:numRef>
              <c:f>'[SoE graphs with totals.xlsx]Q32'!$H$2:$H$10</c:f>
              <c:numCache>
                <c:formatCode>0.00%</c:formatCode>
                <c:ptCount val="9"/>
                <c:pt idx="0">
                  <c:v>0.14606741573033699</c:v>
                </c:pt>
                <c:pt idx="1">
                  <c:v>0.19101123595505601</c:v>
                </c:pt>
                <c:pt idx="2">
                  <c:v>0.224719101123595</c:v>
                </c:pt>
                <c:pt idx="3">
                  <c:v>0.28089887640449401</c:v>
                </c:pt>
                <c:pt idx="4">
                  <c:v>0.29213483146067398</c:v>
                </c:pt>
                <c:pt idx="5">
                  <c:v>0.30337078651685401</c:v>
                </c:pt>
                <c:pt idx="6">
                  <c:v>0.348314606741573</c:v>
                </c:pt>
                <c:pt idx="7">
                  <c:v>0.35955056179775302</c:v>
                </c:pt>
                <c:pt idx="8">
                  <c:v>0.47191011235955099</c:v>
                </c:pt>
              </c:numCache>
            </c:numRef>
          </c:val>
          <c:extLst>
            <c:ext xmlns:c16="http://schemas.microsoft.com/office/drawing/2014/chart" uri="{C3380CC4-5D6E-409C-BE32-E72D297353CC}">
              <c16:uniqueId val="{00000000-6A58-4C1D-AB4B-43CC4C3A323D}"/>
            </c:ext>
          </c:extLst>
        </c:ser>
        <c:dLbls>
          <c:showLegendKey val="0"/>
          <c:showVal val="0"/>
          <c:showCatName val="0"/>
          <c:showSerName val="0"/>
          <c:showPercent val="0"/>
          <c:showBubbleSize val="0"/>
        </c:dLbls>
        <c:gapWidth val="36"/>
        <c:axId val="1323261263"/>
        <c:axId val="1323234863"/>
      </c:barChart>
      <c:barChart>
        <c:barDir val="bar"/>
        <c:grouping val="clustered"/>
        <c:varyColors val="0"/>
        <c:ser>
          <c:idx val="0"/>
          <c:order val="1"/>
          <c:tx>
            <c:v>DUMMY</c:v>
          </c:tx>
          <c:spPr>
            <a:noFill/>
            <a:ln w="25400">
              <a:noFill/>
            </a:ln>
            <a:effectLst/>
          </c:spPr>
          <c:invertIfNegative val="0"/>
          <c:cat>
            <c:strRef>
              <c:f>'[SoE graphs with totals.xlsx]Q32'!$F$2:$F$10</c:f>
              <c:strCache>
                <c:ptCount val="9"/>
                <c:pt idx="0">
                  <c:v>Internal CoP events</c:v>
                </c:pt>
                <c:pt idx="1">
                  <c:v>Evaluation coaching/mentoring</c:v>
                </c:pt>
                <c:pt idx="2">
                  <c:v>Capability through formal external partnerships</c:v>
                </c:pt>
                <c:pt idx="3">
                  <c:v>Internal training</c:v>
                </c:pt>
                <c:pt idx="4">
                  <c:v>External training</c:v>
                </c:pt>
                <c:pt idx="5">
                  <c:v>Commonwealth Evaluation CoP events</c:v>
                </c:pt>
                <c:pt idx="6">
                  <c:v>Practical learning</c:v>
                </c:pt>
                <c:pt idx="7">
                  <c:v>Written materials (e.g. guidance)</c:v>
                </c:pt>
                <c:pt idx="8">
                  <c:v>Inter-agency knowledge exchange</c:v>
                </c:pt>
              </c:strCache>
            </c:strRef>
          </c:cat>
          <c:extLst>
            <c:ext xmlns:c16="http://schemas.microsoft.com/office/drawing/2014/chart" uri="{C3380CC4-5D6E-409C-BE32-E72D297353CC}">
              <c16:uniqueId val="{00000001-6A58-4C1D-AB4B-43CC4C3A323D}"/>
            </c:ext>
          </c:extLst>
        </c:ser>
        <c:ser>
          <c:idx val="2"/>
          <c:order val="2"/>
          <c:spPr>
            <a:noFill/>
            <a:ln>
              <a:noFill/>
            </a:ln>
            <a:effectLst/>
          </c:spPr>
          <c:invertIfNegative val="0"/>
          <c:dLbls>
            <c:dLbl>
              <c:idx val="0"/>
              <c:spPr>
                <a:noFill/>
                <a:ln>
                  <a:noFill/>
                </a:ln>
                <a:effectLst/>
              </c:spPr>
              <c:txPr>
                <a:bodyPr rot="0" spcFirstLastPara="1" vertOverflow="ellipsis" vert="horz" wrap="square" lIns="38100" tIns="19050" rIns="38100" bIns="19050" anchor="ctr" anchorCtr="0">
                  <a:no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extLst>
                <c:ext xmlns:c15="http://schemas.microsoft.com/office/drawing/2012/chart" uri="{CE6537A1-D6FC-4f65-9D91-7224C49458BB}">
                  <c15:layout>
                    <c:manualLayout>
                      <c:w val="0.25417777638906247"/>
                      <c:h val="5.5956991096398546E-2"/>
                    </c:manualLayout>
                  </c15:layout>
                </c:ext>
                <c:ext xmlns:c16="http://schemas.microsoft.com/office/drawing/2014/chart" uri="{C3380CC4-5D6E-409C-BE32-E72D297353CC}">
                  <c16:uniqueId val="{00000002-6A58-4C1D-AB4B-43CC4C3A323D}"/>
                </c:ext>
              </c:extLst>
            </c:dLbl>
            <c:dLbl>
              <c:idx val="1"/>
              <c:dLblPos val="inBase"/>
              <c:showLegendKey val="0"/>
              <c:showVal val="0"/>
              <c:showCatName val="1"/>
              <c:showSerName val="0"/>
              <c:showPercent val="0"/>
              <c:showBubbleSize val="0"/>
              <c:extLst>
                <c:ext xmlns:c15="http://schemas.microsoft.com/office/drawing/2012/chart" uri="{CE6537A1-D6FC-4f65-9D91-7224C49458BB}">
                  <c15:layout>
                    <c:manualLayout>
                      <c:w val="0.35985449735449737"/>
                      <c:h val="6.9914601707965846E-2"/>
                    </c:manualLayout>
                  </c15:layout>
                </c:ext>
                <c:ext xmlns:c16="http://schemas.microsoft.com/office/drawing/2014/chart" uri="{C3380CC4-5D6E-409C-BE32-E72D297353CC}">
                  <c16:uniqueId val="{00000003-6A58-4C1D-AB4B-43CC4C3A323D}"/>
                </c:ext>
              </c:extLst>
            </c:dLbl>
            <c:dLbl>
              <c:idx val="2"/>
              <c:layout>
                <c:manualLayout>
                  <c:x val="-0.42413361524253912"/>
                  <c:y val="5.0930465242645879E-3"/>
                </c:manualLayout>
              </c:layout>
              <c:spPr>
                <a:noFill/>
                <a:ln>
                  <a:noFill/>
                </a:ln>
                <a:effectLst/>
              </c:spPr>
              <c:txPr>
                <a:bodyPr rot="0" spcFirstLastPara="1" vertOverflow="ellipsis" vert="horz" wrap="square" lIns="38100" tIns="19050" rIns="38100" bIns="19050" anchor="ctr" anchorCtr="0">
                  <a:noAutofit/>
                </a:bodyPr>
                <a:lstStyle/>
                <a:p>
                  <a:pPr algn="l">
                    <a:defRPr sz="1200" b="0" i="0" u="none" strike="noStrike" kern="1200" baseline="0">
                      <a:solidFill>
                        <a:schemeClr val="bg1"/>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layout>
                    <c:manualLayout>
                      <c:w val="0.41121023066561124"/>
                      <c:h val="0.10500472200333245"/>
                    </c:manualLayout>
                  </c15:layout>
                </c:ext>
                <c:ext xmlns:c16="http://schemas.microsoft.com/office/drawing/2014/chart" uri="{C3380CC4-5D6E-409C-BE32-E72D297353CC}">
                  <c16:uniqueId val="{00000004-6A58-4C1D-AB4B-43CC4C3A323D}"/>
                </c:ext>
              </c:extLst>
            </c:dLbl>
            <c:dLbl>
              <c:idx val="3"/>
              <c:spPr>
                <a:noFill/>
                <a:ln>
                  <a:noFill/>
                </a:ln>
                <a:effectLst/>
              </c:spPr>
              <c:txPr>
                <a:bodyPr rot="0" spcFirstLastPara="1" vertOverflow="ellipsis" vert="horz" wrap="square" lIns="38100" tIns="19050" rIns="38100" bIns="19050" anchor="ctr" anchorCtr="0">
                  <a:no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extLst>
                <c:ext xmlns:c15="http://schemas.microsoft.com/office/drawing/2012/chart" uri="{CE6537A1-D6FC-4f65-9D91-7224C49458BB}">
                  <c15:layout>
                    <c:manualLayout>
                      <c:w val="0.31980811426349481"/>
                      <c:h val="4.7557159093038606E-2"/>
                    </c:manualLayout>
                  </c15:layout>
                </c:ext>
                <c:ext xmlns:c16="http://schemas.microsoft.com/office/drawing/2014/chart" uri="{C3380CC4-5D6E-409C-BE32-E72D297353CC}">
                  <c16:uniqueId val="{00000005-6A58-4C1D-AB4B-43CC4C3A323D}"/>
                </c:ext>
              </c:extLst>
            </c:dLbl>
            <c:dLbl>
              <c:idx val="4"/>
              <c:spPr>
                <a:noFill/>
                <a:ln>
                  <a:noFill/>
                </a:ln>
                <a:effectLst/>
              </c:spPr>
              <c:txPr>
                <a:bodyPr rot="0" spcFirstLastPara="1" vertOverflow="ellipsis" vert="horz" wrap="square" lIns="38100" tIns="19050" rIns="38100" bIns="19050" anchor="ctr" anchorCtr="0">
                  <a:no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extLst>
                <c:ext xmlns:c15="http://schemas.microsoft.com/office/drawing/2012/chart" uri="{CE6537A1-D6FC-4f65-9D91-7224C49458BB}">
                  <c15:layout>
                    <c:manualLayout>
                      <c:w val="0.36455026455026457"/>
                      <c:h val="6.4356823099758459E-2"/>
                    </c:manualLayout>
                  </c15:layout>
                </c:ext>
                <c:ext xmlns:c16="http://schemas.microsoft.com/office/drawing/2014/chart" uri="{C3380CC4-5D6E-409C-BE32-E72D297353CC}">
                  <c16:uniqueId val="{00000006-6A58-4C1D-AB4B-43CC4C3A323D}"/>
                </c:ext>
              </c:extLst>
            </c:dLbl>
            <c:dLbl>
              <c:idx val="5"/>
              <c:dLblPos val="inBase"/>
              <c:showLegendKey val="0"/>
              <c:showVal val="0"/>
              <c:showCatName val="1"/>
              <c:showSerName val="0"/>
              <c:showPercent val="0"/>
              <c:showBubbleSize val="0"/>
              <c:extLst>
                <c:ext xmlns:c15="http://schemas.microsoft.com/office/drawing/2012/chart" uri="{CE6537A1-D6FC-4f65-9D91-7224C49458BB}">
                  <c15:layout>
                    <c:manualLayout>
                      <c:w val="0.67236543348748068"/>
                      <c:h val="6.9914522716745961E-2"/>
                    </c:manualLayout>
                  </c15:layout>
                </c:ext>
                <c:ext xmlns:c16="http://schemas.microsoft.com/office/drawing/2014/chart" uri="{C3380CC4-5D6E-409C-BE32-E72D297353CC}">
                  <c16:uniqueId val="{00000007-6A58-4C1D-AB4B-43CC4C3A323D}"/>
                </c:ext>
              </c:extLst>
            </c:dLbl>
            <c:dLbl>
              <c:idx val="6"/>
              <c:spPr>
                <a:noFill/>
                <a:ln>
                  <a:noFill/>
                </a:ln>
                <a:effectLst/>
              </c:spPr>
              <c:txPr>
                <a:bodyPr rot="0" spcFirstLastPara="1" vertOverflow="ellipsis" vert="horz" wrap="square" lIns="38100" tIns="19050" rIns="38100" bIns="19050" anchor="ctr" anchorCtr="0">
                  <a:no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extLst>
                <c:ext xmlns:c15="http://schemas.microsoft.com/office/drawing/2012/chart" uri="{CE6537A1-D6FC-4f65-9D91-7224C49458BB}">
                  <c15:layout>
                    <c:manualLayout>
                      <c:w val="0.39893086280881557"/>
                      <c:h val="4.7557159093038606E-2"/>
                    </c:manualLayout>
                  </c15:layout>
                </c:ext>
                <c:ext xmlns:c16="http://schemas.microsoft.com/office/drawing/2014/chart" uri="{C3380CC4-5D6E-409C-BE32-E72D297353CC}">
                  <c16:uniqueId val="{00000008-6A58-4C1D-AB4B-43CC4C3A323D}"/>
                </c:ext>
              </c:extLst>
            </c:dLbl>
            <c:dLbl>
              <c:idx val="7"/>
              <c:dLblPos val="inBase"/>
              <c:showLegendKey val="0"/>
              <c:showVal val="0"/>
              <c:showCatName val="1"/>
              <c:showSerName val="0"/>
              <c:showPercent val="0"/>
              <c:showBubbleSize val="0"/>
              <c:extLst>
                <c:ext xmlns:c15="http://schemas.microsoft.com/office/drawing/2012/chart" uri="{CE6537A1-D6FC-4f65-9D91-7224C49458BB}">
                  <c15:layout>
                    <c:manualLayout>
                      <c:w val="0.42019400352733688"/>
                      <c:h val="6.9914601707965846E-2"/>
                    </c:manualLayout>
                  </c15:layout>
                </c:ext>
                <c:ext xmlns:c16="http://schemas.microsoft.com/office/drawing/2014/chart" uri="{C3380CC4-5D6E-409C-BE32-E72D297353CC}">
                  <c16:uniqueId val="{00000009-6A58-4C1D-AB4B-43CC4C3A323D}"/>
                </c:ext>
              </c:extLst>
            </c:dLbl>
            <c:dLbl>
              <c:idx val="8"/>
              <c:dLblPos val="inBase"/>
              <c:showLegendKey val="0"/>
              <c:showVal val="0"/>
              <c:showCatName val="1"/>
              <c:showSerName val="0"/>
              <c:showPercent val="0"/>
              <c:showBubbleSize val="0"/>
              <c:extLst>
                <c:ext xmlns:c15="http://schemas.microsoft.com/office/drawing/2012/chart" uri="{CE6537A1-D6FC-4f65-9D91-7224C49458BB}">
                  <c15:layout>
                    <c:manualLayout>
                      <c:w val="0.40938059825855111"/>
                      <c:h val="6.9914601707965846E-2"/>
                    </c:manualLayout>
                  </c15:layout>
                </c:ext>
                <c:ext xmlns:c16="http://schemas.microsoft.com/office/drawing/2014/chart" uri="{C3380CC4-5D6E-409C-BE32-E72D297353CC}">
                  <c16:uniqueId val="{0000000A-6A58-4C1D-AB4B-43CC4C3A323D}"/>
                </c:ext>
              </c:extLst>
            </c:dLbl>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'[SoE graphs with totals.xlsx]Q32'!$F$2:$F$10</c:f>
              <c:strCache>
                <c:ptCount val="9"/>
                <c:pt idx="0">
                  <c:v>Internal CoP events</c:v>
                </c:pt>
                <c:pt idx="1">
                  <c:v>Evaluation coaching/mentoring</c:v>
                </c:pt>
                <c:pt idx="2">
                  <c:v>Capability through formal external partnerships</c:v>
                </c:pt>
                <c:pt idx="3">
                  <c:v>Internal training</c:v>
                </c:pt>
                <c:pt idx="4">
                  <c:v>External training</c:v>
                </c:pt>
                <c:pt idx="5">
                  <c:v>Commonwealth Evaluation CoP events</c:v>
                </c:pt>
                <c:pt idx="6">
                  <c:v>Practical learning</c:v>
                </c:pt>
                <c:pt idx="7">
                  <c:v>Written materials (e.g. guidance)</c:v>
                </c:pt>
                <c:pt idx="8">
                  <c:v>Inter-agency knowledge exchange</c:v>
                </c:pt>
              </c:strCache>
            </c:strRef>
          </c:cat>
          <c:val>
            <c:numRef>
              <c:f>'[SoE graphs with totals.xlsx]Q32'!$H$2:$H$10</c:f>
              <c:numCache>
                <c:formatCode>0.00%</c:formatCode>
                <c:ptCount val="9"/>
                <c:pt idx="0">
                  <c:v>0.14606741573033699</c:v>
                </c:pt>
                <c:pt idx="1">
                  <c:v>0.19101123595505601</c:v>
                </c:pt>
                <c:pt idx="2">
                  <c:v>0.224719101123595</c:v>
                </c:pt>
                <c:pt idx="3">
                  <c:v>0.28089887640449401</c:v>
                </c:pt>
                <c:pt idx="4">
                  <c:v>0.29213483146067398</c:v>
                </c:pt>
                <c:pt idx="5">
                  <c:v>0.30337078651685401</c:v>
                </c:pt>
                <c:pt idx="6">
                  <c:v>0.348314606741573</c:v>
                </c:pt>
                <c:pt idx="7">
                  <c:v>0.35955056179775302</c:v>
                </c:pt>
                <c:pt idx="8">
                  <c:v>0.47191011235955099</c:v>
                </c:pt>
              </c:numCache>
            </c:numRef>
          </c:val>
          <c:extLst>
            <c:ext xmlns:c16="http://schemas.microsoft.com/office/drawing/2014/chart" uri="{C3380CC4-5D6E-409C-BE32-E72D297353CC}">
              <c16:uniqueId val="{0000000B-6A58-4C1D-AB4B-43CC4C3A323D}"/>
            </c:ext>
          </c:extLst>
        </c:ser>
        <c:dLbls>
          <c:showLegendKey val="0"/>
          <c:showVal val="0"/>
          <c:showCatName val="0"/>
          <c:showSerName val="0"/>
          <c:showPercent val="0"/>
          <c:showBubbleSize val="0"/>
        </c:dLbls>
        <c:gapWidth val="403"/>
        <c:axId val="1665759119"/>
        <c:axId val="1665768719"/>
      </c:barChart>
      <c:catAx>
        <c:axId val="1323261263"/>
        <c:scaling>
          <c:orientation val="minMax"/>
        </c:scaling>
        <c:delete val="1"/>
        <c:axPos val="l"/>
        <c:numFmt formatCode="General" sourceLinked="1"/>
        <c:majorTickMark val="in"/>
        <c:minorTickMark val="none"/>
        <c:tickLblPos val="low"/>
        <c:crossAx val="1323234863"/>
        <c:crosses val="autoZero"/>
        <c:auto val="1"/>
        <c:lblAlgn val="ctr"/>
        <c:lblOffset val="100"/>
        <c:noMultiLvlLbl val="0"/>
      </c:catAx>
      <c:valAx>
        <c:axId val="1323234863"/>
        <c:scaling>
          <c:orientation val="minMax"/>
        </c:scaling>
        <c:delete val="1"/>
        <c:axPos val="b"/>
        <c:numFmt formatCode="0%" sourceLinked="0"/>
        <c:majorTickMark val="in"/>
        <c:minorTickMark val="none"/>
        <c:tickLblPos val="nextTo"/>
        <c:crossAx val="1323261263"/>
        <c:crosses val="autoZero"/>
        <c:crossBetween val="between"/>
      </c:valAx>
      <c:valAx>
        <c:axId val="1665768719"/>
        <c:scaling>
          <c:orientation val="minMax"/>
          <c:max val="0.5"/>
          <c:min val="0"/>
        </c:scaling>
        <c:delete val="1"/>
        <c:axPos val="t"/>
        <c:numFmt formatCode="0%" sourceLinked="0"/>
        <c:majorTickMark val="in"/>
        <c:minorTickMark val="none"/>
        <c:tickLblPos val="nextTo"/>
        <c:crossAx val="1665759119"/>
        <c:crosses val="max"/>
        <c:crossBetween val="between"/>
        <c:majorUnit val="0.05"/>
        <c:minorUnit val="0.01"/>
      </c:valAx>
      <c:catAx>
        <c:axId val="1665759119"/>
        <c:scaling>
          <c:orientation val="minMax"/>
        </c:scaling>
        <c:delete val="1"/>
        <c:axPos val="l"/>
        <c:numFmt formatCode="General" sourceLinked="1"/>
        <c:majorTickMark val="out"/>
        <c:minorTickMark val="none"/>
        <c:tickLblPos val="nextTo"/>
        <c:crossAx val="1665768719"/>
        <c:crosses val="autoZero"/>
        <c:auto val="1"/>
        <c:lblAlgn val="ctr"/>
        <c:lblOffset val="100"/>
        <c:noMultiLvlLbl val="0"/>
      </c:catAx>
      <c:spPr>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328741888794244E-2"/>
          <c:y val="6.7910614487029443E-4"/>
          <c:w val="0.98967125811120571"/>
          <c:h val="0.99926597869223477"/>
        </c:manualLayout>
      </c:layout>
      <c:barChart>
        <c:barDir val="bar"/>
        <c:grouping val="clustered"/>
        <c:varyColors val="0"/>
        <c:ser>
          <c:idx val="1"/>
          <c:order val="0"/>
          <c:tx>
            <c:strRef>
              <c:f>'[SoE graphs with totals.xlsx]Q32'!$E$17</c:f>
              <c:strCache>
                <c:ptCount val="1"/>
                <c:pt idx="0">
                  <c:v>Total</c:v>
                </c:pt>
              </c:strCache>
            </c:strRef>
          </c:tx>
          <c:spPr>
            <a:solidFill>
              <a:srgbClr val="213657"/>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'[SoE graphs with totals.xlsx]Q34'!$H$2:$H$6</c:f>
              <c:strCache>
                <c:ptCount val="5"/>
                <c:pt idx="0">
                  <c:v>Stronger legislative requirements</c:v>
                </c:pt>
                <c:pt idx="1">
                  <c:v>Mandatory evaluation requirements</c:v>
                </c:pt>
                <c:pt idx="2">
                  <c:v>Evaluation Maturity Model</c:v>
                </c:pt>
                <c:pt idx="3">
                  <c:v>Tailored information session</c:v>
                </c:pt>
                <c:pt idx="4">
                  <c:v>Enhanced guidance and tools</c:v>
                </c:pt>
              </c:strCache>
            </c:strRef>
          </c:cat>
          <c:val>
            <c:numRef>
              <c:f>'[SoE graphs with totals.xlsx]Q34'!$J$2:$J$6</c:f>
              <c:numCache>
                <c:formatCode>0.00%</c:formatCode>
                <c:ptCount val="5"/>
                <c:pt idx="0">
                  <c:v>0.12987012987013</c:v>
                </c:pt>
                <c:pt idx="1">
                  <c:v>0.32467532467532501</c:v>
                </c:pt>
                <c:pt idx="2">
                  <c:v>0.51948051948051899</c:v>
                </c:pt>
                <c:pt idx="3">
                  <c:v>0.53246753246753198</c:v>
                </c:pt>
                <c:pt idx="4">
                  <c:v>0.62337662337662303</c:v>
                </c:pt>
              </c:numCache>
            </c:numRef>
          </c:val>
          <c:extLst>
            <c:ext xmlns:c16="http://schemas.microsoft.com/office/drawing/2014/chart" uri="{C3380CC4-5D6E-409C-BE32-E72D297353CC}">
              <c16:uniqueId val="{00000000-2A09-4F87-9F16-162A1822ABF7}"/>
            </c:ext>
          </c:extLst>
        </c:ser>
        <c:dLbls>
          <c:showLegendKey val="0"/>
          <c:showVal val="0"/>
          <c:showCatName val="0"/>
          <c:showSerName val="0"/>
          <c:showPercent val="0"/>
          <c:showBubbleSize val="0"/>
        </c:dLbls>
        <c:gapWidth val="35"/>
        <c:axId val="1323261263"/>
        <c:axId val="1323234863"/>
      </c:barChart>
      <c:barChart>
        <c:barDir val="bar"/>
        <c:grouping val="clustered"/>
        <c:varyColors val="0"/>
        <c:ser>
          <c:idx val="0"/>
          <c:order val="1"/>
          <c:tx>
            <c:v>DUMMY</c:v>
          </c:tx>
          <c:spPr>
            <a:noFill/>
            <a:ln w="25400">
              <a:noFill/>
            </a:ln>
            <a:effectLst/>
          </c:spPr>
          <c:invertIfNegative val="0"/>
          <c:cat>
            <c:strRef>
              <c:f>'[SoE graphs with totals.xlsx]Q34'!$H$2:$H$6</c:f>
              <c:strCache>
                <c:ptCount val="5"/>
                <c:pt idx="0">
                  <c:v>Stronger legislative requirements</c:v>
                </c:pt>
                <c:pt idx="1">
                  <c:v>Mandatory evaluation requirements</c:v>
                </c:pt>
                <c:pt idx="2">
                  <c:v>Evaluation Maturity Model</c:v>
                </c:pt>
                <c:pt idx="3">
                  <c:v>Tailored information session</c:v>
                </c:pt>
                <c:pt idx="4">
                  <c:v>Enhanced guidance and tools</c:v>
                </c:pt>
              </c:strCache>
            </c:strRef>
          </c:cat>
          <c:extLst>
            <c:ext xmlns:c16="http://schemas.microsoft.com/office/drawing/2014/chart" uri="{C3380CC4-5D6E-409C-BE32-E72D297353CC}">
              <c16:uniqueId val="{00000001-2A09-4F87-9F16-162A1822ABF7}"/>
            </c:ext>
          </c:extLst>
        </c:ser>
        <c:ser>
          <c:idx val="2"/>
          <c:order val="2"/>
          <c:spPr>
            <a:noFill/>
            <a:ln>
              <a:noFill/>
            </a:ln>
            <a:effectLst/>
          </c:spPr>
          <c:invertIfNegative val="0"/>
          <c:dLbls>
            <c:dLbl>
              <c:idx val="0"/>
              <c:layout>
                <c:manualLayout>
                  <c:x val="-0.19188507676902267"/>
                  <c:y val="7.2476076942623886E-3"/>
                </c:manualLayout>
              </c:layout>
              <c:dLblPos val="outEnd"/>
              <c:showLegendKey val="0"/>
              <c:showVal val="0"/>
              <c:showCatName val="1"/>
              <c:showSerName val="0"/>
              <c:showPercent val="0"/>
              <c:showBubbleSize val="0"/>
              <c:extLst>
                <c:ext xmlns:c15="http://schemas.microsoft.com/office/drawing/2012/chart" uri="{CE6537A1-D6FC-4f65-9D91-7224C49458BB}">
                  <c15:layout>
                    <c:manualLayout>
                      <c:w val="0.2280357720073268"/>
                      <c:h val="0.20337881741390509"/>
                    </c:manualLayout>
                  </c15:layout>
                </c:ext>
                <c:ext xmlns:c16="http://schemas.microsoft.com/office/drawing/2014/chart" uri="{C3380CC4-5D6E-409C-BE32-E72D297353CC}">
                  <c16:uniqueId val="{00000002-2A09-4F87-9F16-162A1822ABF7}"/>
                </c:ext>
              </c:extLst>
            </c:dLbl>
            <c:dLbl>
              <c:idx val="1"/>
              <c:dLblPos val="inBase"/>
              <c:showLegendKey val="0"/>
              <c:showVal val="0"/>
              <c:showCatName val="1"/>
              <c:showSerName val="0"/>
              <c:showPercent val="0"/>
              <c:showBubbleSize val="0"/>
              <c:extLst>
                <c:ext xmlns:c15="http://schemas.microsoft.com/office/drawing/2012/chart" uri="{CE6537A1-D6FC-4f65-9D91-7224C49458BB}">
                  <c15:layout>
                    <c:manualLayout>
                      <c:w val="0.45272086652351295"/>
                      <c:h val="9.0487568196275639E-2"/>
                    </c:manualLayout>
                  </c15:layout>
                </c:ext>
                <c:ext xmlns:c16="http://schemas.microsoft.com/office/drawing/2014/chart" uri="{C3380CC4-5D6E-409C-BE32-E72D297353CC}">
                  <c16:uniqueId val="{00000003-2A09-4F87-9F16-162A1822ABF7}"/>
                </c:ext>
              </c:extLst>
            </c:dLbl>
            <c:dLbl>
              <c:idx val="2"/>
              <c:dLblPos val="inBase"/>
              <c:showLegendKey val="0"/>
              <c:showVal val="0"/>
              <c:showCatName val="1"/>
              <c:showSerName val="0"/>
              <c:showPercent val="0"/>
              <c:showBubbleSize val="0"/>
              <c:extLst>
                <c:ext xmlns:c15="http://schemas.microsoft.com/office/drawing/2012/chart" uri="{CE6537A1-D6FC-4f65-9D91-7224C49458BB}">
                  <c15:layout>
                    <c:manualLayout>
                      <c:w val="0.32960758377425042"/>
                      <c:h val="9.0487407138974449E-2"/>
                    </c:manualLayout>
                  </c15:layout>
                </c:ext>
                <c:ext xmlns:c16="http://schemas.microsoft.com/office/drawing/2014/chart" uri="{C3380CC4-5D6E-409C-BE32-E72D297353CC}">
                  <c16:uniqueId val="{00000004-2A09-4F87-9F16-162A1822ABF7}"/>
                </c:ext>
              </c:extLst>
            </c:dLbl>
            <c:dLbl>
              <c:idx val="3"/>
              <c:dLblPos val="inBase"/>
              <c:showLegendKey val="0"/>
              <c:showVal val="0"/>
              <c:showCatName val="1"/>
              <c:showSerName val="0"/>
              <c:showPercent val="0"/>
              <c:showBubbleSize val="0"/>
              <c:extLst>
                <c:ext xmlns:c15="http://schemas.microsoft.com/office/drawing/2012/chart" uri="{CE6537A1-D6FC-4f65-9D91-7224C49458BB}">
                  <c15:layout>
                    <c:manualLayout>
                      <c:w val="0.34928359649488261"/>
                      <c:h val="9.0487407138974449E-2"/>
                    </c:manualLayout>
                  </c15:layout>
                </c:ext>
                <c:ext xmlns:c16="http://schemas.microsoft.com/office/drawing/2014/chart" uri="{C3380CC4-5D6E-409C-BE32-E72D297353CC}">
                  <c16:uniqueId val="{00000005-2A09-4F87-9F16-162A1822ABF7}"/>
                </c:ext>
              </c:extLst>
            </c:dLbl>
            <c:dLbl>
              <c:idx val="4"/>
              <c:layout>
                <c:manualLayout>
                  <c:x val="-0.63315637646750067"/>
                  <c:y val="3.6238448994382875E-3"/>
                </c:manualLayout>
              </c:layout>
              <c:dLblPos val="outEnd"/>
              <c:showLegendKey val="0"/>
              <c:showVal val="0"/>
              <c:showCatName val="1"/>
              <c:showSerName val="0"/>
              <c:showPercent val="0"/>
              <c:showBubbleSize val="0"/>
              <c:extLst>
                <c:ext xmlns:c15="http://schemas.microsoft.com/office/drawing/2012/chart" uri="{CE6537A1-D6FC-4f65-9D91-7224C49458BB}">
                  <c15:layout>
                    <c:manualLayout>
                      <c:w val="0.35059523809523813"/>
                      <c:h val="9.0487407138974449E-2"/>
                    </c:manualLayout>
                  </c15:layout>
                </c:ext>
                <c:ext xmlns:c16="http://schemas.microsoft.com/office/drawing/2014/chart" uri="{C3380CC4-5D6E-409C-BE32-E72D297353CC}">
                  <c16:uniqueId val="{00000006-2A09-4F87-9F16-162A1822ABF7}"/>
                </c:ext>
              </c:extLst>
            </c:dLbl>
            <c:spPr>
              <a:noFill/>
              <a:ln>
                <a:noFill/>
              </a:ln>
              <a:effectLst/>
            </c:spPr>
            <c:txPr>
              <a:bodyPr rot="0" spcFirstLastPara="1" vertOverflow="ellipsis" horzOverflow="clip" vert="horz" wrap="square" lIns="38100" tIns="19050" rIns="38100" bIns="19050" anchor="ctr" anchorCtr="0">
                <a:spAutoFit/>
              </a:bodyPr>
              <a:lstStyle/>
              <a:p>
                <a:pPr algn="l">
                  <a:defRPr sz="11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'[SoE graphs with totals.xlsx]Q34'!$H$2:$H$6</c:f>
              <c:strCache>
                <c:ptCount val="5"/>
                <c:pt idx="0">
                  <c:v>Stronger legislative requirements</c:v>
                </c:pt>
                <c:pt idx="1">
                  <c:v>Mandatory evaluation requirements</c:v>
                </c:pt>
                <c:pt idx="2">
                  <c:v>Evaluation Maturity Model</c:v>
                </c:pt>
                <c:pt idx="3">
                  <c:v>Tailored information session</c:v>
                </c:pt>
                <c:pt idx="4">
                  <c:v>Enhanced guidance and tools</c:v>
                </c:pt>
              </c:strCache>
            </c:strRef>
          </c:cat>
          <c:val>
            <c:numRef>
              <c:f>'[SoE graphs with totals.xlsx]Q34'!$J$2:$J$6</c:f>
              <c:numCache>
                <c:formatCode>0.00%</c:formatCode>
                <c:ptCount val="5"/>
                <c:pt idx="0">
                  <c:v>0.12987012987013</c:v>
                </c:pt>
                <c:pt idx="1">
                  <c:v>0.32467532467532501</c:v>
                </c:pt>
                <c:pt idx="2">
                  <c:v>0.51948051948051899</c:v>
                </c:pt>
                <c:pt idx="3">
                  <c:v>0.53246753246753198</c:v>
                </c:pt>
                <c:pt idx="4">
                  <c:v>0.62337662337662303</c:v>
                </c:pt>
              </c:numCache>
            </c:numRef>
          </c:val>
          <c:extLst>
            <c:ext xmlns:c16="http://schemas.microsoft.com/office/drawing/2014/chart" uri="{C3380CC4-5D6E-409C-BE32-E72D297353CC}">
              <c16:uniqueId val="{00000007-2A09-4F87-9F16-162A1822ABF7}"/>
            </c:ext>
          </c:extLst>
        </c:ser>
        <c:dLbls>
          <c:showLegendKey val="0"/>
          <c:showVal val="0"/>
          <c:showCatName val="0"/>
          <c:showSerName val="0"/>
          <c:showPercent val="0"/>
          <c:showBubbleSize val="0"/>
        </c:dLbls>
        <c:gapWidth val="500"/>
        <c:axId val="1665759119"/>
        <c:axId val="1665768719"/>
      </c:barChart>
      <c:catAx>
        <c:axId val="1323261263"/>
        <c:scaling>
          <c:orientation val="minMax"/>
        </c:scaling>
        <c:delete val="1"/>
        <c:axPos val="l"/>
        <c:numFmt formatCode="General" sourceLinked="1"/>
        <c:majorTickMark val="in"/>
        <c:minorTickMark val="none"/>
        <c:tickLblPos val="low"/>
        <c:crossAx val="1323234863"/>
        <c:crosses val="autoZero"/>
        <c:auto val="1"/>
        <c:lblAlgn val="ctr"/>
        <c:lblOffset val="100"/>
        <c:noMultiLvlLbl val="0"/>
      </c:catAx>
      <c:valAx>
        <c:axId val="1323234863"/>
        <c:scaling>
          <c:orientation val="minMax"/>
          <c:max val="0.70000000000000007"/>
          <c:min val="0"/>
        </c:scaling>
        <c:delete val="1"/>
        <c:axPos val="b"/>
        <c:numFmt formatCode="0%" sourceLinked="0"/>
        <c:majorTickMark val="in"/>
        <c:minorTickMark val="none"/>
        <c:tickLblPos val="nextTo"/>
        <c:crossAx val="1323261263"/>
        <c:crosses val="autoZero"/>
        <c:crossBetween val="between"/>
        <c:majorUnit val="0.2"/>
      </c:valAx>
      <c:valAx>
        <c:axId val="1665768719"/>
        <c:scaling>
          <c:orientation val="minMax"/>
          <c:max val="0.70000000000000007"/>
          <c:min val="0"/>
        </c:scaling>
        <c:delete val="1"/>
        <c:axPos val="t"/>
        <c:numFmt formatCode="0%" sourceLinked="0"/>
        <c:majorTickMark val="in"/>
        <c:minorTickMark val="none"/>
        <c:tickLblPos val="nextTo"/>
        <c:crossAx val="1665759119"/>
        <c:crosses val="max"/>
        <c:crossBetween val="between"/>
        <c:majorUnit val="0.2"/>
        <c:minorUnit val="0.04"/>
      </c:valAx>
      <c:catAx>
        <c:axId val="1665759119"/>
        <c:scaling>
          <c:orientation val="minMax"/>
        </c:scaling>
        <c:delete val="1"/>
        <c:axPos val="l"/>
        <c:numFmt formatCode="General" sourceLinked="1"/>
        <c:majorTickMark val="out"/>
        <c:minorTickMark val="none"/>
        <c:tickLblPos val="nextTo"/>
        <c:crossAx val="1665768719"/>
        <c:crosses val="autoZero"/>
        <c:auto val="1"/>
        <c:lblAlgn val="ctr"/>
        <c:lblOffset val="100"/>
        <c:noMultiLvlLbl val="0"/>
      </c:catAx>
      <c:spPr>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1379928315412187E-2"/>
          <c:y val="1.2828282828282828E-2"/>
          <c:w val="0.98862007168458776"/>
          <c:h val="0.98075757575757561"/>
        </c:manualLayout>
      </c:layout>
      <c:barChart>
        <c:barDir val="bar"/>
        <c:grouping val="clustered"/>
        <c:varyColors val="0"/>
        <c:ser>
          <c:idx val="1"/>
          <c:order val="0"/>
          <c:tx>
            <c:strRef>
              <c:f>'[SoE graphs with totals.xlsx]Q38'!$H$2</c:f>
              <c:strCache>
                <c:ptCount val="1"/>
                <c:pt idx="0">
                  <c:v>Total</c:v>
                </c:pt>
              </c:strCache>
            </c:strRef>
          </c:tx>
          <c:spPr>
            <a:solidFill>
              <a:srgbClr val="213657"/>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'[SoE graphs with totals.xlsx]Q38'!$I$2:$I$12</c:f>
              <c:strCache>
                <c:ptCount val="11"/>
                <c:pt idx="0">
                  <c:v>External training provider panel</c:v>
                </c:pt>
                <c:pt idx="1">
                  <c:v>Technical support for impact evaluations </c:v>
                </c:pt>
                <c:pt idx="2">
                  <c:v>Centrally supported ethics review arrangements </c:v>
                </c:pt>
                <c:pt idx="3">
                  <c:v>Coordinated evaluation procurement arrangements</c:v>
                </c:pt>
                <c:pt idx="4">
                  <c:v>Dedicated centrally held evaluation funding</c:v>
                </c:pt>
                <c:pt idx="5">
                  <c:v>Train-the-trainer support</c:v>
                </c:pt>
                <c:pt idx="6">
                  <c:v>Commonwealth Evaluation Community of Practice Events </c:v>
                </c:pt>
                <c:pt idx="7">
                  <c:v>Evaluation coaching/mentoring</c:v>
                </c:pt>
                <c:pt idx="8">
                  <c:v>Expanded Commonwealth Evaluation Toolkit</c:v>
                </c:pt>
                <c:pt idx="9">
                  <c:v>Provision of training resources</c:v>
                </c:pt>
                <c:pt idx="10">
                  <c:v>Online training through APS Learn </c:v>
                </c:pt>
              </c:strCache>
            </c:strRef>
          </c:cat>
          <c:val>
            <c:numRef>
              <c:f>'[SoE graphs with totals.xlsx]Q38'!$K$2:$K$12</c:f>
              <c:numCache>
                <c:formatCode>0.00%</c:formatCode>
                <c:ptCount val="11"/>
                <c:pt idx="0">
                  <c:v>0.25333333333333302</c:v>
                </c:pt>
                <c:pt idx="1">
                  <c:v>0.37333333333333302</c:v>
                </c:pt>
                <c:pt idx="2">
                  <c:v>0.38666666666666699</c:v>
                </c:pt>
                <c:pt idx="3">
                  <c:v>0.413333333333333</c:v>
                </c:pt>
                <c:pt idx="4">
                  <c:v>0.413333333333333</c:v>
                </c:pt>
                <c:pt idx="5">
                  <c:v>0.42666666666666703</c:v>
                </c:pt>
                <c:pt idx="6" formatCode="0%">
                  <c:v>0.48</c:v>
                </c:pt>
                <c:pt idx="7" formatCode="0%">
                  <c:v>0.48</c:v>
                </c:pt>
                <c:pt idx="8" formatCode="0%">
                  <c:v>0.52</c:v>
                </c:pt>
                <c:pt idx="9">
                  <c:v>0.57333333333333303</c:v>
                </c:pt>
                <c:pt idx="10">
                  <c:v>0.61333333333333295</c:v>
                </c:pt>
              </c:numCache>
            </c:numRef>
          </c:val>
          <c:extLst>
            <c:ext xmlns:c16="http://schemas.microsoft.com/office/drawing/2014/chart" uri="{C3380CC4-5D6E-409C-BE32-E72D297353CC}">
              <c16:uniqueId val="{00000000-19B3-49CC-BCA5-3E2E11F6DB61}"/>
            </c:ext>
          </c:extLst>
        </c:ser>
        <c:dLbls>
          <c:showLegendKey val="0"/>
          <c:showVal val="0"/>
          <c:showCatName val="0"/>
          <c:showSerName val="0"/>
          <c:showPercent val="0"/>
          <c:showBubbleSize val="0"/>
        </c:dLbls>
        <c:gapWidth val="50"/>
        <c:axId val="1323261263"/>
        <c:axId val="1323234863"/>
      </c:barChart>
      <c:barChart>
        <c:barDir val="bar"/>
        <c:grouping val="clustered"/>
        <c:varyColors val="0"/>
        <c:ser>
          <c:idx val="0"/>
          <c:order val="1"/>
          <c:tx>
            <c:v>DUMMY</c:v>
          </c:tx>
          <c:spPr>
            <a:noFill/>
            <a:ln w="25400">
              <a:noFill/>
            </a:ln>
            <a:effectLst/>
          </c:spPr>
          <c:invertIfNegative val="0"/>
          <c:cat>
            <c:strRef>
              <c:f>'[SoE graphs with totals.xlsx]Q38'!$I$2:$I$12</c:f>
              <c:strCache>
                <c:ptCount val="11"/>
                <c:pt idx="0">
                  <c:v>External training provider panel</c:v>
                </c:pt>
                <c:pt idx="1">
                  <c:v>Technical support for impact evaluations </c:v>
                </c:pt>
                <c:pt idx="2">
                  <c:v>Centrally supported ethics review arrangements </c:v>
                </c:pt>
                <c:pt idx="3">
                  <c:v>Coordinated evaluation procurement arrangements</c:v>
                </c:pt>
                <c:pt idx="4">
                  <c:v>Dedicated centrally held evaluation funding</c:v>
                </c:pt>
                <c:pt idx="5">
                  <c:v>Train-the-trainer support</c:v>
                </c:pt>
                <c:pt idx="6">
                  <c:v>Commonwealth Evaluation Community of Practice Events </c:v>
                </c:pt>
                <c:pt idx="7">
                  <c:v>Evaluation coaching/mentoring</c:v>
                </c:pt>
                <c:pt idx="8">
                  <c:v>Expanded Commonwealth Evaluation Toolkit</c:v>
                </c:pt>
                <c:pt idx="9">
                  <c:v>Provision of training resources</c:v>
                </c:pt>
                <c:pt idx="10">
                  <c:v>Online training through APS Learn </c:v>
                </c:pt>
              </c:strCache>
            </c:strRef>
          </c:cat>
          <c:extLst>
            <c:ext xmlns:c16="http://schemas.microsoft.com/office/drawing/2014/chart" uri="{C3380CC4-5D6E-409C-BE32-E72D297353CC}">
              <c16:uniqueId val="{00000001-19B3-49CC-BCA5-3E2E11F6DB61}"/>
            </c:ext>
          </c:extLst>
        </c:ser>
        <c:ser>
          <c:idx val="2"/>
          <c:order val="2"/>
          <c:spPr>
            <a:noFill/>
            <a:ln>
              <a:noFill/>
            </a:ln>
            <a:effectLst/>
          </c:spPr>
          <c:invertIfNegative val="0"/>
          <c:dLbls>
            <c:dLbl>
              <c:idx val="0"/>
              <c:dLblPos val="inBase"/>
              <c:showLegendKey val="0"/>
              <c:showVal val="0"/>
              <c:showCatName val="1"/>
              <c:showSerName val="0"/>
              <c:showPercent val="0"/>
              <c:showBubbleSize val="0"/>
              <c:extLst>
                <c:ext xmlns:c15="http://schemas.microsoft.com/office/drawing/2012/chart" uri="{CE6537A1-D6FC-4f65-9D91-7224C49458BB}">
                  <c15:layout>
                    <c:manualLayout>
                      <c:w val="0.30809149880505293"/>
                      <c:h val="6.6489149247769941E-2"/>
                    </c:manualLayout>
                  </c15:layout>
                </c:ext>
                <c:ext xmlns:c16="http://schemas.microsoft.com/office/drawing/2014/chart" uri="{C3380CC4-5D6E-409C-BE32-E72D297353CC}">
                  <c16:uniqueId val="{00000002-19B3-49CC-BCA5-3E2E11F6DB61}"/>
                </c:ext>
              </c:extLst>
            </c:dLbl>
            <c:dLbl>
              <c:idx val="1"/>
              <c:dLblPos val="inBase"/>
              <c:showLegendKey val="0"/>
              <c:showVal val="0"/>
              <c:showCatName val="1"/>
              <c:showSerName val="0"/>
              <c:showPercent val="0"/>
              <c:showBubbleSize val="0"/>
              <c:extLst>
                <c:ext xmlns:c15="http://schemas.microsoft.com/office/drawing/2012/chart" uri="{CE6537A1-D6FC-4f65-9D91-7224C49458BB}">
                  <c15:layout>
                    <c:manualLayout>
                      <c:w val="0.4453966982362097"/>
                      <c:h val="6.6489149247769941E-2"/>
                    </c:manualLayout>
                  </c15:layout>
                </c:ext>
                <c:ext xmlns:c16="http://schemas.microsoft.com/office/drawing/2014/chart" uri="{C3380CC4-5D6E-409C-BE32-E72D297353CC}">
                  <c16:uniqueId val="{00000003-19B3-49CC-BCA5-3E2E11F6DB61}"/>
                </c:ext>
              </c:extLst>
            </c:dLbl>
            <c:dLbl>
              <c:idx val="2"/>
              <c:dLblPos val="inBase"/>
              <c:showLegendKey val="0"/>
              <c:showVal val="0"/>
              <c:showCatName val="1"/>
              <c:showSerName val="0"/>
              <c:showPercent val="0"/>
              <c:showBubbleSize val="0"/>
              <c:extLst>
                <c:ext xmlns:c15="http://schemas.microsoft.com/office/drawing/2012/chart" uri="{CE6537A1-D6FC-4f65-9D91-7224C49458BB}">
                  <c15:layout>
                    <c:manualLayout>
                      <c:w val="0.47242463885516733"/>
                      <c:h val="9.5739769680824163E-2"/>
                    </c:manualLayout>
                  </c15:layout>
                </c:ext>
                <c:ext xmlns:c16="http://schemas.microsoft.com/office/drawing/2014/chart" uri="{C3380CC4-5D6E-409C-BE32-E72D297353CC}">
                  <c16:uniqueId val="{00000004-19B3-49CC-BCA5-3E2E11F6DB61}"/>
                </c:ext>
              </c:extLst>
            </c:dLbl>
            <c:dLbl>
              <c:idx val="3"/>
              <c:dLblPos val="inBase"/>
              <c:showLegendKey val="0"/>
              <c:showVal val="0"/>
              <c:showCatName val="1"/>
              <c:showSerName val="0"/>
              <c:showPercent val="0"/>
              <c:showBubbleSize val="0"/>
              <c:extLst>
                <c:ext xmlns:c15="http://schemas.microsoft.com/office/drawing/2012/chart" uri="{CE6537A1-D6FC-4f65-9D91-7224C49458BB}">
                  <c15:layout>
                    <c:manualLayout>
                      <c:w val="0.50365312393308292"/>
                      <c:h val="0.12499001464518705"/>
                    </c:manualLayout>
                  </c15:layout>
                </c:ext>
                <c:ext xmlns:c16="http://schemas.microsoft.com/office/drawing/2014/chart" uri="{C3380CC4-5D6E-409C-BE32-E72D297353CC}">
                  <c16:uniqueId val="{00000005-19B3-49CC-BCA5-3E2E11F6DB61}"/>
                </c:ext>
              </c:extLst>
            </c:dLbl>
            <c:dLbl>
              <c:idx val="4"/>
              <c:dLblPos val="inBase"/>
              <c:showLegendKey val="0"/>
              <c:showVal val="0"/>
              <c:showCatName val="1"/>
              <c:showSerName val="0"/>
              <c:showPercent val="0"/>
              <c:showBubbleSize val="0"/>
              <c:extLst>
                <c:ext xmlns:c15="http://schemas.microsoft.com/office/drawing/2012/chart" uri="{CE6537A1-D6FC-4f65-9D91-7224C49458BB}">
                  <c15:layout>
                    <c:manualLayout>
                      <c:w val="0.47768294070786388"/>
                      <c:h val="9.5739686779599889E-2"/>
                    </c:manualLayout>
                  </c15:layout>
                </c:ext>
                <c:ext xmlns:c16="http://schemas.microsoft.com/office/drawing/2014/chart" uri="{C3380CC4-5D6E-409C-BE32-E72D297353CC}">
                  <c16:uniqueId val="{00000006-19B3-49CC-BCA5-3E2E11F6DB61}"/>
                </c:ext>
              </c:extLst>
            </c:dLbl>
            <c:dLbl>
              <c:idx val="5"/>
              <c:dLblPos val="inBase"/>
              <c:showLegendKey val="0"/>
              <c:showVal val="0"/>
              <c:showCatName val="1"/>
              <c:showSerName val="0"/>
              <c:showPercent val="0"/>
              <c:showBubbleSize val="0"/>
              <c:extLst>
                <c:ext xmlns:c15="http://schemas.microsoft.com/office/drawing/2012/chart" uri="{CE6537A1-D6FC-4f65-9D91-7224C49458BB}">
                  <c15:layout>
                    <c:manualLayout>
                      <c:w val="0.50129746072625181"/>
                      <c:h val="6.6489149247769941E-2"/>
                    </c:manualLayout>
                  </c15:layout>
                </c:ext>
                <c:ext xmlns:c16="http://schemas.microsoft.com/office/drawing/2014/chart" uri="{C3380CC4-5D6E-409C-BE32-E72D297353CC}">
                  <c16:uniqueId val="{00000007-19B3-49CC-BCA5-3E2E11F6DB61}"/>
                </c:ext>
              </c:extLst>
            </c:dLbl>
            <c:dLbl>
              <c:idx val="6"/>
              <c:dLblPos val="inBase"/>
              <c:showLegendKey val="0"/>
              <c:showVal val="0"/>
              <c:showCatName val="1"/>
              <c:showSerName val="0"/>
              <c:showPercent val="0"/>
              <c:showBubbleSize val="0"/>
              <c:extLst>
                <c:ext xmlns:c15="http://schemas.microsoft.com/office/drawing/2012/chart" uri="{CE6537A1-D6FC-4f65-9D91-7224C49458BB}">
                  <c15:layout>
                    <c:manualLayout>
                      <c:w val="0.55863198049373219"/>
                      <c:h val="0.12499001464518705"/>
                    </c:manualLayout>
                  </c15:layout>
                </c:ext>
                <c:ext xmlns:c16="http://schemas.microsoft.com/office/drawing/2014/chart" uri="{C3380CC4-5D6E-409C-BE32-E72D297353CC}">
                  <c16:uniqueId val="{00000008-19B3-49CC-BCA5-3E2E11F6DB61}"/>
                </c:ext>
              </c:extLst>
            </c:dLbl>
            <c:dLbl>
              <c:idx val="7"/>
              <c:dLblPos val="inBase"/>
              <c:showLegendKey val="0"/>
              <c:showVal val="0"/>
              <c:showCatName val="1"/>
              <c:showSerName val="0"/>
              <c:showPercent val="0"/>
              <c:showBubbleSize val="0"/>
              <c:extLst>
                <c:ext xmlns:c15="http://schemas.microsoft.com/office/drawing/2012/chart" uri="{CE6537A1-D6FC-4f65-9D91-7224C49458BB}">
                  <c15:layout>
                    <c:manualLayout>
                      <c:w val="0.57637418914305227"/>
                      <c:h val="6.6489149247769941E-2"/>
                    </c:manualLayout>
                  </c15:layout>
                </c:ext>
                <c:ext xmlns:c16="http://schemas.microsoft.com/office/drawing/2014/chart" uri="{C3380CC4-5D6E-409C-BE32-E72D297353CC}">
                  <c16:uniqueId val="{00000009-19B3-49CC-BCA5-3E2E11F6DB61}"/>
                </c:ext>
              </c:extLst>
            </c:dLbl>
            <c:dLbl>
              <c:idx val="8"/>
              <c:dLblPos val="inBase"/>
              <c:showLegendKey val="0"/>
              <c:showVal val="0"/>
              <c:showCatName val="1"/>
              <c:showSerName val="0"/>
              <c:showPercent val="0"/>
              <c:showBubbleSize val="0"/>
              <c:extLst>
                <c:ext xmlns:c15="http://schemas.microsoft.com/office/drawing/2012/chart" uri="{CE6537A1-D6FC-4f65-9D91-7224C49458BB}">
                  <c15:layout>
                    <c:manualLayout>
                      <c:w val="0.6545463995218419"/>
                      <c:h val="9.5739686779599889E-2"/>
                    </c:manualLayout>
                  </c15:layout>
                </c:ext>
                <c:ext xmlns:c16="http://schemas.microsoft.com/office/drawing/2014/chart" uri="{C3380CC4-5D6E-409C-BE32-E72D297353CC}">
                  <c16:uniqueId val="{0000000A-19B3-49CC-BCA5-3E2E11F6DB61}"/>
                </c:ext>
              </c:extLst>
            </c:dLbl>
            <c:dLbl>
              <c:idx val="9"/>
              <c:dLblPos val="inBase"/>
              <c:showLegendKey val="0"/>
              <c:showVal val="0"/>
              <c:showCatName val="1"/>
              <c:showSerName val="0"/>
              <c:showPercent val="0"/>
              <c:showBubbleSize val="0"/>
              <c:extLst>
                <c:ext xmlns:c15="http://schemas.microsoft.com/office/drawing/2012/chart" uri="{CE6537A1-D6FC-4f65-9D91-7224C49458BB}">
                  <c15:layout>
                    <c:manualLayout>
                      <c:w val="0.5680549917603761"/>
                      <c:h val="6.6489149247769941E-2"/>
                    </c:manualLayout>
                  </c15:layout>
                </c:ext>
                <c:ext xmlns:c16="http://schemas.microsoft.com/office/drawing/2014/chart" uri="{C3380CC4-5D6E-409C-BE32-E72D297353CC}">
                  <c16:uniqueId val="{0000000B-19B3-49CC-BCA5-3E2E11F6DB61}"/>
                </c:ext>
              </c:extLst>
            </c:dLbl>
            <c:dLbl>
              <c:idx val="10"/>
              <c:dLblPos val="inBase"/>
              <c:showLegendKey val="0"/>
              <c:showVal val="0"/>
              <c:showCatName val="1"/>
              <c:showSerName val="0"/>
              <c:showPercent val="0"/>
              <c:showBubbleSize val="0"/>
              <c:extLst>
                <c:ext xmlns:c15="http://schemas.microsoft.com/office/drawing/2012/chart" uri="{CE6537A1-D6FC-4f65-9D91-7224C49458BB}">
                  <c15:layout>
                    <c:manualLayout>
                      <c:w val="0.50946844345037268"/>
                      <c:h val="6.6489149247769941E-2"/>
                    </c:manualLayout>
                  </c15:layout>
                </c:ext>
                <c:ext xmlns:c16="http://schemas.microsoft.com/office/drawing/2014/chart" uri="{C3380CC4-5D6E-409C-BE32-E72D297353CC}">
                  <c16:uniqueId val="{0000000C-19B3-49CC-BCA5-3E2E11F6DB61}"/>
                </c:ext>
              </c:extLst>
            </c:dLbl>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'[SoE graphs with totals.xlsx]Q38'!$I$2:$I$12</c:f>
              <c:strCache>
                <c:ptCount val="11"/>
                <c:pt idx="0">
                  <c:v>External training provider panel</c:v>
                </c:pt>
                <c:pt idx="1">
                  <c:v>Technical support for impact evaluations </c:v>
                </c:pt>
                <c:pt idx="2">
                  <c:v>Centrally supported ethics review arrangements </c:v>
                </c:pt>
                <c:pt idx="3">
                  <c:v>Coordinated evaluation procurement arrangements</c:v>
                </c:pt>
                <c:pt idx="4">
                  <c:v>Dedicated centrally held evaluation funding</c:v>
                </c:pt>
                <c:pt idx="5">
                  <c:v>Train-the-trainer support</c:v>
                </c:pt>
                <c:pt idx="6">
                  <c:v>Commonwealth Evaluation Community of Practice Events </c:v>
                </c:pt>
                <c:pt idx="7">
                  <c:v>Evaluation coaching/mentoring</c:v>
                </c:pt>
                <c:pt idx="8">
                  <c:v>Expanded Commonwealth Evaluation Toolkit</c:v>
                </c:pt>
                <c:pt idx="9">
                  <c:v>Provision of training resources</c:v>
                </c:pt>
                <c:pt idx="10">
                  <c:v>Online training through APS Learn </c:v>
                </c:pt>
              </c:strCache>
            </c:strRef>
          </c:cat>
          <c:val>
            <c:numRef>
              <c:f>'[SoE graphs with totals.xlsx]Q38'!$K$2:$K$12</c:f>
              <c:numCache>
                <c:formatCode>0.00%</c:formatCode>
                <c:ptCount val="11"/>
                <c:pt idx="0">
                  <c:v>0.25333333333333302</c:v>
                </c:pt>
                <c:pt idx="1">
                  <c:v>0.37333333333333302</c:v>
                </c:pt>
                <c:pt idx="2">
                  <c:v>0.38666666666666699</c:v>
                </c:pt>
                <c:pt idx="3">
                  <c:v>0.413333333333333</c:v>
                </c:pt>
                <c:pt idx="4">
                  <c:v>0.413333333333333</c:v>
                </c:pt>
                <c:pt idx="5">
                  <c:v>0.42666666666666703</c:v>
                </c:pt>
                <c:pt idx="6" formatCode="0%">
                  <c:v>0.48</c:v>
                </c:pt>
                <c:pt idx="7" formatCode="0%">
                  <c:v>0.48</c:v>
                </c:pt>
                <c:pt idx="8" formatCode="0%">
                  <c:v>0.52</c:v>
                </c:pt>
                <c:pt idx="9">
                  <c:v>0.57333333333333303</c:v>
                </c:pt>
                <c:pt idx="10">
                  <c:v>0.61333333333333295</c:v>
                </c:pt>
              </c:numCache>
            </c:numRef>
          </c:val>
          <c:extLst>
            <c:ext xmlns:c16="http://schemas.microsoft.com/office/drawing/2014/chart" uri="{C3380CC4-5D6E-409C-BE32-E72D297353CC}">
              <c16:uniqueId val="{0000000D-19B3-49CC-BCA5-3E2E11F6DB61}"/>
            </c:ext>
          </c:extLst>
        </c:ser>
        <c:dLbls>
          <c:showLegendKey val="0"/>
          <c:showVal val="0"/>
          <c:showCatName val="0"/>
          <c:showSerName val="0"/>
          <c:showPercent val="0"/>
          <c:showBubbleSize val="0"/>
        </c:dLbls>
        <c:gapWidth val="182"/>
        <c:axId val="1665759119"/>
        <c:axId val="1665768719"/>
      </c:barChart>
      <c:catAx>
        <c:axId val="1323261263"/>
        <c:scaling>
          <c:orientation val="minMax"/>
        </c:scaling>
        <c:delete val="1"/>
        <c:axPos val="l"/>
        <c:numFmt formatCode="General" sourceLinked="1"/>
        <c:majorTickMark val="in"/>
        <c:minorTickMark val="none"/>
        <c:tickLblPos val="low"/>
        <c:crossAx val="1323234863"/>
        <c:crosses val="autoZero"/>
        <c:auto val="1"/>
        <c:lblAlgn val="ctr"/>
        <c:lblOffset val="100"/>
        <c:noMultiLvlLbl val="0"/>
      </c:catAx>
      <c:valAx>
        <c:axId val="1323234863"/>
        <c:scaling>
          <c:orientation val="minMax"/>
        </c:scaling>
        <c:delete val="1"/>
        <c:axPos val="b"/>
        <c:numFmt formatCode="0%" sourceLinked="0"/>
        <c:majorTickMark val="in"/>
        <c:minorTickMark val="none"/>
        <c:tickLblPos val="nextTo"/>
        <c:crossAx val="1323261263"/>
        <c:crosses val="autoZero"/>
        <c:crossBetween val="between"/>
        <c:majorUnit val="0.2"/>
      </c:valAx>
      <c:valAx>
        <c:axId val="1665768719"/>
        <c:scaling>
          <c:orientation val="minMax"/>
          <c:max val="0.8"/>
          <c:min val="0"/>
        </c:scaling>
        <c:delete val="1"/>
        <c:axPos val="t"/>
        <c:numFmt formatCode="0%" sourceLinked="0"/>
        <c:majorTickMark val="in"/>
        <c:minorTickMark val="none"/>
        <c:tickLblPos val="nextTo"/>
        <c:crossAx val="1665759119"/>
        <c:crosses val="max"/>
        <c:crossBetween val="between"/>
        <c:majorUnit val="0.2"/>
        <c:minorUnit val="0.04"/>
      </c:valAx>
      <c:catAx>
        <c:axId val="1665759119"/>
        <c:scaling>
          <c:orientation val="minMax"/>
        </c:scaling>
        <c:delete val="1"/>
        <c:axPos val="l"/>
        <c:numFmt formatCode="General" sourceLinked="1"/>
        <c:majorTickMark val="out"/>
        <c:minorTickMark val="none"/>
        <c:tickLblPos val="nextTo"/>
        <c:crossAx val="1665768719"/>
        <c:crosses val="autoZero"/>
        <c:auto val="1"/>
        <c:lblAlgn val="ctr"/>
        <c:lblOffset val="100"/>
        <c:noMultiLvlLbl val="0"/>
      </c:catAx>
      <c:spPr>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103302385709251"/>
          <c:y val="4.6977402356127754E-2"/>
          <c:w val="0.61296274532847572"/>
          <c:h val="0.84717221262446951"/>
        </c:manualLayout>
      </c:layout>
      <c:barChart>
        <c:barDir val="bar"/>
        <c:grouping val="clustered"/>
        <c:varyColors val="0"/>
        <c:ser>
          <c:idx val="0"/>
          <c:order val="0"/>
          <c:tx>
            <c:strRef>
              <c:f>'Q3'!$B$1</c:f>
              <c:strCache>
                <c:ptCount val="1"/>
                <c:pt idx="0">
                  <c:v>Entities</c:v>
                </c:pt>
              </c:strCache>
            </c:strRef>
          </c:tx>
          <c:spPr>
            <a:solidFill>
              <a:srgbClr val="213657"/>
            </a:solidFill>
            <a:ln>
              <a:noFill/>
            </a:ln>
            <a:effectLst/>
          </c:spPr>
          <c:invertIfNegative val="0"/>
          <c:cat>
            <c:strRef>
              <c:f>'Q3'!$A$2:$A$5</c:f>
              <c:strCache>
                <c:ptCount val="4"/>
                <c:pt idx="0">
                  <c:v>Micro (&lt; 100 employees)</c:v>
                </c:pt>
                <c:pt idx="1">
                  <c:v>Small (101 – 250 employees)</c:v>
                </c:pt>
                <c:pt idx="2">
                  <c:v>Medium (251 – 1000 employees)</c:v>
                </c:pt>
                <c:pt idx="3">
                  <c:v>Large (&gt; 1001 employees)</c:v>
                </c:pt>
              </c:strCache>
            </c:strRef>
          </c:cat>
          <c:val>
            <c:numRef>
              <c:f>'Q3'!$B$2:$B$5</c:f>
              <c:numCache>
                <c:formatCode>General</c:formatCode>
                <c:ptCount val="4"/>
                <c:pt idx="0">
                  <c:v>24</c:v>
                </c:pt>
                <c:pt idx="1">
                  <c:v>18</c:v>
                </c:pt>
                <c:pt idx="2">
                  <c:v>16</c:v>
                </c:pt>
                <c:pt idx="3">
                  <c:v>34</c:v>
                </c:pt>
              </c:numCache>
            </c:numRef>
          </c:val>
          <c:extLst>
            <c:ext xmlns:c16="http://schemas.microsoft.com/office/drawing/2014/chart" uri="{C3380CC4-5D6E-409C-BE32-E72D297353CC}">
              <c16:uniqueId val="{00000000-0629-4737-BDA8-6AA58987F1B4}"/>
            </c:ext>
          </c:extLst>
        </c:ser>
        <c:dLbls>
          <c:showLegendKey val="0"/>
          <c:showVal val="0"/>
          <c:showCatName val="0"/>
          <c:showSerName val="0"/>
          <c:showPercent val="0"/>
          <c:showBubbleSize val="0"/>
        </c:dLbls>
        <c:gapWidth val="50"/>
        <c:axId val="1385375055"/>
        <c:axId val="1385351055"/>
      </c:barChart>
      <c:catAx>
        <c:axId val="138537505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85351055"/>
        <c:crosses val="autoZero"/>
        <c:auto val="1"/>
        <c:lblAlgn val="ctr"/>
        <c:lblOffset val="100"/>
        <c:noMultiLvlLbl val="0"/>
      </c:catAx>
      <c:valAx>
        <c:axId val="138535105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8537505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77221978867295"/>
          <c:y val="4.6977402356127754E-2"/>
          <c:w val="0.67456960010256517"/>
          <c:h val="0.84276206929481112"/>
        </c:manualLayout>
      </c:layout>
      <c:barChart>
        <c:barDir val="bar"/>
        <c:grouping val="clustered"/>
        <c:varyColors val="0"/>
        <c:ser>
          <c:idx val="1"/>
          <c:order val="0"/>
          <c:tx>
            <c:strRef>
              <c:f>'Q4'!$H$2</c:f>
              <c:strCache>
                <c:ptCount val="1"/>
                <c:pt idx="0">
                  <c:v>Total</c:v>
                </c:pt>
              </c:strCache>
            </c:strRef>
          </c:tx>
          <c:spPr>
            <a:solidFill>
              <a:srgbClr val="213657"/>
            </a:solidFill>
            <a:ln>
              <a:noFill/>
            </a:ln>
            <a:effectLst/>
          </c:spPr>
          <c:invertIfNegative val="0"/>
          <c:cat>
            <c:strRef>
              <c:f>'Q4'!$I$2:$I$6</c:f>
              <c:strCache>
                <c:ptCount val="5"/>
                <c:pt idx="0">
                  <c:v>Revenue programs</c:v>
                </c:pt>
                <c:pt idx="1">
                  <c:v>Demand-driven programs</c:v>
                </c:pt>
                <c:pt idx="2">
                  <c:v>Direct outlay programs</c:v>
                </c:pt>
                <c:pt idx="3">
                  <c:v>Grant programs</c:v>
                </c:pt>
                <c:pt idx="4">
                  <c:v>Regulatory programs</c:v>
                </c:pt>
              </c:strCache>
            </c:strRef>
          </c:cat>
          <c:val>
            <c:numRef>
              <c:f>'Q4'!$K$2:$K$6</c:f>
              <c:numCache>
                <c:formatCode>0.00%</c:formatCode>
                <c:ptCount val="5"/>
                <c:pt idx="0">
                  <c:v>0.151898734177215</c:v>
                </c:pt>
                <c:pt idx="1">
                  <c:v>0.30379746835443</c:v>
                </c:pt>
                <c:pt idx="2">
                  <c:v>0.354430379746835</c:v>
                </c:pt>
                <c:pt idx="3">
                  <c:v>0.443037974683544</c:v>
                </c:pt>
                <c:pt idx="4">
                  <c:v>0.531645569620253</c:v>
                </c:pt>
              </c:numCache>
            </c:numRef>
          </c:val>
          <c:extLst>
            <c:ext xmlns:c16="http://schemas.microsoft.com/office/drawing/2014/chart" uri="{C3380CC4-5D6E-409C-BE32-E72D297353CC}">
              <c16:uniqueId val="{00000000-A61F-4037-A12A-370EEC8E17F7}"/>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tickMarkSkip val="1"/>
        <c:noMultiLvlLbl val="0"/>
      </c:catAx>
      <c:valAx>
        <c:axId val="1323234863"/>
        <c:scaling>
          <c:orientation val="minMax"/>
          <c:max val="0.8"/>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710972222222222E-2"/>
          <c:w val="0.9841995726495727"/>
          <c:h val="0.87430138888888875"/>
        </c:manualLayout>
      </c:layout>
      <c:barChart>
        <c:barDir val="bar"/>
        <c:grouping val="percentStacked"/>
        <c:varyColors val="0"/>
        <c:ser>
          <c:idx val="0"/>
          <c:order val="0"/>
          <c:tx>
            <c:strRef>
              <c:f>'Q5'!$A$15</c:f>
              <c:strCache>
                <c:ptCount val="1"/>
                <c:pt idx="0">
                  <c:v>Yes</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'Q5'!$B$13:$F$13</c:f>
              <c:strCache>
                <c:ptCount val="5"/>
                <c:pt idx="0">
                  <c:v>Micro</c:v>
                </c:pt>
                <c:pt idx="1">
                  <c:v>Small</c:v>
                </c:pt>
                <c:pt idx="2">
                  <c:v>Medium</c:v>
                </c:pt>
                <c:pt idx="3">
                  <c:v>Large</c:v>
                </c:pt>
                <c:pt idx="4">
                  <c:v>Total</c:v>
                </c:pt>
              </c:strCache>
            </c:strRef>
          </c:cat>
          <c:val>
            <c:numRef>
              <c:f>'Q5'!$B$15:$F$15</c:f>
              <c:numCache>
                <c:formatCode>General</c:formatCode>
                <c:ptCount val="5"/>
                <c:pt idx="0">
                  <c:v>25</c:v>
                </c:pt>
                <c:pt idx="1">
                  <c:v>22.2222222222222</c:v>
                </c:pt>
                <c:pt idx="2">
                  <c:v>25</c:v>
                </c:pt>
                <c:pt idx="3">
                  <c:v>52.941176470588204</c:v>
                </c:pt>
                <c:pt idx="4">
                  <c:v>34.7826086956522</c:v>
                </c:pt>
              </c:numCache>
            </c:numRef>
          </c:val>
          <c:extLst>
            <c:ext xmlns:c16="http://schemas.microsoft.com/office/drawing/2014/chart" uri="{C3380CC4-5D6E-409C-BE32-E72D297353CC}">
              <c16:uniqueId val="{00000000-6E8F-4F24-8BC3-5354C29B5198}"/>
            </c:ext>
          </c:extLst>
        </c:ser>
        <c:ser>
          <c:idx val="1"/>
          <c:order val="1"/>
          <c:tx>
            <c:strRef>
              <c:f>'Q5'!$A$14</c:f>
              <c:strCache>
                <c:ptCount val="1"/>
                <c:pt idx="0">
                  <c:v>No</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'Q5'!$B$13:$F$13</c:f>
              <c:strCache>
                <c:ptCount val="5"/>
                <c:pt idx="0">
                  <c:v>Micro</c:v>
                </c:pt>
                <c:pt idx="1">
                  <c:v>Small</c:v>
                </c:pt>
                <c:pt idx="2">
                  <c:v>Medium</c:v>
                </c:pt>
                <c:pt idx="3">
                  <c:v>Large</c:v>
                </c:pt>
                <c:pt idx="4">
                  <c:v>Total</c:v>
                </c:pt>
              </c:strCache>
            </c:strRef>
          </c:cat>
          <c:val>
            <c:numRef>
              <c:f>'Q5'!$B$14:$F$14</c:f>
              <c:numCache>
                <c:formatCode>General</c:formatCode>
                <c:ptCount val="5"/>
                <c:pt idx="0">
                  <c:v>75</c:v>
                </c:pt>
                <c:pt idx="1">
                  <c:v>77.7777777777778</c:v>
                </c:pt>
                <c:pt idx="2">
                  <c:v>75</c:v>
                </c:pt>
                <c:pt idx="3">
                  <c:v>47.058823529411796</c:v>
                </c:pt>
                <c:pt idx="4">
                  <c:v>65.2173913043478</c:v>
                </c:pt>
              </c:numCache>
            </c:numRef>
          </c:val>
          <c:extLst>
            <c:ext xmlns:c16="http://schemas.microsoft.com/office/drawing/2014/chart" uri="{C3380CC4-5D6E-409C-BE32-E72D297353CC}">
              <c16:uniqueId val="{00000001-6E8F-4F24-8BC3-5354C29B5198}"/>
            </c:ext>
          </c:extLst>
        </c:ser>
        <c:dLbls>
          <c:showLegendKey val="0"/>
          <c:showVal val="0"/>
          <c:showCatName val="0"/>
          <c:showSerName val="0"/>
          <c:showPercent val="0"/>
          <c:showBubbleSize val="0"/>
        </c:dLbls>
        <c:gapWidth val="50"/>
        <c:overlap val="100"/>
        <c:axId val="943387952"/>
        <c:axId val="943389872"/>
      </c:barChart>
      <c:catAx>
        <c:axId val="943387952"/>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9872"/>
        <c:crosses val="autoZero"/>
        <c:auto val="1"/>
        <c:lblAlgn val="ctr"/>
        <c:lblOffset val="100"/>
        <c:noMultiLvlLbl val="0"/>
      </c:catAx>
      <c:valAx>
        <c:axId val="943389872"/>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7952"/>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layout>
        <c:manualLayout>
          <c:xMode val="edge"/>
          <c:yMode val="edge"/>
          <c:x val="0.43472029914529914"/>
          <c:y val="0.93233020833333347"/>
          <c:w val="0.1305594017094017"/>
          <c:h val="6.5464930555555551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77139208173691E-2"/>
          <c:y val="4.5571050606625987E-2"/>
          <c:w val="0.98722860791826306"/>
          <c:h val="0.89814814814814814"/>
        </c:manualLayout>
      </c:layout>
      <c:barChart>
        <c:barDir val="bar"/>
        <c:grouping val="clustered"/>
        <c:varyColors val="0"/>
        <c:ser>
          <c:idx val="1"/>
          <c:order val="0"/>
          <c:spPr>
            <a:solidFill>
              <a:srgbClr val="213657"/>
            </a:solidFill>
          </c:spPr>
          <c:invertIfNegative val="0"/>
          <c:dLbls>
            <c:spPr>
              <a:noFill/>
              <a:ln>
                <a:noFill/>
              </a:ln>
              <a:effectLst/>
            </c:spPr>
            <c:txPr>
              <a:bodyPr wrap="square" lIns="38100" tIns="19050" rIns="38100" bIns="19050" anchor="ctr">
                <a:spAutoFit/>
              </a:bodyPr>
              <a:lstStyle/>
              <a:p>
                <a:pPr>
                  <a:defRPr sz="12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Charts!$H$7:$H$10</c:f>
              <c:strCache>
                <c:ptCount val="4"/>
                <c:pt idx="0">
                  <c:v>Micro (&lt;100 employees)</c:v>
                </c:pt>
                <c:pt idx="1">
                  <c:v>Small (101 - 250 employees)</c:v>
                </c:pt>
                <c:pt idx="2">
                  <c:v>Medium (251 - 1000 employees)</c:v>
                </c:pt>
                <c:pt idx="3">
                  <c:v>Large (&gt; 1001 employees)</c:v>
                </c:pt>
              </c:strCache>
            </c:strRef>
          </c:cat>
          <c:val>
            <c:numRef>
              <c:f>Charts!$I$7:$I$10</c:f>
              <c:numCache>
                <c:formatCode>General</c:formatCode>
                <c:ptCount val="4"/>
                <c:pt idx="0">
                  <c:v>6</c:v>
                </c:pt>
                <c:pt idx="1">
                  <c:v>5</c:v>
                </c:pt>
                <c:pt idx="2">
                  <c:v>4</c:v>
                </c:pt>
                <c:pt idx="3">
                  <c:v>23</c:v>
                </c:pt>
              </c:numCache>
            </c:numRef>
          </c:val>
          <c:extLst>
            <c:ext xmlns:c16="http://schemas.microsoft.com/office/drawing/2014/chart" uri="{C3380CC4-5D6E-409C-BE32-E72D297353CC}">
              <c16:uniqueId val="{00000000-A4B5-4AA2-BD87-EE97A3B826E8}"/>
            </c:ext>
          </c:extLst>
        </c:ser>
        <c:ser>
          <c:idx val="0"/>
          <c:order val="1"/>
          <c:spPr>
            <a:solidFill>
              <a:srgbClr val="213657"/>
            </a:solidFill>
            <a:ln>
              <a:noFill/>
            </a:ln>
            <a:effectLst/>
          </c:spPr>
          <c:invertIfNegative val="0"/>
          <c:dLbls>
            <c:dLbl>
              <c:idx val="0"/>
              <c:layout>
                <c:manualLayout>
                  <c:x val="-0.2438277532381623"/>
                  <c:y val="-9.8169325555816811E-17"/>
                </c:manualLayout>
              </c:layout>
              <c:dLblPos val="outEnd"/>
              <c:showLegendKey val="0"/>
              <c:showVal val="0"/>
              <c:showCatName val="1"/>
              <c:showSerName val="0"/>
              <c:showPercent val="0"/>
              <c:showBubbleSize val="0"/>
              <c:separator> </c:separator>
              <c:extLst>
                <c:ext xmlns:c15="http://schemas.microsoft.com/office/drawing/2012/chart" uri="{CE6537A1-D6FC-4f65-9D91-7224C49458BB}">
                  <c15:layout>
                    <c:manualLayout>
                      <c:w val="0.27917615176151755"/>
                      <c:h val="0.13259259259259257"/>
                    </c:manualLayout>
                  </c15:layout>
                </c:ext>
                <c:ext xmlns:c16="http://schemas.microsoft.com/office/drawing/2014/chart" uri="{C3380CC4-5D6E-409C-BE32-E72D297353CC}">
                  <c16:uniqueId val="{00000001-A4B5-4AA2-BD87-EE97A3B826E8}"/>
                </c:ext>
              </c:extLst>
            </c:dLbl>
            <c:dLbl>
              <c:idx val="1"/>
              <c:layout>
                <c:manualLayout>
                  <c:x val="-0.20479687600025606"/>
                  <c:y val="-2.1081702136630511E-7"/>
                </c:manualLayout>
              </c:layout>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chemeClr val="bg1"/>
                      </a:solidFill>
                      <a:latin typeface="+mn-lt"/>
                      <a:ea typeface="+mn-ea"/>
                      <a:cs typeface="+mn-cs"/>
                    </a:defRPr>
                  </a:pPr>
                  <a:endParaRPr lang="en-US"/>
                </a:p>
              </c:txPr>
              <c:dLblPos val="outEnd"/>
              <c:showLegendKey val="0"/>
              <c:showVal val="0"/>
              <c:showCatName val="1"/>
              <c:showSerName val="0"/>
              <c:showPercent val="0"/>
              <c:showBubbleSize val="0"/>
              <c:separator> </c:separator>
              <c:extLst>
                <c:ext xmlns:c15="http://schemas.microsoft.com/office/drawing/2012/chart" uri="{CE6537A1-D6FC-4f65-9D91-7224C49458BB}">
                  <c15:layout>
                    <c:manualLayout>
                      <c:w val="0.19622764227642273"/>
                      <c:h val="0.164721036376477"/>
                    </c:manualLayout>
                  </c15:layout>
                </c:ext>
                <c:ext xmlns:c16="http://schemas.microsoft.com/office/drawing/2014/chart" uri="{C3380CC4-5D6E-409C-BE32-E72D297353CC}">
                  <c16:uniqueId val="{00000002-A4B5-4AA2-BD87-EE97A3B826E8}"/>
                </c:ext>
              </c:extLst>
            </c:dLbl>
            <c:dLbl>
              <c:idx val="2"/>
              <c:layout>
                <c:manualLayout>
                  <c:x val="-0.16831627375226565"/>
                  <c:y val="0"/>
                </c:manualLayout>
              </c:layout>
              <c:tx>
                <c:rich>
                  <a:bodyPr/>
                  <a:lstStyle/>
                  <a:p>
                    <a:fld id="{2339E116-B364-47CD-AD38-4D5A1F14432C}" type="CATEGORYNAME">
                      <a:rPr lang="en-US" sz="1000"/>
                      <a:pPr/>
                      <a:t>[CATEGORY NAME]</a:t>
                    </a:fld>
                    <a:endParaRPr lang="en-AU"/>
                  </a:p>
                </c:rich>
              </c:tx>
              <c:dLblPos val="outEnd"/>
              <c:showLegendKey val="0"/>
              <c:showVal val="0"/>
              <c:showCatName val="1"/>
              <c:showSerName val="0"/>
              <c:showPercent val="0"/>
              <c:showBubbleSize val="0"/>
              <c:separator> </c:separator>
              <c:extLst>
                <c:ext xmlns:c15="http://schemas.microsoft.com/office/drawing/2012/chart" uri="{CE6537A1-D6FC-4f65-9D91-7224C49458BB}">
                  <c15:layout>
                    <c:manualLayout>
                      <c:w val="0.16572933122696157"/>
                      <c:h val="0.14677376171352075"/>
                    </c:manualLayout>
                  </c15:layout>
                  <c15:dlblFieldTable/>
                  <c15:showDataLabelsRange val="0"/>
                </c:ext>
                <c:ext xmlns:c16="http://schemas.microsoft.com/office/drawing/2014/chart" uri="{C3380CC4-5D6E-409C-BE32-E72D297353CC}">
                  <c16:uniqueId val="{00000003-A4B5-4AA2-BD87-EE97A3B826E8}"/>
                </c:ext>
              </c:extLst>
            </c:dLbl>
            <c:dLbl>
              <c:idx val="3"/>
              <c:layout>
                <c:manualLayout>
                  <c:x val="-0.69019977380876174"/>
                  <c:y val="-4.6295417892040606E-3"/>
                </c:manualLayout>
              </c:layout>
              <c:dLblPos val="outEnd"/>
              <c:showLegendKey val="0"/>
              <c:showVal val="0"/>
              <c:showCatName val="1"/>
              <c:showSerName val="0"/>
              <c:showPercent val="0"/>
              <c:showBubbleSize val="0"/>
              <c:separator> </c:separator>
              <c:extLst>
                <c:ext xmlns:c15="http://schemas.microsoft.com/office/drawing/2012/chart" uri="{CE6537A1-D6FC-4f65-9D91-7224C49458BB}">
                  <c15:layout>
                    <c:manualLayout>
                      <c:w val="0.29803794037940379"/>
                      <c:h val="0.13824074074074075"/>
                    </c:manualLayout>
                  </c15:layout>
                </c:ext>
                <c:ext xmlns:c16="http://schemas.microsoft.com/office/drawing/2014/chart" uri="{C3380CC4-5D6E-409C-BE32-E72D297353CC}">
                  <c16:uniqueId val="{00000004-A4B5-4AA2-BD87-EE97A3B826E8}"/>
                </c:ext>
              </c:extLst>
            </c:dLbl>
            <c:spPr>
              <a:noFill/>
              <a:ln>
                <a:noFill/>
              </a:ln>
              <a:effectLst/>
            </c:spPr>
            <c:txPr>
              <a:bodyPr rot="0" spcFirstLastPara="1" vertOverflow="ellipsis" vert="horz" wrap="square" lIns="38100" tIns="19050" rIns="38100" bIns="19050" anchor="ctr" anchorCtr="0">
                <a:spAutoFit/>
              </a:bodyPr>
              <a:lstStyle/>
              <a:p>
                <a:pPr algn="l">
                  <a:defRPr sz="1050" b="0" i="0" u="none" strike="noStrike" kern="1200" baseline="0">
                    <a:solidFill>
                      <a:schemeClr val="bg1"/>
                    </a:solidFill>
                    <a:latin typeface="+mn-lt"/>
                    <a:ea typeface="+mn-ea"/>
                    <a:cs typeface="+mn-cs"/>
                  </a:defRPr>
                </a:pPr>
                <a:endParaRPr lang="en-US"/>
              </a:p>
            </c:txPr>
            <c:dLblPos val="outEnd"/>
            <c:showLegendKey val="0"/>
            <c:showVal val="0"/>
            <c:showCatName val="1"/>
            <c:showSerName val="0"/>
            <c:showPercent val="0"/>
            <c:showBubbleSize val="0"/>
            <c:separator> </c:separator>
            <c:showLeaderLines val="0"/>
            <c:extLst>
              <c:ext xmlns:c15="http://schemas.microsoft.com/office/drawing/2012/chart" uri="{CE6537A1-D6FC-4f65-9D91-7224C49458BB}">
                <c15:showLeaderLines val="0"/>
              </c:ext>
            </c:extLst>
          </c:dLbls>
          <c:cat>
            <c:strRef>
              <c:f>Charts!$H$7:$H$10</c:f>
              <c:strCache>
                <c:ptCount val="4"/>
                <c:pt idx="0">
                  <c:v>Micro (&lt;100 employees)</c:v>
                </c:pt>
                <c:pt idx="1">
                  <c:v>Small (101 - 250 employees)</c:v>
                </c:pt>
                <c:pt idx="2">
                  <c:v>Medium (251 - 1000 employees)</c:v>
                </c:pt>
                <c:pt idx="3">
                  <c:v>Large (&gt; 1001 employees)</c:v>
                </c:pt>
              </c:strCache>
            </c:strRef>
          </c:cat>
          <c:val>
            <c:numRef>
              <c:f>Charts!$I$7:$I$10</c:f>
              <c:numCache>
                <c:formatCode>General</c:formatCode>
                <c:ptCount val="4"/>
                <c:pt idx="0">
                  <c:v>6</c:v>
                </c:pt>
                <c:pt idx="1">
                  <c:v>5</c:v>
                </c:pt>
                <c:pt idx="2">
                  <c:v>4</c:v>
                </c:pt>
                <c:pt idx="3">
                  <c:v>23</c:v>
                </c:pt>
              </c:numCache>
            </c:numRef>
          </c:val>
          <c:extLst>
            <c:ext xmlns:c16="http://schemas.microsoft.com/office/drawing/2014/chart" uri="{C3380CC4-5D6E-409C-BE32-E72D297353CC}">
              <c16:uniqueId val="{00000005-A4B5-4AA2-BD87-EE97A3B826E8}"/>
            </c:ext>
          </c:extLst>
        </c:ser>
        <c:dLbls>
          <c:dLblPos val="outEnd"/>
          <c:showLegendKey val="0"/>
          <c:showVal val="1"/>
          <c:showCatName val="0"/>
          <c:showSerName val="0"/>
          <c:showPercent val="0"/>
          <c:showBubbleSize val="0"/>
        </c:dLbls>
        <c:gapWidth val="50"/>
        <c:overlap val="100"/>
        <c:axId val="1868763567"/>
        <c:axId val="1868760687"/>
      </c:barChart>
      <c:catAx>
        <c:axId val="1868763567"/>
        <c:scaling>
          <c:orientation val="minMax"/>
        </c:scaling>
        <c:delete val="1"/>
        <c:axPos val="l"/>
        <c:numFmt formatCode="General" sourceLinked="1"/>
        <c:majorTickMark val="none"/>
        <c:minorTickMark val="none"/>
        <c:tickLblPos val="nextTo"/>
        <c:crossAx val="1868760687"/>
        <c:crosses val="autoZero"/>
        <c:auto val="1"/>
        <c:lblAlgn val="ctr"/>
        <c:lblOffset val="100"/>
        <c:noMultiLvlLbl val="0"/>
      </c:catAx>
      <c:valAx>
        <c:axId val="1868760687"/>
        <c:scaling>
          <c:orientation val="minMax"/>
        </c:scaling>
        <c:delete val="1"/>
        <c:axPos val="b"/>
        <c:numFmt formatCode="General" sourceLinked="1"/>
        <c:majorTickMark val="none"/>
        <c:minorTickMark val="none"/>
        <c:tickLblPos val="nextTo"/>
        <c:crossAx val="1868763567"/>
        <c:crosses val="autoZero"/>
        <c:crossBetween val="between"/>
      </c:valAx>
      <c:spPr>
        <a:noFill/>
        <a:ln>
          <a:noFill/>
        </a:ln>
      </c:spPr>
    </c:plotArea>
    <c:plotVisOnly val="1"/>
    <c:dispBlanksAs val="gap"/>
    <c:showDLblsOverMax val="0"/>
    <c:extLst/>
  </c:chart>
  <c:spPr>
    <a:noFill/>
    <a:ln>
      <a:noFill/>
    </a:ln>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710972222222222E-2"/>
          <c:w val="0.9841995726495727"/>
          <c:h val="0.87430138888888875"/>
        </c:manualLayout>
      </c:layout>
      <c:barChart>
        <c:barDir val="bar"/>
        <c:grouping val="percentStacked"/>
        <c:varyColors val="0"/>
        <c:ser>
          <c:idx val="2"/>
          <c:order val="0"/>
          <c:tx>
            <c:strRef>
              <c:f>'Q6'!$A$20</c:f>
              <c:strCache>
                <c:ptCount val="1"/>
                <c:pt idx="0">
                  <c:v>Yes</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'Q6'!$B$17:$F$17</c:f>
              <c:strCache>
                <c:ptCount val="5"/>
                <c:pt idx="0">
                  <c:v>Micro</c:v>
                </c:pt>
                <c:pt idx="1">
                  <c:v>Small</c:v>
                </c:pt>
                <c:pt idx="2">
                  <c:v>Medium</c:v>
                </c:pt>
                <c:pt idx="3">
                  <c:v>Large</c:v>
                </c:pt>
                <c:pt idx="4">
                  <c:v>Total</c:v>
                </c:pt>
              </c:strCache>
            </c:strRef>
          </c:cat>
          <c:val>
            <c:numRef>
              <c:f>'Q6'!$B$20:$F$20</c:f>
              <c:numCache>
                <c:formatCode>General</c:formatCode>
                <c:ptCount val="5"/>
                <c:pt idx="0">
                  <c:v>8.3333333333333304</c:v>
                </c:pt>
                <c:pt idx="1">
                  <c:v>22.2222222222222</c:v>
                </c:pt>
                <c:pt idx="2">
                  <c:v>12.5</c:v>
                </c:pt>
                <c:pt idx="3">
                  <c:v>35.294117647058798</c:v>
                </c:pt>
                <c:pt idx="4">
                  <c:v>21.739130434782599</c:v>
                </c:pt>
              </c:numCache>
            </c:numRef>
          </c:val>
          <c:extLst>
            <c:ext xmlns:c16="http://schemas.microsoft.com/office/drawing/2014/chart" uri="{C3380CC4-5D6E-409C-BE32-E72D297353CC}">
              <c16:uniqueId val="{00000000-864E-4A51-9CA0-668FC82B7B13}"/>
            </c:ext>
          </c:extLst>
        </c:ser>
        <c:ser>
          <c:idx val="1"/>
          <c:order val="1"/>
          <c:tx>
            <c:strRef>
              <c:f>'Q6'!$A$19</c:f>
              <c:strCache>
                <c:ptCount val="1"/>
                <c:pt idx="0">
                  <c:v>Partial</c:v>
                </c:pt>
              </c:strCache>
            </c:strRef>
          </c:tx>
          <c:spPr>
            <a:solidFill>
              <a:srgbClr val="B6571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864E-4A51-9CA0-668FC82B7B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'Q6'!$B$17:$F$17</c:f>
              <c:strCache>
                <c:ptCount val="5"/>
                <c:pt idx="0">
                  <c:v>Micro</c:v>
                </c:pt>
                <c:pt idx="1">
                  <c:v>Small</c:v>
                </c:pt>
                <c:pt idx="2">
                  <c:v>Medium</c:v>
                </c:pt>
                <c:pt idx="3">
                  <c:v>Large</c:v>
                </c:pt>
                <c:pt idx="4">
                  <c:v>Total</c:v>
                </c:pt>
              </c:strCache>
            </c:strRef>
          </c:cat>
          <c:val>
            <c:numRef>
              <c:f>'Q6'!$B$19:$F$19</c:f>
              <c:numCache>
                <c:formatCode>General</c:formatCode>
                <c:ptCount val="5"/>
                <c:pt idx="0">
                  <c:v>0</c:v>
                </c:pt>
                <c:pt idx="2">
                  <c:v>12.5</c:v>
                </c:pt>
                <c:pt idx="3">
                  <c:v>17.647058823529399</c:v>
                </c:pt>
                <c:pt idx="4">
                  <c:v>8.6956521739130395</c:v>
                </c:pt>
              </c:numCache>
            </c:numRef>
          </c:val>
          <c:extLst>
            <c:ext xmlns:c16="http://schemas.microsoft.com/office/drawing/2014/chart" uri="{C3380CC4-5D6E-409C-BE32-E72D297353CC}">
              <c16:uniqueId val="{00000001-864E-4A51-9CA0-668FC82B7B13}"/>
            </c:ext>
          </c:extLst>
        </c:ser>
        <c:ser>
          <c:idx val="0"/>
          <c:order val="2"/>
          <c:tx>
            <c:strRef>
              <c:f>'Q6'!$A$18</c:f>
              <c:strCache>
                <c:ptCount val="1"/>
                <c:pt idx="0">
                  <c:v>No</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'Q6'!$B$17:$F$17</c:f>
              <c:strCache>
                <c:ptCount val="5"/>
                <c:pt idx="0">
                  <c:v>Micro</c:v>
                </c:pt>
                <c:pt idx="1">
                  <c:v>Small</c:v>
                </c:pt>
                <c:pt idx="2">
                  <c:v>Medium</c:v>
                </c:pt>
                <c:pt idx="3">
                  <c:v>Large</c:v>
                </c:pt>
                <c:pt idx="4">
                  <c:v>Total</c:v>
                </c:pt>
              </c:strCache>
            </c:strRef>
          </c:cat>
          <c:val>
            <c:numRef>
              <c:f>'Q6'!$B$18:$F$18</c:f>
              <c:numCache>
                <c:formatCode>General</c:formatCode>
                <c:ptCount val="5"/>
                <c:pt idx="0">
                  <c:v>91.6666666666667</c:v>
                </c:pt>
                <c:pt idx="1">
                  <c:v>77.7777777777778</c:v>
                </c:pt>
                <c:pt idx="2">
                  <c:v>75</c:v>
                </c:pt>
                <c:pt idx="3">
                  <c:v>47.058823529411796</c:v>
                </c:pt>
                <c:pt idx="4">
                  <c:v>69.565217391304301</c:v>
                </c:pt>
              </c:numCache>
            </c:numRef>
          </c:val>
          <c:extLst>
            <c:ext xmlns:c16="http://schemas.microsoft.com/office/drawing/2014/chart" uri="{C3380CC4-5D6E-409C-BE32-E72D297353CC}">
              <c16:uniqueId val="{00000002-864E-4A51-9CA0-668FC82B7B13}"/>
            </c:ext>
          </c:extLst>
        </c:ser>
        <c:dLbls>
          <c:showLegendKey val="0"/>
          <c:showVal val="0"/>
          <c:showCatName val="0"/>
          <c:showSerName val="0"/>
          <c:showPercent val="0"/>
          <c:showBubbleSize val="0"/>
        </c:dLbls>
        <c:gapWidth val="50"/>
        <c:overlap val="100"/>
        <c:axId val="943387952"/>
        <c:axId val="943389872"/>
      </c:barChart>
      <c:catAx>
        <c:axId val="943387952"/>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9872"/>
        <c:crosses val="autoZero"/>
        <c:auto val="1"/>
        <c:lblAlgn val="ctr"/>
        <c:lblOffset val="100"/>
        <c:noMultiLvlLbl val="0"/>
      </c:catAx>
      <c:valAx>
        <c:axId val="943389872"/>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7952"/>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13657"/>
            </a:solidFill>
            <a:ln>
              <a:solidFill>
                <a:schemeClr val="accent1"/>
              </a:solidFill>
            </a:ln>
            <a:effectLst/>
          </c:spPr>
          <c:invertIfNegative val="0"/>
          <c:dLbls>
            <c:dLbl>
              <c:idx val="0"/>
              <c:layout>
                <c:manualLayout>
                  <c:x val="2.7777777777777267E-3"/>
                  <c:y val="0"/>
                </c:manualLayout>
              </c:layout>
              <c:tx>
                <c:rich>
                  <a:bodyPr/>
                  <a:lstStyle/>
                  <a:p>
                    <a:fld id="{0D228FE9-C2F8-4D98-9704-6F7056ED7077}" type="VALUE">
                      <a:rPr lang="en-US"/>
                      <a:pPr/>
                      <a:t>[VALUE]</a:t>
                    </a:fld>
                    <a:r>
                      <a:rPr lang="en-US"/>
                      <a:t> units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681-4654-A5DB-B7F18188FB4D}"/>
                </c:ext>
              </c:extLst>
            </c:dLbl>
            <c:dLbl>
              <c:idx val="1"/>
              <c:layout>
                <c:manualLayout>
                  <c:x val="-1.0185067526415994E-16"/>
                  <c:y val="0"/>
                </c:manualLayout>
              </c:layout>
              <c:tx>
                <c:rich>
                  <a:bodyPr/>
                  <a:lstStyle/>
                  <a:p>
                    <a:fld id="{9D6B4105-1757-4A65-A864-37B9DC9B2AD7}" type="VALUE">
                      <a:rPr lang="en-US"/>
                      <a:pPr/>
                      <a:t>[VALUE]</a:t>
                    </a:fld>
                    <a:r>
                      <a:rPr lang="en-US"/>
                      <a:t> units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681-4654-A5DB-B7F18188FB4D}"/>
                </c:ext>
              </c:extLst>
            </c:dLbl>
            <c:dLbl>
              <c:idx val="2"/>
              <c:layout>
                <c:manualLayout>
                  <c:x val="-1.0185067526415994E-16"/>
                  <c:y val="-4.6296296296296294E-3"/>
                </c:manualLayout>
              </c:layout>
              <c:tx>
                <c:rich>
                  <a:bodyPr/>
                  <a:lstStyle/>
                  <a:p>
                    <a:fld id="{7C65E5C2-98A3-4620-A795-3937B545E7D9}" type="VALUE">
                      <a:rPr lang="en-US"/>
                      <a:pPr/>
                      <a:t>[VALUE]</a:t>
                    </a:fld>
                    <a:r>
                      <a:rPr lang="en-US"/>
                      <a:t> units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681-4654-A5DB-B7F18188FB4D}"/>
                </c:ext>
              </c:extLst>
            </c:dLbl>
            <c:dLbl>
              <c:idx val="3"/>
              <c:layout>
                <c:manualLayout>
                  <c:x val="2.5693350831145086E-3"/>
                  <c:y val="-4.6296296296296294E-3"/>
                </c:manualLayout>
              </c:layout>
              <c:tx>
                <c:rich>
                  <a:bodyPr/>
                  <a:lstStyle/>
                  <a:p>
                    <a:fld id="{B42F83EC-E963-41D3-8834-173B3D993236}" type="VALUE">
                      <a:rPr lang="en-US"/>
                      <a:pPr/>
                      <a:t>[VALUE]</a:t>
                    </a:fld>
                    <a:r>
                      <a:rPr lang="en-US"/>
                      <a:t> units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681-4654-A5DB-B7F18188FB4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'Q6.3'!$H$31:$H$34</c:f>
              <c:strCache>
                <c:ptCount val="4"/>
                <c:pt idx="0">
                  <c:v>13+ ASL</c:v>
                </c:pt>
                <c:pt idx="1">
                  <c:v>10-12 ASL</c:v>
                </c:pt>
                <c:pt idx="2">
                  <c:v>4-9 ASL</c:v>
                </c:pt>
                <c:pt idx="3">
                  <c:v>3 or less ASL</c:v>
                </c:pt>
              </c:strCache>
            </c:strRef>
          </c:cat>
          <c:val>
            <c:numRef>
              <c:f>'Q6.3'!$I$31:$I$34</c:f>
              <c:numCache>
                <c:formatCode>General</c:formatCode>
                <c:ptCount val="4"/>
                <c:pt idx="0">
                  <c:v>4</c:v>
                </c:pt>
                <c:pt idx="1">
                  <c:v>7</c:v>
                </c:pt>
                <c:pt idx="2">
                  <c:v>7</c:v>
                </c:pt>
                <c:pt idx="3">
                  <c:v>9</c:v>
                </c:pt>
              </c:numCache>
            </c:numRef>
          </c:val>
          <c:extLst>
            <c:ext xmlns:c16="http://schemas.microsoft.com/office/drawing/2014/chart" uri="{C3380CC4-5D6E-409C-BE32-E72D297353CC}">
              <c16:uniqueId val="{00000004-9681-4654-A5DB-B7F18188FB4D}"/>
            </c:ext>
          </c:extLst>
        </c:ser>
        <c:ser>
          <c:idx val="1"/>
          <c:order val="1"/>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'Q6.3'!$H$31:$H$34</c:f>
              <c:strCache>
                <c:ptCount val="4"/>
                <c:pt idx="0">
                  <c:v>13+ ASL</c:v>
                </c:pt>
                <c:pt idx="1">
                  <c:v>10-12 ASL</c:v>
                </c:pt>
                <c:pt idx="2">
                  <c:v>4-9 ASL</c:v>
                </c:pt>
                <c:pt idx="3">
                  <c:v>3 or less ASL</c:v>
                </c:pt>
              </c:strCache>
            </c:strRef>
          </c:cat>
          <c:val>
            <c:numRef>
              <c:f>'Q6.3'!$I$31:$I$34</c:f>
              <c:numCache>
                <c:formatCode>General</c:formatCode>
                <c:ptCount val="4"/>
                <c:pt idx="0">
                  <c:v>4</c:v>
                </c:pt>
                <c:pt idx="1">
                  <c:v>7</c:v>
                </c:pt>
                <c:pt idx="2">
                  <c:v>7</c:v>
                </c:pt>
                <c:pt idx="3">
                  <c:v>9</c:v>
                </c:pt>
              </c:numCache>
            </c:numRef>
          </c:val>
          <c:extLst>
            <c:ext xmlns:c16="http://schemas.microsoft.com/office/drawing/2014/chart" uri="{C3380CC4-5D6E-409C-BE32-E72D297353CC}">
              <c16:uniqueId val="{00000005-9681-4654-A5DB-B7F18188FB4D}"/>
            </c:ext>
          </c:extLst>
        </c:ser>
        <c:dLbls>
          <c:showLegendKey val="0"/>
          <c:showVal val="0"/>
          <c:showCatName val="0"/>
          <c:showSerName val="0"/>
          <c:showPercent val="0"/>
          <c:showBubbleSize val="0"/>
        </c:dLbls>
        <c:gapWidth val="50"/>
        <c:overlap val="100"/>
        <c:axId val="1364658655"/>
        <c:axId val="1364669695"/>
      </c:barChart>
      <c:catAx>
        <c:axId val="1364658655"/>
        <c:scaling>
          <c:orientation val="minMax"/>
        </c:scaling>
        <c:delete val="1"/>
        <c:axPos val="l"/>
        <c:numFmt formatCode="General" sourceLinked="1"/>
        <c:majorTickMark val="none"/>
        <c:minorTickMark val="none"/>
        <c:tickLblPos val="nextTo"/>
        <c:crossAx val="1364669695"/>
        <c:crosses val="autoZero"/>
        <c:auto val="1"/>
        <c:lblAlgn val="ctr"/>
        <c:lblOffset val="100"/>
        <c:noMultiLvlLbl val="0"/>
      </c:catAx>
      <c:valAx>
        <c:axId val="1364669695"/>
        <c:scaling>
          <c:orientation val="minMax"/>
        </c:scaling>
        <c:delete val="1"/>
        <c:axPos val="b"/>
        <c:numFmt formatCode="General" sourceLinked="1"/>
        <c:majorTickMark val="none"/>
        <c:minorTickMark val="none"/>
        <c:tickLblPos val="nextTo"/>
        <c:crossAx val="1364658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1"/>
          <c:order val="0"/>
          <c:tx>
            <c:strRef>
              <c:f>'Q6.4'!$A$16</c:f>
              <c:strCache>
                <c:ptCount val="1"/>
                <c:pt idx="0">
                  <c:v>Increase</c:v>
                </c:pt>
              </c:strCache>
            </c:strRef>
          </c:tx>
          <c:spPr>
            <a:solidFill>
              <a:srgbClr val="02843D"/>
            </a:solidFill>
            <a:ln>
              <a:noFill/>
            </a:ln>
            <a:effectLst/>
          </c:spPr>
          <c:invertIfNegative val="0"/>
          <c:dLbls>
            <c:delete val="1"/>
          </c:dLbls>
          <c:cat>
            <c:strRef>
              <c:f>'Q6.4'!$B$14:$F$14</c:f>
              <c:strCache>
                <c:ptCount val="5"/>
                <c:pt idx="0">
                  <c:v>Micro</c:v>
                </c:pt>
                <c:pt idx="1">
                  <c:v>Small</c:v>
                </c:pt>
                <c:pt idx="2">
                  <c:v>Medium</c:v>
                </c:pt>
                <c:pt idx="3">
                  <c:v>Large</c:v>
                </c:pt>
                <c:pt idx="4">
                  <c:v>Total</c:v>
                </c:pt>
              </c:strCache>
            </c:strRef>
          </c:cat>
          <c:val>
            <c:numRef>
              <c:f>'Q6.4'!$B$16:$F$16</c:f>
              <c:numCache>
                <c:formatCode>0.00%</c:formatCode>
                <c:ptCount val="5"/>
                <c:pt idx="0">
                  <c:v>0</c:v>
                </c:pt>
                <c:pt idx="1">
                  <c:v>0.5</c:v>
                </c:pt>
                <c:pt idx="2">
                  <c:v>0.25</c:v>
                </c:pt>
                <c:pt idx="3">
                  <c:v>0.5</c:v>
                </c:pt>
                <c:pt idx="4">
                  <c:v>0.42857142857142899</c:v>
                </c:pt>
              </c:numCache>
            </c:numRef>
          </c:val>
          <c:extLst>
            <c:ext xmlns:c16="http://schemas.microsoft.com/office/drawing/2014/chart" uri="{C3380CC4-5D6E-409C-BE32-E72D297353CC}">
              <c16:uniqueId val="{00000000-B7FE-4764-ABAF-21466A339291}"/>
            </c:ext>
          </c:extLst>
        </c:ser>
        <c:ser>
          <c:idx val="2"/>
          <c:order val="1"/>
          <c:tx>
            <c:strRef>
              <c:f>'Q6.4'!$A$17</c:f>
              <c:strCache>
                <c:ptCount val="1"/>
                <c:pt idx="0">
                  <c:v>No change</c:v>
                </c:pt>
              </c:strCache>
            </c:strRef>
          </c:tx>
          <c:spPr>
            <a:solidFill>
              <a:srgbClr val="B65716"/>
            </a:solidFill>
            <a:ln>
              <a:noFill/>
            </a:ln>
            <a:effectLst/>
          </c:spPr>
          <c:invertIfNegative val="0"/>
          <c:dLbls>
            <c:delete val="1"/>
          </c:dLbls>
          <c:cat>
            <c:strRef>
              <c:f>'Q6.4'!$B$14:$F$14</c:f>
              <c:strCache>
                <c:ptCount val="5"/>
                <c:pt idx="0">
                  <c:v>Micro</c:v>
                </c:pt>
                <c:pt idx="1">
                  <c:v>Small</c:v>
                </c:pt>
                <c:pt idx="2">
                  <c:v>Medium</c:v>
                </c:pt>
                <c:pt idx="3">
                  <c:v>Large</c:v>
                </c:pt>
                <c:pt idx="4">
                  <c:v>Total</c:v>
                </c:pt>
              </c:strCache>
            </c:strRef>
          </c:cat>
          <c:val>
            <c:numRef>
              <c:f>'Q6.4'!$B$17:$F$17</c:f>
              <c:numCache>
                <c:formatCode>0.00%</c:formatCode>
                <c:ptCount val="5"/>
                <c:pt idx="0">
                  <c:v>1</c:v>
                </c:pt>
                <c:pt idx="1">
                  <c:v>0.5</c:v>
                </c:pt>
                <c:pt idx="2">
                  <c:v>0.75</c:v>
                </c:pt>
                <c:pt idx="3">
                  <c:v>0.44444444444444398</c:v>
                </c:pt>
                <c:pt idx="4">
                  <c:v>0.53571428571428603</c:v>
                </c:pt>
              </c:numCache>
            </c:numRef>
          </c:val>
          <c:extLst>
            <c:ext xmlns:c16="http://schemas.microsoft.com/office/drawing/2014/chart" uri="{C3380CC4-5D6E-409C-BE32-E72D297353CC}">
              <c16:uniqueId val="{00000001-B7FE-4764-ABAF-21466A339291}"/>
            </c:ext>
          </c:extLst>
        </c:ser>
        <c:ser>
          <c:idx val="0"/>
          <c:order val="2"/>
          <c:tx>
            <c:strRef>
              <c:f>'Q6.4'!$A$15</c:f>
              <c:strCache>
                <c:ptCount val="1"/>
                <c:pt idx="0">
                  <c:v>Decrease</c:v>
                </c:pt>
              </c:strCache>
            </c:strRef>
          </c:tx>
          <c:spPr>
            <a:solidFill>
              <a:srgbClr val="213657"/>
            </a:solidFill>
            <a:ln>
              <a:noFill/>
            </a:ln>
            <a:effectLst/>
          </c:spPr>
          <c:invertIfNegative val="0"/>
          <c:dLbls>
            <c:delete val="1"/>
          </c:dLbls>
          <c:cat>
            <c:strRef>
              <c:f>'Q6.4'!$B$14:$F$14</c:f>
              <c:strCache>
                <c:ptCount val="5"/>
                <c:pt idx="0">
                  <c:v>Micro</c:v>
                </c:pt>
                <c:pt idx="1">
                  <c:v>Small</c:v>
                </c:pt>
                <c:pt idx="2">
                  <c:v>Medium</c:v>
                </c:pt>
                <c:pt idx="3">
                  <c:v>Large</c:v>
                </c:pt>
                <c:pt idx="4">
                  <c:v>Total</c:v>
                </c:pt>
              </c:strCache>
            </c:strRef>
          </c:cat>
          <c:val>
            <c:numRef>
              <c:f>'Q6.4'!$B$15:$F$15</c:f>
              <c:numCache>
                <c:formatCode>0.00%</c:formatCode>
                <c:ptCount val="5"/>
                <c:pt idx="0">
                  <c:v>0</c:v>
                </c:pt>
                <c:pt idx="1">
                  <c:v>0</c:v>
                </c:pt>
                <c:pt idx="2">
                  <c:v>0</c:v>
                </c:pt>
                <c:pt idx="3">
                  <c:v>5.5555555555555601E-2</c:v>
                </c:pt>
                <c:pt idx="4">
                  <c:v>3.5714285714285698E-2</c:v>
                </c:pt>
              </c:numCache>
            </c:numRef>
          </c:val>
          <c:extLst>
            <c:ext xmlns:c16="http://schemas.microsoft.com/office/drawing/2014/chart" uri="{C3380CC4-5D6E-409C-BE32-E72D297353CC}">
              <c16:uniqueId val="{00000002-B7FE-4764-ABAF-21466A339291}"/>
            </c:ext>
          </c:extLst>
        </c:ser>
        <c:dLbls>
          <c:dLblPos val="ctr"/>
          <c:showLegendKey val="0"/>
          <c:showVal val="1"/>
          <c:showCatName val="0"/>
          <c:showSerName val="0"/>
          <c:showPercent val="0"/>
          <c:showBubbleSize val="0"/>
        </c:dLbls>
        <c:gapWidth val="50"/>
        <c:overlap val="100"/>
        <c:axId val="943387952"/>
        <c:axId val="943389872"/>
      </c:barChart>
      <c:catAx>
        <c:axId val="943387952"/>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9872"/>
        <c:crosses val="autoZero"/>
        <c:auto val="1"/>
        <c:lblAlgn val="ctr"/>
        <c:lblOffset val="100"/>
        <c:noMultiLvlLbl val="0"/>
      </c:catAx>
      <c:valAx>
        <c:axId val="943389872"/>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7952"/>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792722144467355"/>
          <c:y val="4.6977402356127754E-2"/>
          <c:w val="0.58037649974892891"/>
          <c:h val="0.85599249928378596"/>
        </c:manualLayout>
      </c:layout>
      <c:barChart>
        <c:barDir val="bar"/>
        <c:grouping val="clustered"/>
        <c:varyColors val="0"/>
        <c:ser>
          <c:idx val="1"/>
          <c:order val="0"/>
          <c:tx>
            <c:strRef>
              <c:f>'Q32'!$E$17</c:f>
              <c:strCache>
                <c:ptCount val="1"/>
                <c:pt idx="0">
                  <c:v>Total</c:v>
                </c:pt>
              </c:strCache>
            </c:strRef>
          </c:tx>
          <c:spPr>
            <a:solidFill>
              <a:srgbClr val="213657"/>
            </a:solidFill>
            <a:ln>
              <a:noFill/>
            </a:ln>
            <a:effectLst/>
          </c:spPr>
          <c:invertIfNegative val="0"/>
          <c:cat>
            <c:strRef>
              <c:f>'Q6.5'!$K$2:$K$6</c:f>
              <c:strCache>
                <c:ptCount val="5"/>
                <c:pt idx="0">
                  <c:v>Evidence synthesis and translation</c:v>
                </c:pt>
                <c:pt idx="1">
                  <c:v>Commissioning</c:v>
                </c:pt>
                <c:pt idx="2">
                  <c:v>Delivery</c:v>
                </c:pt>
                <c:pt idx="3">
                  <c:v>Capability building</c:v>
                </c:pt>
                <c:pt idx="4">
                  <c:v>Advisory and support</c:v>
                </c:pt>
              </c:strCache>
            </c:strRef>
          </c:cat>
          <c:val>
            <c:numRef>
              <c:f>'Q6.5'!$M$2:$M$6</c:f>
              <c:numCache>
                <c:formatCode>0.00%</c:formatCode>
                <c:ptCount val="5"/>
                <c:pt idx="0">
                  <c:v>0.64285714285714302</c:v>
                </c:pt>
                <c:pt idx="1">
                  <c:v>0.71428571428571397</c:v>
                </c:pt>
                <c:pt idx="2">
                  <c:v>0.76923076923076905</c:v>
                </c:pt>
                <c:pt idx="3">
                  <c:v>0.82142857142857095</c:v>
                </c:pt>
                <c:pt idx="4">
                  <c:v>0.89285714285714302</c:v>
                </c:pt>
              </c:numCache>
            </c:numRef>
          </c:val>
          <c:extLst>
            <c:ext xmlns:c16="http://schemas.microsoft.com/office/drawing/2014/chart" uri="{C3380CC4-5D6E-409C-BE32-E72D297353CC}">
              <c16:uniqueId val="{00000000-8DA8-4618-9A79-26F3C3B69CD9}"/>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tickMarkSkip val="1"/>
        <c:noMultiLvlLbl val="0"/>
      </c:catAx>
      <c:valAx>
        <c:axId val="1323234863"/>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605497921986348"/>
          <c:y val="4.6977402356127754E-2"/>
          <c:w val="0.56224874197373909"/>
          <c:h val="0.84717221262446951"/>
        </c:manualLayout>
      </c:layout>
      <c:barChart>
        <c:barDir val="bar"/>
        <c:grouping val="clustered"/>
        <c:varyColors val="0"/>
        <c:ser>
          <c:idx val="1"/>
          <c:order val="0"/>
          <c:tx>
            <c:strRef>
              <c:f>'Q6.6'!$H$17</c:f>
              <c:strCache>
                <c:ptCount val="1"/>
              </c:strCache>
            </c:strRef>
          </c:tx>
          <c:spPr>
            <a:solidFill>
              <a:srgbClr val="213657"/>
            </a:solidFill>
            <a:ln>
              <a:noFill/>
            </a:ln>
            <a:effectLst/>
          </c:spPr>
          <c:invertIfNegative val="0"/>
          <c:cat>
            <c:strRef>
              <c:f>'Q6.6'!$H$2:$H$13</c:f>
              <c:strCache>
                <c:ptCount val="12"/>
                <c:pt idx="0">
                  <c:v>Ethics review</c:v>
                </c:pt>
                <c:pt idx="1">
                  <c:v>Knowledge management</c:v>
                </c:pt>
                <c:pt idx="2">
                  <c:v>Evaluation appraisal and synthesis</c:v>
                </c:pt>
                <c:pt idx="3">
                  <c:v>Evaluation scoping and costing</c:v>
                </c:pt>
                <c:pt idx="4">
                  <c:v>Reporting and knowledge translation</c:v>
                </c:pt>
                <c:pt idx="5">
                  <c:v>Procurement support</c:v>
                </c:pt>
                <c:pt idx="6">
                  <c:v>Capability Building</c:v>
                </c:pt>
                <c:pt idx="7">
                  <c:v>Data analysis and synthesis</c:v>
                </c:pt>
                <c:pt idx="8">
                  <c:v>Data collection support</c:v>
                </c:pt>
                <c:pt idx="9">
                  <c:v>Program logic and theory of change</c:v>
                </c:pt>
                <c:pt idx="10">
                  <c:v>Evaluation planning and design</c:v>
                </c:pt>
                <c:pt idx="11">
                  <c:v>Monitoring support</c:v>
                </c:pt>
              </c:strCache>
            </c:strRef>
          </c:cat>
          <c:val>
            <c:numRef>
              <c:f>'Q6.6'!$J$2:$J$13</c:f>
              <c:numCache>
                <c:formatCode>0.00%</c:formatCode>
                <c:ptCount val="12"/>
                <c:pt idx="0">
                  <c:v>0.42857142857142899</c:v>
                </c:pt>
                <c:pt idx="1">
                  <c:v>0.42857142857142899</c:v>
                </c:pt>
                <c:pt idx="2">
                  <c:v>0.60714285714285698</c:v>
                </c:pt>
                <c:pt idx="3">
                  <c:v>0.64285714285714302</c:v>
                </c:pt>
                <c:pt idx="4">
                  <c:v>0.71428571428571397</c:v>
                </c:pt>
                <c:pt idx="5" formatCode="0%">
                  <c:v>0.75</c:v>
                </c:pt>
                <c:pt idx="6">
                  <c:v>0.78571428571428603</c:v>
                </c:pt>
                <c:pt idx="7">
                  <c:v>0.78571428571428603</c:v>
                </c:pt>
                <c:pt idx="8">
                  <c:v>0.78571428571428603</c:v>
                </c:pt>
                <c:pt idx="9">
                  <c:v>0.82142857142857095</c:v>
                </c:pt>
                <c:pt idx="10">
                  <c:v>0.85714285714285698</c:v>
                </c:pt>
                <c:pt idx="11">
                  <c:v>0.85714285714285698</c:v>
                </c:pt>
              </c:numCache>
            </c:numRef>
          </c:val>
          <c:extLst>
            <c:ext xmlns:c16="http://schemas.microsoft.com/office/drawing/2014/chart" uri="{C3380CC4-5D6E-409C-BE32-E72D297353CC}">
              <c16:uniqueId val="{00000000-096F-4D8A-ACF8-0A7920906AC3}"/>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noMultiLvlLbl val="0"/>
      </c:catAx>
      <c:valAx>
        <c:axId val="1323234863"/>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2"/>
          <c:order val="0"/>
          <c:tx>
            <c:strRef>
              <c:f>'Q6.7'!$A$20</c:f>
              <c:strCache>
                <c:ptCount val="1"/>
                <c:pt idx="0">
                  <c:v>Planned</c:v>
                </c:pt>
              </c:strCache>
            </c:strRef>
          </c:tx>
          <c:spPr>
            <a:solidFill>
              <a:srgbClr val="02843D"/>
            </a:solidFill>
            <a:ln w="25400">
              <a:noFill/>
            </a:ln>
            <a:effectLst/>
          </c:spPr>
          <c:invertIfNegative val="0"/>
          <c:cat>
            <c:strRef>
              <c:f>'Q6.7'!$B$17:$F$17</c:f>
              <c:strCache>
                <c:ptCount val="5"/>
                <c:pt idx="0">
                  <c:v>Micro</c:v>
                </c:pt>
                <c:pt idx="1">
                  <c:v>Small</c:v>
                </c:pt>
                <c:pt idx="2">
                  <c:v>Medium</c:v>
                </c:pt>
                <c:pt idx="3">
                  <c:v>Large</c:v>
                </c:pt>
                <c:pt idx="4">
                  <c:v>Total</c:v>
                </c:pt>
              </c:strCache>
            </c:strRef>
          </c:cat>
          <c:val>
            <c:numRef>
              <c:f>'Q6.7'!$B$20:$F$20</c:f>
              <c:numCache>
                <c:formatCode>0.00%</c:formatCode>
                <c:ptCount val="5"/>
                <c:pt idx="0">
                  <c:v>4.5454545454545504E-2</c:v>
                </c:pt>
                <c:pt idx="1">
                  <c:v>7.1428571428571397E-2</c:v>
                </c:pt>
                <c:pt idx="2" formatCode="General">
                  <c:v>0</c:v>
                </c:pt>
                <c:pt idx="3">
                  <c:v>0.3125</c:v>
                </c:pt>
                <c:pt idx="4">
                  <c:v>0.109375</c:v>
                </c:pt>
              </c:numCache>
            </c:numRef>
          </c:val>
          <c:extLst>
            <c:ext xmlns:c16="http://schemas.microsoft.com/office/drawing/2014/chart" uri="{C3380CC4-5D6E-409C-BE32-E72D297353CC}">
              <c16:uniqueId val="{00000000-208B-49A2-8946-5D939E32C689}"/>
            </c:ext>
          </c:extLst>
        </c:ser>
        <c:ser>
          <c:idx val="0"/>
          <c:order val="1"/>
          <c:tx>
            <c:strRef>
              <c:f>'Q6.7'!$A$18</c:f>
              <c:strCache>
                <c:ptCount val="1"/>
                <c:pt idx="0">
                  <c:v>Alternative arrangements</c:v>
                </c:pt>
              </c:strCache>
            </c:strRef>
          </c:tx>
          <c:spPr>
            <a:solidFill>
              <a:srgbClr val="B65716"/>
            </a:solidFill>
            <a:ln>
              <a:noFill/>
            </a:ln>
            <a:effectLst/>
          </c:spPr>
          <c:invertIfNegative val="0"/>
          <c:cat>
            <c:strRef>
              <c:f>'Q6.7'!$B$17:$F$17</c:f>
              <c:strCache>
                <c:ptCount val="5"/>
                <c:pt idx="0">
                  <c:v>Micro</c:v>
                </c:pt>
                <c:pt idx="1">
                  <c:v>Small</c:v>
                </c:pt>
                <c:pt idx="2">
                  <c:v>Medium</c:v>
                </c:pt>
                <c:pt idx="3">
                  <c:v>Large</c:v>
                </c:pt>
                <c:pt idx="4">
                  <c:v>Total</c:v>
                </c:pt>
              </c:strCache>
            </c:strRef>
          </c:cat>
          <c:val>
            <c:numRef>
              <c:f>'Q6.7'!$B$18:$F$18</c:f>
              <c:numCache>
                <c:formatCode>0.00%</c:formatCode>
                <c:ptCount val="5"/>
                <c:pt idx="0">
                  <c:v>4.5454545454545504E-2</c:v>
                </c:pt>
                <c:pt idx="1">
                  <c:v>7.1428571428571397E-2</c:v>
                </c:pt>
                <c:pt idx="2">
                  <c:v>0.16666666666666699</c:v>
                </c:pt>
                <c:pt idx="3">
                  <c:v>0.1875</c:v>
                </c:pt>
                <c:pt idx="4">
                  <c:v>0.109375</c:v>
                </c:pt>
              </c:numCache>
            </c:numRef>
          </c:val>
          <c:extLst>
            <c:ext xmlns:c16="http://schemas.microsoft.com/office/drawing/2014/chart" uri="{C3380CC4-5D6E-409C-BE32-E72D297353CC}">
              <c16:uniqueId val="{00000001-208B-49A2-8946-5D939E32C689}"/>
            </c:ext>
          </c:extLst>
        </c:ser>
        <c:ser>
          <c:idx val="1"/>
          <c:order val="2"/>
          <c:tx>
            <c:strRef>
              <c:f>'Q6.7'!$A$19</c:f>
              <c:strCache>
                <c:ptCount val="1"/>
                <c:pt idx="0">
                  <c:v>No plans</c:v>
                </c:pt>
              </c:strCache>
            </c:strRef>
          </c:tx>
          <c:spPr>
            <a:solidFill>
              <a:srgbClr val="213657"/>
            </a:solidFill>
            <a:ln>
              <a:noFill/>
            </a:ln>
            <a:effectLst/>
          </c:spPr>
          <c:invertIfNegative val="0"/>
          <c:cat>
            <c:strRef>
              <c:f>'Q6.7'!$B$17:$F$17</c:f>
              <c:strCache>
                <c:ptCount val="5"/>
                <c:pt idx="0">
                  <c:v>Micro</c:v>
                </c:pt>
                <c:pt idx="1">
                  <c:v>Small</c:v>
                </c:pt>
                <c:pt idx="2">
                  <c:v>Medium</c:v>
                </c:pt>
                <c:pt idx="3">
                  <c:v>Large</c:v>
                </c:pt>
                <c:pt idx="4">
                  <c:v>Total</c:v>
                </c:pt>
              </c:strCache>
            </c:strRef>
          </c:cat>
          <c:val>
            <c:numRef>
              <c:f>'Q6.7'!$B$19:$F$19</c:f>
              <c:numCache>
                <c:formatCode>0.00%</c:formatCode>
                <c:ptCount val="5"/>
                <c:pt idx="0">
                  <c:v>0.90909090909090906</c:v>
                </c:pt>
                <c:pt idx="1">
                  <c:v>0.85714285714285698</c:v>
                </c:pt>
                <c:pt idx="2">
                  <c:v>0.83333333333333304</c:v>
                </c:pt>
                <c:pt idx="3">
                  <c:v>0.5</c:v>
                </c:pt>
                <c:pt idx="4">
                  <c:v>0.78125</c:v>
                </c:pt>
              </c:numCache>
            </c:numRef>
          </c:val>
          <c:extLst>
            <c:ext xmlns:c16="http://schemas.microsoft.com/office/drawing/2014/chart" uri="{C3380CC4-5D6E-409C-BE32-E72D297353CC}">
              <c16:uniqueId val="{00000002-208B-49A2-8946-5D939E32C689}"/>
            </c:ext>
          </c:extLst>
        </c:ser>
        <c:dLbls>
          <c:showLegendKey val="0"/>
          <c:showVal val="0"/>
          <c:showCatName val="0"/>
          <c:showSerName val="0"/>
          <c:showPercent val="0"/>
          <c:showBubbleSize val="0"/>
        </c:dLbls>
        <c:gapWidth val="50"/>
        <c:overlap val="100"/>
        <c:axId val="943387952"/>
        <c:axId val="943389872"/>
      </c:barChart>
      <c:catAx>
        <c:axId val="943387952"/>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9872"/>
        <c:crosses val="autoZero"/>
        <c:auto val="1"/>
        <c:lblAlgn val="ctr"/>
        <c:lblOffset val="100"/>
        <c:noMultiLvlLbl val="0"/>
      </c:catAx>
      <c:valAx>
        <c:axId val="943389872"/>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7952"/>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layout>
        <c:manualLayout>
          <c:xMode val="edge"/>
          <c:yMode val="edge"/>
          <c:x val="0.21595128205128206"/>
          <c:y val="0.92792048611111111"/>
          <c:w val="0.56809743589743589"/>
          <c:h val="6.5464930555555551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04987232769579"/>
          <c:y val="4.6977402356127754E-2"/>
          <c:w val="0.48629194756354233"/>
          <c:h val="0.83835192596515296"/>
        </c:manualLayout>
      </c:layout>
      <c:barChart>
        <c:barDir val="bar"/>
        <c:grouping val="clustered"/>
        <c:varyColors val="0"/>
        <c:ser>
          <c:idx val="1"/>
          <c:order val="0"/>
          <c:tx>
            <c:strRef>
              <c:f>'Q7'!$H$2</c:f>
              <c:strCache>
                <c:ptCount val="1"/>
                <c:pt idx="0">
                  <c:v>Total</c:v>
                </c:pt>
              </c:strCache>
            </c:strRef>
          </c:tx>
          <c:spPr>
            <a:solidFill>
              <a:srgbClr val="213657"/>
            </a:solidFill>
            <a:ln>
              <a:noFill/>
            </a:ln>
            <a:effectLst/>
          </c:spPr>
          <c:invertIfNegative val="0"/>
          <c:cat>
            <c:strRef>
              <c:f>'Q7'!$I$2:$I$11</c:f>
              <c:strCache>
                <c:ptCount val="10"/>
                <c:pt idx="0">
                  <c:v>Unsure</c:v>
                </c:pt>
                <c:pt idx="1">
                  <c:v>Researcher in evaluation practice</c:v>
                </c:pt>
                <c:pt idx="2">
                  <c:v>Provide training in evaluation</c:v>
                </c:pt>
                <c:pt idx="3">
                  <c:v>Oversee evaluation teams and projects</c:v>
                </c:pt>
                <c:pt idx="4">
                  <c:v>Decision-maker who uses evaluation findings</c:v>
                </c:pt>
                <c:pt idx="5">
                  <c:v>Manage evaluation projects</c:v>
                </c:pt>
                <c:pt idx="6">
                  <c:v>Oversee programs that are evaluated</c:v>
                </c:pt>
                <c:pt idx="7">
                  <c:v>Plan or commission evaluation work</c:v>
                </c:pt>
                <c:pt idx="8">
                  <c:v>Support evaluation projects</c:v>
                </c:pt>
                <c:pt idx="9">
                  <c:v>No</c:v>
                </c:pt>
              </c:strCache>
            </c:strRef>
          </c:cat>
          <c:val>
            <c:numRef>
              <c:f>'Q7'!$K$2:$K$11</c:f>
              <c:numCache>
                <c:formatCode>0.00%</c:formatCode>
                <c:ptCount val="10"/>
                <c:pt idx="0">
                  <c:v>2.1739130434782601E-2</c:v>
                </c:pt>
                <c:pt idx="1">
                  <c:v>3.2608695652173898E-2</c:v>
                </c:pt>
                <c:pt idx="2">
                  <c:v>7.6086956521739094E-2</c:v>
                </c:pt>
                <c:pt idx="3">
                  <c:v>0.141304347826087</c:v>
                </c:pt>
                <c:pt idx="4">
                  <c:v>0.16304347826087001</c:v>
                </c:pt>
                <c:pt idx="5">
                  <c:v>0.16304347826087001</c:v>
                </c:pt>
                <c:pt idx="6">
                  <c:v>0.19565217391304299</c:v>
                </c:pt>
                <c:pt idx="7">
                  <c:v>0.19565217391304299</c:v>
                </c:pt>
                <c:pt idx="8">
                  <c:v>0.22826086956521699</c:v>
                </c:pt>
                <c:pt idx="9">
                  <c:v>0.64130434782608703</c:v>
                </c:pt>
              </c:numCache>
            </c:numRef>
          </c:val>
          <c:extLst>
            <c:ext xmlns:c16="http://schemas.microsoft.com/office/drawing/2014/chart" uri="{C3380CC4-5D6E-409C-BE32-E72D297353CC}">
              <c16:uniqueId val="{00000000-F4A2-4220-914C-F38B910BC747}"/>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noMultiLvlLbl val="0"/>
      </c:catAx>
      <c:valAx>
        <c:axId val="1323234863"/>
        <c:scaling>
          <c:orientation val="minMax"/>
          <c:max val="0.8"/>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'Q8'!$G$24:$G$27</c:f>
              <c:strCache>
                <c:ptCount val="4"/>
                <c:pt idx="0">
                  <c:v>13+ ASL</c:v>
                </c:pt>
                <c:pt idx="1">
                  <c:v>10-12 
ASL</c:v>
                </c:pt>
                <c:pt idx="2">
                  <c:v>4-9 ASL</c:v>
                </c:pt>
                <c:pt idx="3">
                  <c:v>3 or less ASL</c:v>
                </c:pt>
              </c:strCache>
            </c:strRef>
          </c:cat>
          <c:val>
            <c:numRef>
              <c:f>'Q8'!$H$24:$H$27</c:f>
              <c:numCache>
                <c:formatCode>General</c:formatCode>
                <c:ptCount val="4"/>
                <c:pt idx="0">
                  <c:v>4</c:v>
                </c:pt>
                <c:pt idx="1">
                  <c:v>1</c:v>
                </c:pt>
                <c:pt idx="2">
                  <c:v>6</c:v>
                </c:pt>
                <c:pt idx="3">
                  <c:v>8</c:v>
                </c:pt>
              </c:numCache>
            </c:numRef>
          </c:val>
          <c:extLst>
            <c:ext xmlns:c16="http://schemas.microsoft.com/office/drawing/2014/chart" uri="{C3380CC4-5D6E-409C-BE32-E72D297353CC}">
              <c16:uniqueId val="{00000000-4EE6-40B5-B8B3-5F60568D423C}"/>
            </c:ext>
          </c:extLst>
        </c:ser>
        <c:ser>
          <c:idx val="1"/>
          <c:order val="1"/>
          <c:tx>
            <c:strRef>
              <c:f>'Q8'!$H$37</c:f>
              <c:strCache>
                <c:ptCount val="1"/>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'Q8'!$G$24:$G$27</c:f>
              <c:strCache>
                <c:ptCount val="4"/>
                <c:pt idx="0">
                  <c:v>13+ ASL</c:v>
                </c:pt>
                <c:pt idx="1">
                  <c:v>10-12 
ASL</c:v>
                </c:pt>
                <c:pt idx="2">
                  <c:v>4-9 ASL</c:v>
                </c:pt>
                <c:pt idx="3">
                  <c:v>3 or less ASL</c:v>
                </c:pt>
              </c:strCache>
            </c:strRef>
          </c:cat>
          <c:val>
            <c:numRef>
              <c:f>'Q8'!$H$24:$H$27</c:f>
              <c:numCache>
                <c:formatCode>General</c:formatCode>
                <c:ptCount val="4"/>
                <c:pt idx="0">
                  <c:v>4</c:v>
                </c:pt>
                <c:pt idx="1">
                  <c:v>1</c:v>
                </c:pt>
                <c:pt idx="2">
                  <c:v>6</c:v>
                </c:pt>
                <c:pt idx="3">
                  <c:v>8</c:v>
                </c:pt>
              </c:numCache>
            </c:numRef>
          </c:val>
          <c:extLst>
            <c:ext xmlns:c16="http://schemas.microsoft.com/office/drawing/2014/chart" uri="{C3380CC4-5D6E-409C-BE32-E72D297353CC}">
              <c16:uniqueId val="{00000001-4EE6-40B5-B8B3-5F60568D423C}"/>
            </c:ext>
          </c:extLst>
        </c:ser>
        <c:dLbls>
          <c:dLblPos val="inEnd"/>
          <c:showLegendKey val="0"/>
          <c:showVal val="1"/>
          <c:showCatName val="0"/>
          <c:showSerName val="0"/>
          <c:showPercent val="0"/>
          <c:showBubbleSize val="0"/>
        </c:dLbls>
        <c:gapWidth val="50"/>
        <c:overlap val="100"/>
        <c:axId val="1364658655"/>
        <c:axId val="1364669695"/>
      </c:barChart>
      <c:catAx>
        <c:axId val="1364658655"/>
        <c:scaling>
          <c:orientation val="minMax"/>
        </c:scaling>
        <c:delete val="1"/>
        <c:axPos val="l"/>
        <c:numFmt formatCode="General" sourceLinked="1"/>
        <c:majorTickMark val="none"/>
        <c:minorTickMark val="none"/>
        <c:tickLblPos val="nextTo"/>
        <c:crossAx val="1364669695"/>
        <c:crosses val="autoZero"/>
        <c:auto val="1"/>
        <c:lblAlgn val="ctr"/>
        <c:lblOffset val="100"/>
        <c:noMultiLvlLbl val="0"/>
      </c:catAx>
      <c:valAx>
        <c:axId val="1364669695"/>
        <c:scaling>
          <c:orientation val="minMax"/>
        </c:scaling>
        <c:delete val="1"/>
        <c:axPos val="b"/>
        <c:numFmt formatCode="General" sourceLinked="1"/>
        <c:majorTickMark val="none"/>
        <c:minorTickMark val="none"/>
        <c:tickLblPos val="nextTo"/>
        <c:crossAx val="1364658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clustered"/>
        <c:varyColors val="0"/>
        <c:ser>
          <c:idx val="0"/>
          <c:order val="0"/>
          <c:tx>
            <c:v>Total</c:v>
          </c:tx>
          <c:spPr>
            <a:solidFill>
              <a:srgbClr val="213657"/>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'Q9'!$B$3:$B$7</c:f>
              <c:strCache>
                <c:ptCount val="5"/>
                <c:pt idx="0">
                  <c:v>Internal audit</c:v>
                </c:pt>
                <c:pt idx="1">
                  <c:v>Budget prioritisation processes</c:v>
                </c:pt>
                <c:pt idx="2">
                  <c:v>Enterprise-level risk management</c:v>
                </c:pt>
                <c:pt idx="3">
                  <c:v>Program management</c:v>
                </c:pt>
                <c:pt idx="4">
                  <c:v>Corporate performance reporting</c:v>
                </c:pt>
              </c:strCache>
            </c:strRef>
          </c:cat>
          <c:val>
            <c:numRef>
              <c:f>'Q9'!$C$3:$C$7</c:f>
              <c:numCache>
                <c:formatCode>0%</c:formatCode>
                <c:ptCount val="5"/>
                <c:pt idx="0">
                  <c:v>0.44578313253012047</c:v>
                </c:pt>
                <c:pt idx="1">
                  <c:v>0.46987951807228917</c:v>
                </c:pt>
                <c:pt idx="2">
                  <c:v>0.48192771084337349</c:v>
                </c:pt>
                <c:pt idx="3">
                  <c:v>0.63855421686746983</c:v>
                </c:pt>
                <c:pt idx="4">
                  <c:v>0.75903614457831325</c:v>
                </c:pt>
              </c:numCache>
            </c:numRef>
          </c:val>
          <c:extLst>
            <c:ext xmlns:c16="http://schemas.microsoft.com/office/drawing/2014/chart" uri="{C3380CC4-5D6E-409C-BE32-E72D297353CC}">
              <c16:uniqueId val="{00000000-1ADA-4924-9DF4-D999CCE3700F}"/>
            </c:ext>
          </c:extLst>
        </c:ser>
        <c:ser>
          <c:idx val="1"/>
          <c:order val="1"/>
          <c:tx>
            <c:v>Large</c:v>
          </c:tx>
          <c:spPr>
            <a:solidFill>
              <a:srgbClr val="02843D"/>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'Q9'!$D$3:$D$7</c:f>
              <c:numCache>
                <c:formatCode>0.00%</c:formatCode>
                <c:ptCount val="5"/>
                <c:pt idx="0">
                  <c:v>0.625</c:v>
                </c:pt>
                <c:pt idx="1">
                  <c:v>0.71875</c:v>
                </c:pt>
                <c:pt idx="2">
                  <c:v>0.625</c:v>
                </c:pt>
                <c:pt idx="3">
                  <c:v>0.78125</c:v>
                </c:pt>
                <c:pt idx="4">
                  <c:v>0.875</c:v>
                </c:pt>
              </c:numCache>
            </c:numRef>
          </c:val>
          <c:extLst>
            <c:ext xmlns:c16="http://schemas.microsoft.com/office/drawing/2014/chart" uri="{C3380CC4-5D6E-409C-BE32-E72D297353CC}">
              <c16:uniqueId val="{00000001-1ADA-4924-9DF4-D999CCE3700F}"/>
            </c:ext>
          </c:extLst>
        </c:ser>
        <c:dLbls>
          <c:showLegendKey val="0"/>
          <c:showVal val="0"/>
          <c:showCatName val="0"/>
          <c:showSerName val="0"/>
          <c:showPercent val="0"/>
          <c:showBubbleSize val="0"/>
        </c:dLbls>
        <c:gapWidth val="50"/>
        <c:axId val="1318712768"/>
        <c:axId val="1319494352"/>
      </c:barChart>
      <c:catAx>
        <c:axId val="1318712768"/>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19494352"/>
        <c:crosses val="autoZero"/>
        <c:auto val="1"/>
        <c:lblAlgn val="ctr"/>
        <c:lblOffset val="100"/>
        <c:tickMarkSkip val="1"/>
        <c:noMultiLvlLbl val="0"/>
      </c:catAx>
      <c:valAx>
        <c:axId val="1319494352"/>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18712768"/>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layout>
        <c:manualLayout>
          <c:xMode val="edge"/>
          <c:yMode val="edge"/>
          <c:x val="0.4115344017094017"/>
          <c:y val="0.92792048611111111"/>
          <c:w val="0.17693098290598291"/>
          <c:h val="6.5464930555555551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1"/>
          <c:order val="0"/>
          <c:tx>
            <c:strRef>
              <c:f>'Q10'!$A$23</c:f>
              <c:strCache>
                <c:ptCount val="1"/>
                <c:pt idx="0">
                  <c:v>Yes, both</c:v>
                </c:pt>
              </c:strCache>
            </c:strRef>
          </c:tx>
          <c:spPr>
            <a:solidFill>
              <a:srgbClr val="02843D"/>
            </a:solidFill>
            <a:ln>
              <a:noFill/>
            </a:ln>
            <a:effectLst/>
          </c:spPr>
          <c:invertIfNegative val="0"/>
          <c:cat>
            <c:strRef>
              <c:f>'Q10'!$B$21:$F$21</c:f>
              <c:strCache>
                <c:ptCount val="5"/>
                <c:pt idx="0">
                  <c:v>Micro</c:v>
                </c:pt>
                <c:pt idx="1">
                  <c:v>Small</c:v>
                </c:pt>
                <c:pt idx="2">
                  <c:v>Medium</c:v>
                </c:pt>
                <c:pt idx="3">
                  <c:v>Large</c:v>
                </c:pt>
                <c:pt idx="4">
                  <c:v>Total</c:v>
                </c:pt>
              </c:strCache>
            </c:strRef>
          </c:cat>
          <c:val>
            <c:numRef>
              <c:f>'Q10'!$B$23:$F$23</c:f>
              <c:numCache>
                <c:formatCode>General</c:formatCode>
                <c:ptCount val="5"/>
                <c:pt idx="3" formatCode="0.00%">
                  <c:v>6.0606060606060601E-2</c:v>
                </c:pt>
                <c:pt idx="4" formatCode="0.00%">
                  <c:v>2.1978021978022001E-2</c:v>
                </c:pt>
              </c:numCache>
            </c:numRef>
          </c:val>
          <c:extLst>
            <c:ext xmlns:c16="http://schemas.microsoft.com/office/drawing/2014/chart" uri="{C3380CC4-5D6E-409C-BE32-E72D297353CC}">
              <c16:uniqueId val="{00000000-8D54-493F-9FCB-3159FB5C2C3D}"/>
            </c:ext>
          </c:extLst>
        </c:ser>
        <c:ser>
          <c:idx val="2"/>
          <c:order val="1"/>
          <c:tx>
            <c:strRef>
              <c:f>'Q10'!$A$24</c:f>
              <c:strCache>
                <c:ptCount val="1"/>
                <c:pt idx="0">
                  <c:v>Yes, framework</c:v>
                </c:pt>
              </c:strCache>
            </c:strRef>
          </c:tx>
          <c:spPr>
            <a:solidFill>
              <a:srgbClr val="B65716"/>
            </a:solidFill>
            <a:ln>
              <a:noFill/>
            </a:ln>
            <a:effectLst/>
          </c:spPr>
          <c:invertIfNegative val="0"/>
          <c:cat>
            <c:strRef>
              <c:f>'Q10'!$B$21:$F$21</c:f>
              <c:strCache>
                <c:ptCount val="5"/>
                <c:pt idx="0">
                  <c:v>Micro</c:v>
                </c:pt>
                <c:pt idx="1">
                  <c:v>Small</c:v>
                </c:pt>
                <c:pt idx="2">
                  <c:v>Medium</c:v>
                </c:pt>
                <c:pt idx="3">
                  <c:v>Large</c:v>
                </c:pt>
                <c:pt idx="4">
                  <c:v>Total</c:v>
                </c:pt>
              </c:strCache>
            </c:strRef>
          </c:cat>
          <c:val>
            <c:numRef>
              <c:f>'Q10'!$B$24:$F$24</c:f>
              <c:numCache>
                <c:formatCode>0.00%</c:formatCode>
                <c:ptCount val="5"/>
                <c:pt idx="0">
                  <c:v>0.20833333333333301</c:v>
                </c:pt>
                <c:pt idx="1">
                  <c:v>0.11111111111111099</c:v>
                </c:pt>
                <c:pt idx="2">
                  <c:v>0.1875</c:v>
                </c:pt>
                <c:pt idx="3">
                  <c:v>3.03030303030303E-2</c:v>
                </c:pt>
                <c:pt idx="4">
                  <c:v>0.120879120879121</c:v>
                </c:pt>
              </c:numCache>
            </c:numRef>
          </c:val>
          <c:extLst>
            <c:ext xmlns:c16="http://schemas.microsoft.com/office/drawing/2014/chart" uri="{C3380CC4-5D6E-409C-BE32-E72D297353CC}">
              <c16:uniqueId val="{00000001-8D54-493F-9FCB-3159FB5C2C3D}"/>
            </c:ext>
          </c:extLst>
        </c:ser>
        <c:ser>
          <c:idx val="3"/>
          <c:order val="2"/>
          <c:tx>
            <c:strRef>
              <c:f>'Q10'!$A$25</c:f>
              <c:strCache>
                <c:ptCount val="1"/>
                <c:pt idx="0">
                  <c:v>Yes, strategy</c:v>
                </c:pt>
              </c:strCache>
            </c:strRef>
          </c:tx>
          <c:spPr>
            <a:solidFill>
              <a:srgbClr val="0364C3"/>
            </a:solidFill>
            <a:ln>
              <a:noFill/>
            </a:ln>
            <a:effectLst/>
          </c:spPr>
          <c:invertIfNegative val="0"/>
          <c:cat>
            <c:strRef>
              <c:f>'Q10'!$B$21:$F$21</c:f>
              <c:strCache>
                <c:ptCount val="5"/>
                <c:pt idx="0">
                  <c:v>Micro</c:v>
                </c:pt>
                <c:pt idx="1">
                  <c:v>Small</c:v>
                </c:pt>
                <c:pt idx="2">
                  <c:v>Medium</c:v>
                </c:pt>
                <c:pt idx="3">
                  <c:v>Large</c:v>
                </c:pt>
                <c:pt idx="4">
                  <c:v>Total</c:v>
                </c:pt>
              </c:strCache>
            </c:strRef>
          </c:cat>
          <c:val>
            <c:numRef>
              <c:f>'Q10'!$B$25:$F$25</c:f>
              <c:numCache>
                <c:formatCode>0.00%</c:formatCode>
                <c:ptCount val="5"/>
                <c:pt idx="0">
                  <c:v>4.1666666666666699E-2</c:v>
                </c:pt>
                <c:pt idx="1">
                  <c:v>0.11111111111111099</c:v>
                </c:pt>
                <c:pt idx="2">
                  <c:v>6.25E-2</c:v>
                </c:pt>
                <c:pt idx="3">
                  <c:v>0.18181818181818199</c:v>
                </c:pt>
                <c:pt idx="4">
                  <c:v>0.10989010989011</c:v>
                </c:pt>
              </c:numCache>
            </c:numRef>
          </c:val>
          <c:extLst>
            <c:ext xmlns:c16="http://schemas.microsoft.com/office/drawing/2014/chart" uri="{C3380CC4-5D6E-409C-BE32-E72D297353CC}">
              <c16:uniqueId val="{00000002-8D54-493F-9FCB-3159FB5C2C3D}"/>
            </c:ext>
          </c:extLst>
        </c:ser>
        <c:ser>
          <c:idx val="0"/>
          <c:order val="3"/>
          <c:tx>
            <c:strRef>
              <c:f>'Q10'!$A$22</c:f>
              <c:strCache>
                <c:ptCount val="1"/>
                <c:pt idx="0">
                  <c:v>No</c:v>
                </c:pt>
              </c:strCache>
            </c:strRef>
          </c:tx>
          <c:spPr>
            <a:solidFill>
              <a:srgbClr val="213657"/>
            </a:solidFill>
            <a:ln>
              <a:noFill/>
            </a:ln>
            <a:effectLst/>
          </c:spPr>
          <c:invertIfNegative val="0"/>
          <c:cat>
            <c:strRef>
              <c:f>'Q10'!$B$21:$F$21</c:f>
              <c:strCache>
                <c:ptCount val="5"/>
                <c:pt idx="0">
                  <c:v>Micro</c:v>
                </c:pt>
                <c:pt idx="1">
                  <c:v>Small</c:v>
                </c:pt>
                <c:pt idx="2">
                  <c:v>Medium</c:v>
                </c:pt>
                <c:pt idx="3">
                  <c:v>Large</c:v>
                </c:pt>
                <c:pt idx="4">
                  <c:v>Total</c:v>
                </c:pt>
              </c:strCache>
            </c:strRef>
          </c:cat>
          <c:val>
            <c:numRef>
              <c:f>'Q10'!$B$22:$F$22</c:f>
              <c:numCache>
                <c:formatCode>0.00%</c:formatCode>
                <c:ptCount val="5"/>
                <c:pt idx="0" formatCode="0%">
                  <c:v>0.75</c:v>
                </c:pt>
                <c:pt idx="1">
                  <c:v>0.77777777777777801</c:v>
                </c:pt>
                <c:pt idx="2" formatCode="0%">
                  <c:v>0.75</c:v>
                </c:pt>
                <c:pt idx="3">
                  <c:v>0.72727272727272696</c:v>
                </c:pt>
                <c:pt idx="4">
                  <c:v>0.74725274725274704</c:v>
                </c:pt>
              </c:numCache>
            </c:numRef>
          </c:val>
          <c:extLst>
            <c:ext xmlns:c16="http://schemas.microsoft.com/office/drawing/2014/chart" uri="{C3380CC4-5D6E-409C-BE32-E72D297353CC}">
              <c16:uniqueId val="{00000003-8D54-493F-9FCB-3159FB5C2C3D}"/>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layout>
        <c:manualLayout>
          <c:xMode val="edge"/>
          <c:yMode val="edge"/>
          <c:x val="0.20939508547008548"/>
          <c:y val="0.92792048611111111"/>
          <c:w val="0.58120961538461535"/>
          <c:h val="6.5464930555555551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04728132387706E-2"/>
          <c:y val="0"/>
          <c:w val="0.94799054373522462"/>
          <c:h val="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Charts!$H$3:$H$5</c:f>
              <c:strCache>
                <c:ptCount val="3"/>
                <c:pt idx="0">
                  <c:v>Hybrid</c:v>
                </c:pt>
                <c:pt idx="1">
                  <c:v>Internal</c:v>
                </c:pt>
                <c:pt idx="2">
                  <c:v>External</c:v>
                </c:pt>
              </c:strCache>
            </c:strRef>
          </c:cat>
          <c:val>
            <c:numRef>
              <c:f>Charts!$I$3:$I$5</c:f>
              <c:numCache>
                <c:formatCode>0%</c:formatCode>
                <c:ptCount val="3"/>
                <c:pt idx="0">
                  <c:v>0.21629213483146068</c:v>
                </c:pt>
                <c:pt idx="1">
                  <c:v>0.3497191011235955</c:v>
                </c:pt>
                <c:pt idx="2">
                  <c:v>0.4339887640449438</c:v>
                </c:pt>
              </c:numCache>
            </c:numRef>
          </c:val>
          <c:extLst>
            <c:ext xmlns:c16="http://schemas.microsoft.com/office/drawing/2014/chart" uri="{C3380CC4-5D6E-409C-BE32-E72D297353CC}">
              <c16:uniqueId val="{00000000-7EDE-49E0-82E1-59434A78396C}"/>
            </c:ext>
          </c:extLst>
        </c:ser>
        <c:ser>
          <c:idx val="1"/>
          <c:order val="1"/>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Charts!$H$3:$H$5</c:f>
              <c:strCache>
                <c:ptCount val="3"/>
                <c:pt idx="0">
                  <c:v>Hybrid</c:v>
                </c:pt>
                <c:pt idx="1">
                  <c:v>Internal</c:v>
                </c:pt>
                <c:pt idx="2">
                  <c:v>External</c:v>
                </c:pt>
              </c:strCache>
            </c:strRef>
          </c:cat>
          <c:val>
            <c:numRef>
              <c:f>Charts!$I$3:$I$5</c:f>
              <c:numCache>
                <c:formatCode>0%</c:formatCode>
                <c:ptCount val="3"/>
                <c:pt idx="0">
                  <c:v>0.21629213483146068</c:v>
                </c:pt>
                <c:pt idx="1">
                  <c:v>0.3497191011235955</c:v>
                </c:pt>
                <c:pt idx="2">
                  <c:v>0.4339887640449438</c:v>
                </c:pt>
              </c:numCache>
            </c:numRef>
          </c:val>
          <c:extLst>
            <c:ext xmlns:c16="http://schemas.microsoft.com/office/drawing/2014/chart" uri="{C3380CC4-5D6E-409C-BE32-E72D297353CC}">
              <c16:uniqueId val="{00000001-7EDE-49E0-82E1-59434A78396C}"/>
            </c:ext>
          </c:extLst>
        </c:ser>
        <c:dLbls>
          <c:showLegendKey val="0"/>
          <c:showVal val="0"/>
          <c:showCatName val="0"/>
          <c:showSerName val="0"/>
          <c:showPercent val="0"/>
          <c:showBubbleSize val="0"/>
        </c:dLbls>
        <c:gapWidth val="50"/>
        <c:overlap val="100"/>
        <c:axId val="1456590271"/>
        <c:axId val="1456586911"/>
      </c:barChart>
      <c:catAx>
        <c:axId val="1456590271"/>
        <c:scaling>
          <c:orientation val="minMax"/>
        </c:scaling>
        <c:delete val="1"/>
        <c:axPos val="l"/>
        <c:numFmt formatCode="General" sourceLinked="1"/>
        <c:majorTickMark val="none"/>
        <c:minorTickMark val="none"/>
        <c:tickLblPos val="nextTo"/>
        <c:crossAx val="1456586911"/>
        <c:crosses val="autoZero"/>
        <c:auto val="1"/>
        <c:lblAlgn val="ctr"/>
        <c:lblOffset val="100"/>
        <c:noMultiLvlLbl val="0"/>
      </c:catAx>
      <c:valAx>
        <c:axId val="1456586911"/>
        <c:scaling>
          <c:orientation val="minMax"/>
        </c:scaling>
        <c:delete val="1"/>
        <c:axPos val="b"/>
        <c:numFmt formatCode="0%" sourceLinked="1"/>
        <c:majorTickMark val="none"/>
        <c:minorTickMark val="none"/>
        <c:tickLblPos val="nextTo"/>
        <c:crossAx val="1456590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98253186465666"/>
          <c:y val="4.6977402356127754E-2"/>
          <c:w val="0.60332118932894585"/>
          <c:h val="0.84276206929481112"/>
        </c:manualLayout>
      </c:layout>
      <c:barChart>
        <c:barDir val="bar"/>
        <c:grouping val="clustered"/>
        <c:varyColors val="0"/>
        <c:ser>
          <c:idx val="1"/>
          <c:order val="0"/>
          <c:tx>
            <c:strRef>
              <c:f>'Q10.1'!$G$2</c:f>
              <c:strCache>
                <c:ptCount val="1"/>
                <c:pt idx="0">
                  <c:v>Total</c:v>
                </c:pt>
              </c:strCache>
            </c:strRef>
          </c:tx>
          <c:spPr>
            <a:solidFill>
              <a:srgbClr val="213657"/>
            </a:solidFill>
            <a:ln>
              <a:noFill/>
            </a:ln>
            <a:effectLst/>
          </c:spPr>
          <c:invertIfNegative val="0"/>
          <c:cat>
            <c:strRef>
              <c:f>'Q10.1'!$H$2:$H$8</c:f>
              <c:strCache>
                <c:ptCount val="7"/>
                <c:pt idx="0">
                  <c:v>Ethics</c:v>
                </c:pt>
                <c:pt idx="1">
                  <c:v>Responses to recommendations</c:v>
                </c:pt>
                <c:pt idx="2">
                  <c:v>Dissemination</c:v>
                </c:pt>
                <c:pt idx="3">
                  <c:v>Reporting</c:v>
                </c:pt>
                <c:pt idx="4">
                  <c:v>Prioritisation</c:v>
                </c:pt>
                <c:pt idx="5">
                  <c:v>Planning</c:v>
                </c:pt>
                <c:pt idx="6">
                  <c:v>Policy cycle integration</c:v>
                </c:pt>
              </c:strCache>
            </c:strRef>
          </c:cat>
          <c:val>
            <c:numRef>
              <c:f>'Q10.1'!$J$2:$J$8</c:f>
              <c:numCache>
                <c:formatCode>0.00%</c:formatCode>
                <c:ptCount val="7"/>
                <c:pt idx="0">
                  <c:v>0.19047619047618999</c:v>
                </c:pt>
                <c:pt idx="1">
                  <c:v>0.28571428571428598</c:v>
                </c:pt>
                <c:pt idx="2">
                  <c:v>0.66666666666666696</c:v>
                </c:pt>
                <c:pt idx="3">
                  <c:v>0.66666666666666696</c:v>
                </c:pt>
                <c:pt idx="4">
                  <c:v>0.76190476190476197</c:v>
                </c:pt>
                <c:pt idx="5">
                  <c:v>0.90476190476190499</c:v>
                </c:pt>
                <c:pt idx="6">
                  <c:v>0.952380952380952</c:v>
                </c:pt>
              </c:numCache>
            </c:numRef>
          </c:val>
          <c:extLst>
            <c:ext xmlns:c16="http://schemas.microsoft.com/office/drawing/2014/chart" uri="{C3380CC4-5D6E-409C-BE32-E72D297353CC}">
              <c16:uniqueId val="{00000000-70B8-49F4-A763-E438916601C0}"/>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tickMarkSkip val="1"/>
        <c:noMultiLvlLbl val="0"/>
      </c:catAx>
      <c:valAx>
        <c:axId val="1323234863"/>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1"/>
          <c:order val="0"/>
          <c:tx>
            <c:strRef>
              <c:f>'Q10.2 &amp; 10.3'!$A$27</c:f>
              <c:strCache>
                <c:ptCount val="1"/>
                <c:pt idx="0">
                  <c:v>Planned</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'Q10.2 &amp; 10.3'!$B$25:$F$25</c:f>
              <c:strCache>
                <c:ptCount val="5"/>
                <c:pt idx="0">
                  <c:v>Micro</c:v>
                </c:pt>
                <c:pt idx="1">
                  <c:v>Small</c:v>
                </c:pt>
                <c:pt idx="2">
                  <c:v>Medium</c:v>
                </c:pt>
                <c:pt idx="3">
                  <c:v>Large</c:v>
                </c:pt>
                <c:pt idx="4">
                  <c:v>Total</c:v>
                </c:pt>
              </c:strCache>
            </c:strRef>
          </c:cat>
          <c:val>
            <c:numRef>
              <c:f>'Q10.2 &amp; 10.3'!$B$27:$F$27</c:f>
              <c:numCache>
                <c:formatCode>0.00%</c:formatCode>
                <c:ptCount val="5"/>
                <c:pt idx="0">
                  <c:v>0.16666666666666699</c:v>
                </c:pt>
                <c:pt idx="1">
                  <c:v>0.53333333333333299</c:v>
                </c:pt>
                <c:pt idx="2">
                  <c:v>0.5</c:v>
                </c:pt>
                <c:pt idx="3">
                  <c:v>0.476190476190476</c:v>
                </c:pt>
                <c:pt idx="4">
                  <c:v>0.41176470588235298</c:v>
                </c:pt>
              </c:numCache>
            </c:numRef>
          </c:val>
          <c:extLst>
            <c:ext xmlns:c16="http://schemas.microsoft.com/office/drawing/2014/chart" uri="{C3380CC4-5D6E-409C-BE32-E72D297353CC}">
              <c16:uniqueId val="{00000000-2499-471A-8986-58BB2CC00FD3}"/>
            </c:ext>
          </c:extLst>
        </c:ser>
        <c:ser>
          <c:idx val="0"/>
          <c:order val="1"/>
          <c:tx>
            <c:strRef>
              <c:f>'Q10.2 &amp; 10.3'!$A$26</c:f>
              <c:strCache>
                <c:ptCount val="1"/>
                <c:pt idx="0">
                  <c:v>No</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'Q10.2 &amp; 10.3'!$B$25:$F$25</c:f>
              <c:strCache>
                <c:ptCount val="5"/>
                <c:pt idx="0">
                  <c:v>Micro</c:v>
                </c:pt>
                <c:pt idx="1">
                  <c:v>Small</c:v>
                </c:pt>
                <c:pt idx="2">
                  <c:v>Medium</c:v>
                </c:pt>
                <c:pt idx="3">
                  <c:v>Large</c:v>
                </c:pt>
                <c:pt idx="4">
                  <c:v>Total</c:v>
                </c:pt>
              </c:strCache>
            </c:strRef>
          </c:cat>
          <c:val>
            <c:numRef>
              <c:f>'Q10.2 &amp; 10.3'!$B$26:$F$26</c:f>
              <c:numCache>
                <c:formatCode>0.00%</c:formatCode>
                <c:ptCount val="5"/>
                <c:pt idx="0">
                  <c:v>0.83333333333333304</c:v>
                </c:pt>
                <c:pt idx="1">
                  <c:v>0.46666666666666701</c:v>
                </c:pt>
                <c:pt idx="2">
                  <c:v>0.5</c:v>
                </c:pt>
                <c:pt idx="3">
                  <c:v>0.52380952380952406</c:v>
                </c:pt>
                <c:pt idx="4">
                  <c:v>0.58823529411764708</c:v>
                </c:pt>
              </c:numCache>
            </c:numRef>
          </c:val>
          <c:extLst>
            <c:ext xmlns:c16="http://schemas.microsoft.com/office/drawing/2014/chart" uri="{C3380CC4-5D6E-409C-BE32-E72D297353CC}">
              <c16:uniqueId val="{00000001-2499-471A-8986-58BB2CC00FD3}"/>
            </c:ext>
          </c:extLst>
        </c:ser>
        <c:dLbls>
          <c:dLblPos val="ctr"/>
          <c:showLegendKey val="0"/>
          <c:showVal val="1"/>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'Q10.2 &amp; 10.3'!$A$31</c:f>
              <c:strCache>
                <c:ptCount val="1"/>
                <c:pt idx="0">
                  <c:v>Planned</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'Q10.2 &amp; 10.3'!$B$29:$F$29</c:f>
              <c:strCache>
                <c:ptCount val="5"/>
                <c:pt idx="0">
                  <c:v>Micro</c:v>
                </c:pt>
                <c:pt idx="1">
                  <c:v>Small</c:v>
                </c:pt>
                <c:pt idx="2">
                  <c:v>Medium</c:v>
                </c:pt>
                <c:pt idx="3">
                  <c:v>Large</c:v>
                </c:pt>
                <c:pt idx="4">
                  <c:v>Total</c:v>
                </c:pt>
              </c:strCache>
            </c:strRef>
          </c:cat>
          <c:val>
            <c:numRef>
              <c:f>'Q10.2 &amp; 10.3'!$B$31:$F$31</c:f>
              <c:numCache>
                <c:formatCode>0.00%</c:formatCode>
                <c:ptCount val="5"/>
                <c:pt idx="0">
                  <c:v>0.16666666666666699</c:v>
                </c:pt>
                <c:pt idx="1">
                  <c:v>0.5</c:v>
                </c:pt>
                <c:pt idx="2">
                  <c:v>0.5</c:v>
                </c:pt>
                <c:pt idx="3">
                  <c:v>0.476190476190476</c:v>
                </c:pt>
                <c:pt idx="4">
                  <c:v>0.402985074626866</c:v>
                </c:pt>
              </c:numCache>
            </c:numRef>
          </c:val>
          <c:extLst>
            <c:ext xmlns:c16="http://schemas.microsoft.com/office/drawing/2014/chart" uri="{C3380CC4-5D6E-409C-BE32-E72D297353CC}">
              <c16:uniqueId val="{00000000-39B6-4154-9A27-C1E6EA5692ED}"/>
            </c:ext>
          </c:extLst>
        </c:ser>
        <c:ser>
          <c:idx val="1"/>
          <c:order val="1"/>
          <c:tx>
            <c:strRef>
              <c:f>'Q10.2 &amp; 10.3'!$A$30</c:f>
              <c:strCache>
                <c:ptCount val="1"/>
                <c:pt idx="0">
                  <c:v>No</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'Q10.2 &amp; 10.3'!$B$29:$F$29</c:f>
              <c:strCache>
                <c:ptCount val="5"/>
                <c:pt idx="0">
                  <c:v>Micro</c:v>
                </c:pt>
                <c:pt idx="1">
                  <c:v>Small</c:v>
                </c:pt>
                <c:pt idx="2">
                  <c:v>Medium</c:v>
                </c:pt>
                <c:pt idx="3">
                  <c:v>Large</c:v>
                </c:pt>
                <c:pt idx="4">
                  <c:v>Total</c:v>
                </c:pt>
              </c:strCache>
            </c:strRef>
          </c:cat>
          <c:val>
            <c:numRef>
              <c:f>'Q10.2 &amp; 10.3'!$B$30:$F$30</c:f>
              <c:numCache>
                <c:formatCode>0.00%</c:formatCode>
                <c:ptCount val="5"/>
                <c:pt idx="0">
                  <c:v>0.83333333333333304</c:v>
                </c:pt>
                <c:pt idx="1">
                  <c:v>0.5</c:v>
                </c:pt>
                <c:pt idx="2">
                  <c:v>0.5</c:v>
                </c:pt>
                <c:pt idx="3">
                  <c:v>0.52380952380952406</c:v>
                </c:pt>
                <c:pt idx="4">
                  <c:v>0.59701492537313394</c:v>
                </c:pt>
              </c:numCache>
            </c:numRef>
          </c:val>
          <c:extLst>
            <c:ext xmlns:c16="http://schemas.microsoft.com/office/drawing/2014/chart" uri="{C3380CC4-5D6E-409C-BE32-E72D297353CC}">
              <c16:uniqueId val="{00000001-39B6-4154-9A27-C1E6EA5692ED}"/>
            </c:ext>
          </c:extLst>
        </c:ser>
        <c:dLbls>
          <c:dLblPos val="ctr"/>
          <c:showLegendKey val="0"/>
          <c:showVal val="1"/>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layout>
        <c:manualLayout>
          <c:xMode val="edge"/>
          <c:yMode val="edge"/>
          <c:x val="0.40936089743589743"/>
          <c:y val="0.92792048611111111"/>
          <c:w val="0.18127820512820514"/>
          <c:h val="6.5464930555555551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97146337033517"/>
          <c:y val="4.6977402356127754E-2"/>
          <c:w val="0.67933225782326734"/>
          <c:h val="0.82953163930583651"/>
        </c:manualLayout>
      </c:layout>
      <c:barChart>
        <c:barDir val="bar"/>
        <c:grouping val="clustered"/>
        <c:varyColors val="0"/>
        <c:ser>
          <c:idx val="1"/>
          <c:order val="0"/>
          <c:tx>
            <c:strRef>
              <c:f>'Q11'!$F$2</c:f>
              <c:strCache>
                <c:ptCount val="1"/>
                <c:pt idx="0">
                  <c:v>Total</c:v>
                </c:pt>
              </c:strCache>
            </c:strRef>
          </c:tx>
          <c:spPr>
            <a:solidFill>
              <a:srgbClr val="213657"/>
            </a:solidFill>
            <a:ln>
              <a:noFill/>
            </a:ln>
            <a:effectLst/>
          </c:spPr>
          <c:invertIfNegative val="0"/>
          <c:cat>
            <c:strRef>
              <c:f>'Q11'!$G$2:$G$6</c:f>
              <c:strCache>
                <c:ptCount val="5"/>
                <c:pt idx="0">
                  <c:v>Evaluation evidence use</c:v>
                </c:pt>
                <c:pt idx="1">
                  <c:v>Management responses</c:v>
                </c:pt>
                <c:pt idx="2">
                  <c:v>Planned evaluations</c:v>
                </c:pt>
                <c:pt idx="3">
                  <c:v>Evaluations in progress</c:v>
                </c:pt>
                <c:pt idx="4">
                  <c:v>Completed evaluations</c:v>
                </c:pt>
              </c:strCache>
            </c:strRef>
          </c:cat>
          <c:val>
            <c:numRef>
              <c:f>'Q11'!$I$2:$I$6</c:f>
              <c:numCache>
                <c:formatCode>0.00%</c:formatCode>
                <c:ptCount val="5"/>
                <c:pt idx="0">
                  <c:v>0.42553191489361702</c:v>
                </c:pt>
                <c:pt idx="1">
                  <c:v>0.61702127659574502</c:v>
                </c:pt>
                <c:pt idx="2">
                  <c:v>0.70212765957446799</c:v>
                </c:pt>
                <c:pt idx="3">
                  <c:v>0.74468085106382997</c:v>
                </c:pt>
                <c:pt idx="4">
                  <c:v>0.85106382978723405</c:v>
                </c:pt>
              </c:numCache>
            </c:numRef>
          </c:val>
          <c:extLst>
            <c:ext xmlns:c16="http://schemas.microsoft.com/office/drawing/2014/chart" uri="{C3380CC4-5D6E-409C-BE32-E72D297353CC}">
              <c16:uniqueId val="{00000000-A7CE-4829-ACBF-C48C1CF5E96F}"/>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tickMarkSkip val="1"/>
        <c:noMultiLvlLbl val="0"/>
      </c:catAx>
      <c:valAx>
        <c:axId val="1323234863"/>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'Q12'!$A$15</c:f>
              <c:strCache>
                <c:ptCount val="1"/>
                <c:pt idx="0">
                  <c:v>Yes</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'Q12'!$B$14:$F$14</c:f>
              <c:strCache>
                <c:ptCount val="5"/>
                <c:pt idx="0">
                  <c:v>Micro</c:v>
                </c:pt>
                <c:pt idx="1">
                  <c:v>Small</c:v>
                </c:pt>
                <c:pt idx="2">
                  <c:v>Medium</c:v>
                </c:pt>
                <c:pt idx="3">
                  <c:v>Large</c:v>
                </c:pt>
                <c:pt idx="4">
                  <c:v>Total</c:v>
                </c:pt>
              </c:strCache>
            </c:strRef>
          </c:cat>
          <c:val>
            <c:numRef>
              <c:f>'Q12'!$B$16:$F$16</c:f>
              <c:numCache>
                <c:formatCode>0%</c:formatCode>
                <c:ptCount val="5"/>
                <c:pt idx="0" formatCode="0.00%">
                  <c:v>0.26086956521739102</c:v>
                </c:pt>
                <c:pt idx="1">
                  <c:v>0.5</c:v>
                </c:pt>
                <c:pt idx="2" formatCode="0.00%">
                  <c:v>0.3125</c:v>
                </c:pt>
                <c:pt idx="3">
                  <c:v>0.5</c:v>
                </c:pt>
                <c:pt idx="4" formatCode="0.00%">
                  <c:v>0.40659340659340698</c:v>
                </c:pt>
              </c:numCache>
            </c:numRef>
          </c:val>
          <c:extLst>
            <c:ext xmlns:c16="http://schemas.microsoft.com/office/drawing/2014/chart" uri="{C3380CC4-5D6E-409C-BE32-E72D297353CC}">
              <c16:uniqueId val="{00000000-25ED-480E-8790-FD302B0ABF2F}"/>
            </c:ext>
          </c:extLst>
        </c:ser>
        <c:ser>
          <c:idx val="1"/>
          <c:order val="1"/>
          <c:tx>
            <c:strRef>
              <c:f>'Q12'!$A$16</c:f>
              <c:strCache>
                <c:ptCount val="1"/>
                <c:pt idx="0">
                  <c:v>No</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'Q12'!$B$14:$F$14</c:f>
              <c:strCache>
                <c:ptCount val="5"/>
                <c:pt idx="0">
                  <c:v>Micro</c:v>
                </c:pt>
                <c:pt idx="1">
                  <c:v>Small</c:v>
                </c:pt>
                <c:pt idx="2">
                  <c:v>Medium</c:v>
                </c:pt>
                <c:pt idx="3">
                  <c:v>Large</c:v>
                </c:pt>
                <c:pt idx="4">
                  <c:v>Total</c:v>
                </c:pt>
              </c:strCache>
            </c:strRef>
          </c:cat>
          <c:val>
            <c:numRef>
              <c:f>'Q12'!$B$15:$F$15</c:f>
              <c:numCache>
                <c:formatCode>0%</c:formatCode>
                <c:ptCount val="5"/>
                <c:pt idx="0" formatCode="0.00%">
                  <c:v>0.73913043478260898</c:v>
                </c:pt>
                <c:pt idx="1">
                  <c:v>0.5</c:v>
                </c:pt>
                <c:pt idx="2" formatCode="0.00%">
                  <c:v>0.6875</c:v>
                </c:pt>
                <c:pt idx="3">
                  <c:v>0.5</c:v>
                </c:pt>
                <c:pt idx="4" formatCode="0.00%">
                  <c:v>0.59340659340659296</c:v>
                </c:pt>
              </c:numCache>
            </c:numRef>
          </c:val>
          <c:extLst>
            <c:ext xmlns:c16="http://schemas.microsoft.com/office/drawing/2014/chart" uri="{C3380CC4-5D6E-409C-BE32-E72D297353CC}">
              <c16:uniqueId val="{00000001-25ED-480E-8790-FD302B0ABF2F}"/>
            </c:ext>
          </c:extLst>
        </c:ser>
        <c:dLbls>
          <c:dLblPos val="ctr"/>
          <c:showLegendKey val="0"/>
          <c:showVal val="1"/>
          <c:showCatName val="0"/>
          <c:showSerName val="0"/>
          <c:showPercent val="0"/>
          <c:showBubbleSize val="0"/>
        </c:dLbls>
        <c:gapWidth val="50"/>
        <c:overlap val="100"/>
        <c:axId val="943387952"/>
        <c:axId val="943389872"/>
      </c:barChart>
      <c:catAx>
        <c:axId val="943387952"/>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9872"/>
        <c:crosses val="autoZero"/>
        <c:auto val="1"/>
        <c:lblAlgn val="ctr"/>
        <c:lblOffset val="100"/>
        <c:noMultiLvlLbl val="0"/>
      </c:catAx>
      <c:valAx>
        <c:axId val="943389872"/>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7952"/>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326018440367955"/>
          <c:y val="4.6977402356127754E-2"/>
          <c:w val="0.56108163548755863"/>
          <c:h val="0.84717221262446951"/>
        </c:manualLayout>
      </c:layout>
      <c:barChart>
        <c:barDir val="bar"/>
        <c:grouping val="clustered"/>
        <c:varyColors val="0"/>
        <c:ser>
          <c:idx val="1"/>
          <c:order val="0"/>
          <c:tx>
            <c:strRef>
              <c:f>'Q13'!$B$1</c:f>
              <c:strCache>
                <c:ptCount val="1"/>
                <c:pt idx="0">
                  <c:v>2024 (n=82)</c:v>
                </c:pt>
              </c:strCache>
            </c:strRef>
          </c:tx>
          <c:spPr>
            <a:solidFill>
              <a:srgbClr val="213657"/>
            </a:solidFill>
            <a:ln>
              <a:noFill/>
            </a:ln>
            <a:effectLst/>
          </c:spPr>
          <c:invertIfNegative val="0"/>
          <c:cat>
            <c:strRef>
              <c:f>'Q13'!$A$2:$A$7</c:f>
              <c:strCache>
                <c:ptCount val="6"/>
                <c:pt idx="0">
                  <c:v>Evaluation strategy and/or framework</c:v>
                </c:pt>
                <c:pt idx="1">
                  <c:v>Few evaluations</c:v>
                </c:pt>
                <c:pt idx="2">
                  <c:v>By exception</c:v>
                </c:pt>
                <c:pt idx="3">
                  <c:v>Cabinet and Budget commitments</c:v>
                </c:pt>
                <c:pt idx="4">
                  <c:v>Senior leadership</c:v>
                </c:pt>
                <c:pt idx="5">
                  <c:v>Line area specific</c:v>
                </c:pt>
              </c:strCache>
            </c:strRef>
          </c:cat>
          <c:val>
            <c:numRef>
              <c:f>'Q13'!$B$2:$B$7</c:f>
              <c:numCache>
                <c:formatCode>0.00%</c:formatCode>
                <c:ptCount val="6"/>
                <c:pt idx="0">
                  <c:v>0.28048780487804897</c:v>
                </c:pt>
                <c:pt idx="1">
                  <c:v>0.28048780487804897</c:v>
                </c:pt>
                <c:pt idx="2">
                  <c:v>0.353658536585366</c:v>
                </c:pt>
                <c:pt idx="3">
                  <c:v>0.353658536585366</c:v>
                </c:pt>
                <c:pt idx="4">
                  <c:v>0.51219512195121997</c:v>
                </c:pt>
                <c:pt idx="5">
                  <c:v>0.60975609756097604</c:v>
                </c:pt>
              </c:numCache>
            </c:numRef>
          </c:val>
          <c:extLst>
            <c:ext xmlns:c16="http://schemas.microsoft.com/office/drawing/2014/chart" uri="{C3380CC4-5D6E-409C-BE32-E72D297353CC}">
              <c16:uniqueId val="{00000000-DFDE-4D74-A298-56E2F44F8947}"/>
            </c:ext>
          </c:extLst>
        </c:ser>
        <c:dLbls>
          <c:showLegendKey val="0"/>
          <c:showVal val="0"/>
          <c:showCatName val="0"/>
          <c:showSerName val="0"/>
          <c:showPercent val="0"/>
          <c:showBubbleSize val="0"/>
        </c:dLbls>
        <c:gapWidth val="50"/>
        <c:axId val="309024896"/>
        <c:axId val="309023936"/>
      </c:barChart>
      <c:catAx>
        <c:axId val="309024896"/>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309023936"/>
        <c:crosses val="autoZero"/>
        <c:auto val="1"/>
        <c:lblAlgn val="ctr"/>
        <c:lblOffset val="100"/>
        <c:tickMarkSkip val="1"/>
        <c:noMultiLvlLbl val="0"/>
      </c:catAx>
      <c:valAx>
        <c:axId val="309023936"/>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309024896"/>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711566848309277"/>
          <c:y val="4.6640652520552932E-2"/>
          <c:w val="0.48741306040148547"/>
          <c:h val="0.83937790680854762"/>
        </c:manualLayout>
      </c:layout>
      <c:barChart>
        <c:barDir val="bar"/>
        <c:grouping val="clustered"/>
        <c:varyColors val="0"/>
        <c:ser>
          <c:idx val="1"/>
          <c:order val="0"/>
          <c:tx>
            <c:strRef>
              <c:f>'Q14'!$H$34</c:f>
              <c:strCache>
                <c:ptCount val="1"/>
                <c:pt idx="0">
                  <c:v>Total</c:v>
                </c:pt>
              </c:strCache>
            </c:strRef>
          </c:tx>
          <c:spPr>
            <a:solidFill>
              <a:srgbClr val="213657"/>
            </a:solidFill>
            <a:ln>
              <a:noFill/>
            </a:ln>
            <a:effectLst/>
          </c:spPr>
          <c:invertIfNegative val="0"/>
          <c:cat>
            <c:strRef>
              <c:f>'Q14'!$I$34:$I$40</c:f>
              <c:strCache>
                <c:ptCount val="7"/>
                <c:pt idx="0">
                  <c:v>Not linked to performance measures</c:v>
                </c:pt>
                <c:pt idx="1">
                  <c:v>To inform agency direction</c:v>
                </c:pt>
                <c:pt idx="2">
                  <c:v>Aligned with Commonwealth Performance Framework</c:v>
                </c:pt>
                <c:pt idx="3">
                  <c:v>Assessing progress</c:v>
                </c:pt>
                <c:pt idx="4">
                  <c:v>Develop performance measures</c:v>
                </c:pt>
                <c:pt idx="5">
                  <c:v>Assessment of policy and program objectives</c:v>
                </c:pt>
                <c:pt idx="6">
                  <c:v>Design and decision making</c:v>
                </c:pt>
              </c:strCache>
            </c:strRef>
          </c:cat>
          <c:val>
            <c:numRef>
              <c:f>'Q14'!$K$34:$K$40</c:f>
              <c:numCache>
                <c:formatCode>0.00%</c:formatCode>
                <c:ptCount val="7"/>
                <c:pt idx="0">
                  <c:v>0.219512195121951</c:v>
                </c:pt>
                <c:pt idx="1">
                  <c:v>0.34146341463414598</c:v>
                </c:pt>
                <c:pt idx="2">
                  <c:v>0.439024390243902</c:v>
                </c:pt>
                <c:pt idx="3">
                  <c:v>0.52439024390243905</c:v>
                </c:pt>
                <c:pt idx="4">
                  <c:v>0.54878048780487798</c:v>
                </c:pt>
                <c:pt idx="5">
                  <c:v>0.67073170731707299</c:v>
                </c:pt>
                <c:pt idx="6">
                  <c:v>0.68292682926829296</c:v>
                </c:pt>
              </c:numCache>
            </c:numRef>
          </c:val>
          <c:extLst>
            <c:ext xmlns:c16="http://schemas.microsoft.com/office/drawing/2014/chart" uri="{C3380CC4-5D6E-409C-BE32-E72D297353CC}">
              <c16:uniqueId val="{00000000-9F68-4570-AA17-8334F0EBC8C7}"/>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noMultiLvlLbl val="0"/>
      </c:catAx>
      <c:valAx>
        <c:axId val="1323234863"/>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'Q15'!$A$15</c:f>
              <c:strCache>
                <c:ptCount val="1"/>
                <c:pt idx="0">
                  <c:v>No</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'Q15'!$B$14:$F$14</c:f>
              <c:strCache>
                <c:ptCount val="5"/>
                <c:pt idx="0">
                  <c:v>Micro</c:v>
                </c:pt>
                <c:pt idx="1">
                  <c:v>Small</c:v>
                </c:pt>
                <c:pt idx="2">
                  <c:v>Medium</c:v>
                </c:pt>
                <c:pt idx="3">
                  <c:v>Large</c:v>
                </c:pt>
                <c:pt idx="4">
                  <c:v>Total</c:v>
                </c:pt>
              </c:strCache>
            </c:strRef>
          </c:cat>
          <c:val>
            <c:numRef>
              <c:f>'Q15'!$B$15:$F$15</c:f>
              <c:numCache>
                <c:formatCode>0.00%</c:formatCode>
                <c:ptCount val="5"/>
                <c:pt idx="0">
                  <c:v>0.73913043478260898</c:v>
                </c:pt>
                <c:pt idx="1">
                  <c:v>0.72222222222222199</c:v>
                </c:pt>
                <c:pt idx="2">
                  <c:v>0.5625</c:v>
                </c:pt>
                <c:pt idx="3" formatCode="0%">
                  <c:v>0.5</c:v>
                </c:pt>
                <c:pt idx="4">
                  <c:v>0.61538461538461497</c:v>
                </c:pt>
              </c:numCache>
            </c:numRef>
          </c:val>
          <c:extLst>
            <c:ext xmlns:c16="http://schemas.microsoft.com/office/drawing/2014/chart" uri="{C3380CC4-5D6E-409C-BE32-E72D297353CC}">
              <c16:uniqueId val="{00000000-DB9A-441E-A7F6-3DA36D717907}"/>
            </c:ext>
          </c:extLst>
        </c:ser>
        <c:ser>
          <c:idx val="1"/>
          <c:order val="1"/>
          <c:tx>
            <c:strRef>
              <c:f>'Q15'!$A$16</c:f>
              <c:strCache>
                <c:ptCount val="1"/>
                <c:pt idx="0">
                  <c:v>Yes</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'Q15'!$B$14:$F$14</c:f>
              <c:strCache>
                <c:ptCount val="5"/>
                <c:pt idx="0">
                  <c:v>Micro</c:v>
                </c:pt>
                <c:pt idx="1">
                  <c:v>Small</c:v>
                </c:pt>
                <c:pt idx="2">
                  <c:v>Medium</c:v>
                </c:pt>
                <c:pt idx="3">
                  <c:v>Large</c:v>
                </c:pt>
                <c:pt idx="4">
                  <c:v>Total</c:v>
                </c:pt>
              </c:strCache>
            </c:strRef>
          </c:cat>
          <c:val>
            <c:numRef>
              <c:f>'Q15'!$B$16:$F$16</c:f>
              <c:numCache>
                <c:formatCode>0.00%</c:formatCode>
                <c:ptCount val="5"/>
                <c:pt idx="0">
                  <c:v>0.26086956521739102</c:v>
                </c:pt>
                <c:pt idx="1">
                  <c:v>0.27777777777777801</c:v>
                </c:pt>
                <c:pt idx="2">
                  <c:v>0.4375</c:v>
                </c:pt>
                <c:pt idx="3" formatCode="0%">
                  <c:v>0.5</c:v>
                </c:pt>
                <c:pt idx="4">
                  <c:v>0.38461538461538503</c:v>
                </c:pt>
              </c:numCache>
            </c:numRef>
          </c:val>
          <c:extLst>
            <c:ext xmlns:c16="http://schemas.microsoft.com/office/drawing/2014/chart" uri="{C3380CC4-5D6E-409C-BE32-E72D297353CC}">
              <c16:uniqueId val="{00000001-DB9A-441E-A7F6-3DA36D717907}"/>
            </c:ext>
          </c:extLst>
        </c:ser>
        <c:dLbls>
          <c:showLegendKey val="0"/>
          <c:showVal val="0"/>
          <c:showCatName val="0"/>
          <c:showSerName val="0"/>
          <c:showPercent val="0"/>
          <c:showBubbleSize val="0"/>
        </c:dLbls>
        <c:gapWidth val="50"/>
        <c:overlap val="100"/>
        <c:axId val="943387952"/>
        <c:axId val="943389872"/>
      </c:barChart>
      <c:catAx>
        <c:axId val="943387952"/>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9872"/>
        <c:crosses val="autoZero"/>
        <c:auto val="1"/>
        <c:lblAlgn val="ctr"/>
        <c:lblOffset val="100"/>
        <c:noMultiLvlLbl val="0"/>
      </c:catAx>
      <c:valAx>
        <c:axId val="943389872"/>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7952"/>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'Q16'!$A$26</c:f>
              <c:strCache>
                <c:ptCount val="1"/>
                <c:pt idx="0">
                  <c:v>Almost all (&gt;75-99%)</c:v>
                </c:pt>
              </c:strCache>
            </c:strRef>
          </c:tx>
          <c:spPr>
            <a:solidFill>
              <a:srgbClr val="02843D"/>
            </a:solidFill>
            <a:ln>
              <a:noFill/>
            </a:ln>
            <a:effectLst/>
          </c:spPr>
          <c:invertIfNegative val="0"/>
          <c:cat>
            <c:strRef>
              <c:f>'Q16'!$B$25:$F$25</c:f>
              <c:strCache>
                <c:ptCount val="5"/>
                <c:pt idx="0">
                  <c:v>Micro</c:v>
                </c:pt>
                <c:pt idx="1">
                  <c:v>Small</c:v>
                </c:pt>
                <c:pt idx="2">
                  <c:v>Medium</c:v>
                </c:pt>
                <c:pt idx="3">
                  <c:v>Large</c:v>
                </c:pt>
                <c:pt idx="4">
                  <c:v>Total</c:v>
                </c:pt>
              </c:strCache>
            </c:strRef>
          </c:cat>
          <c:val>
            <c:numRef>
              <c:f>'Q16'!$B$26:$F$26</c:f>
              <c:numCache>
                <c:formatCode>0.00%</c:formatCode>
                <c:ptCount val="5"/>
                <c:pt idx="0">
                  <c:v>4.7619047619047603E-2</c:v>
                </c:pt>
                <c:pt idx="1">
                  <c:v>0</c:v>
                </c:pt>
                <c:pt idx="2">
                  <c:v>0</c:v>
                </c:pt>
                <c:pt idx="3">
                  <c:v>0.14705882352941199</c:v>
                </c:pt>
                <c:pt idx="4">
                  <c:v>6.8181818181818205E-2</c:v>
                </c:pt>
              </c:numCache>
            </c:numRef>
          </c:val>
          <c:extLst>
            <c:ext xmlns:c16="http://schemas.microsoft.com/office/drawing/2014/chart" uri="{C3380CC4-5D6E-409C-BE32-E72D297353CC}">
              <c16:uniqueId val="{00000000-3AC8-4E5B-BD45-AB1A6EBB34BB}"/>
            </c:ext>
          </c:extLst>
        </c:ser>
        <c:ser>
          <c:idx val="1"/>
          <c:order val="1"/>
          <c:tx>
            <c:strRef>
              <c:f>'Q16'!$A$27</c:f>
              <c:strCache>
                <c:ptCount val="1"/>
                <c:pt idx="0">
                  <c:v>Most (&gt;50-75%)</c:v>
                </c:pt>
              </c:strCache>
            </c:strRef>
          </c:tx>
          <c:spPr>
            <a:solidFill>
              <a:srgbClr val="B65716"/>
            </a:solidFill>
            <a:ln>
              <a:noFill/>
            </a:ln>
            <a:effectLst/>
          </c:spPr>
          <c:invertIfNegative val="0"/>
          <c:cat>
            <c:strRef>
              <c:f>'Q16'!$B$25:$F$25</c:f>
              <c:strCache>
                <c:ptCount val="5"/>
                <c:pt idx="0">
                  <c:v>Micro</c:v>
                </c:pt>
                <c:pt idx="1">
                  <c:v>Small</c:v>
                </c:pt>
                <c:pt idx="2">
                  <c:v>Medium</c:v>
                </c:pt>
                <c:pt idx="3">
                  <c:v>Large</c:v>
                </c:pt>
                <c:pt idx="4">
                  <c:v>Total</c:v>
                </c:pt>
              </c:strCache>
            </c:strRef>
          </c:cat>
          <c:val>
            <c:numRef>
              <c:f>'Q16'!$B$27:$F$27</c:f>
              <c:numCache>
                <c:formatCode>0.00%</c:formatCode>
                <c:ptCount val="5"/>
                <c:pt idx="0">
                  <c:v>0.14285714285714299</c:v>
                </c:pt>
                <c:pt idx="1">
                  <c:v>5.8823529411764698E-2</c:v>
                </c:pt>
                <c:pt idx="2">
                  <c:v>0.1875</c:v>
                </c:pt>
                <c:pt idx="3">
                  <c:v>8.8235294117647106E-2</c:v>
                </c:pt>
                <c:pt idx="4">
                  <c:v>0.11363636363636399</c:v>
                </c:pt>
              </c:numCache>
            </c:numRef>
          </c:val>
          <c:extLst>
            <c:ext xmlns:c16="http://schemas.microsoft.com/office/drawing/2014/chart" uri="{C3380CC4-5D6E-409C-BE32-E72D297353CC}">
              <c16:uniqueId val="{00000001-3AC8-4E5B-BD45-AB1A6EBB34BB}"/>
            </c:ext>
          </c:extLst>
        </c:ser>
        <c:ser>
          <c:idx val="2"/>
          <c:order val="2"/>
          <c:tx>
            <c:strRef>
              <c:f>'Q16'!$A$28</c:f>
              <c:strCache>
                <c:ptCount val="1"/>
                <c:pt idx="0">
                  <c:v>N/A or unsure</c:v>
                </c:pt>
              </c:strCache>
            </c:strRef>
          </c:tx>
          <c:spPr>
            <a:solidFill>
              <a:srgbClr val="6D7684"/>
            </a:solidFill>
            <a:ln>
              <a:noFill/>
            </a:ln>
            <a:effectLst/>
          </c:spPr>
          <c:invertIfNegative val="0"/>
          <c:cat>
            <c:strRef>
              <c:f>'Q16'!$B$25:$F$25</c:f>
              <c:strCache>
                <c:ptCount val="5"/>
                <c:pt idx="0">
                  <c:v>Micro</c:v>
                </c:pt>
                <c:pt idx="1">
                  <c:v>Small</c:v>
                </c:pt>
                <c:pt idx="2">
                  <c:v>Medium</c:v>
                </c:pt>
                <c:pt idx="3">
                  <c:v>Large</c:v>
                </c:pt>
                <c:pt idx="4">
                  <c:v>Total</c:v>
                </c:pt>
              </c:strCache>
            </c:strRef>
          </c:cat>
          <c:val>
            <c:numRef>
              <c:f>'Q16'!$B$28:$F$28</c:f>
              <c:numCache>
                <c:formatCode>0.00%</c:formatCode>
                <c:ptCount val="5"/>
                <c:pt idx="0">
                  <c:v>0.71428571428571397</c:v>
                </c:pt>
                <c:pt idx="1">
                  <c:v>0.52941176470588203</c:v>
                </c:pt>
                <c:pt idx="2">
                  <c:v>0.625</c:v>
                </c:pt>
                <c:pt idx="3">
                  <c:v>0.29411764705882398</c:v>
                </c:pt>
                <c:pt idx="4" formatCode="0%">
                  <c:v>0.5</c:v>
                </c:pt>
              </c:numCache>
            </c:numRef>
          </c:val>
          <c:extLst>
            <c:ext xmlns:c16="http://schemas.microsoft.com/office/drawing/2014/chart" uri="{C3380CC4-5D6E-409C-BE32-E72D297353CC}">
              <c16:uniqueId val="{00000002-3AC8-4E5B-BD45-AB1A6EBB34BB}"/>
            </c:ext>
          </c:extLst>
        </c:ser>
        <c:ser>
          <c:idx val="3"/>
          <c:order val="3"/>
          <c:tx>
            <c:strRef>
              <c:f>'Q16'!$A$29</c:f>
              <c:strCache>
                <c:ptCount val="1"/>
                <c:pt idx="0">
                  <c:v>Some (&gt;25-50%)</c:v>
                </c:pt>
              </c:strCache>
            </c:strRef>
          </c:tx>
          <c:spPr>
            <a:solidFill>
              <a:srgbClr val="0364C3"/>
            </a:solidFill>
            <a:ln>
              <a:noFill/>
            </a:ln>
            <a:effectLst/>
          </c:spPr>
          <c:invertIfNegative val="0"/>
          <c:cat>
            <c:strRef>
              <c:f>'Q16'!$B$25:$F$25</c:f>
              <c:strCache>
                <c:ptCount val="5"/>
                <c:pt idx="0">
                  <c:v>Micro</c:v>
                </c:pt>
                <c:pt idx="1">
                  <c:v>Small</c:v>
                </c:pt>
                <c:pt idx="2">
                  <c:v>Medium</c:v>
                </c:pt>
                <c:pt idx="3">
                  <c:v>Large</c:v>
                </c:pt>
                <c:pt idx="4">
                  <c:v>Total</c:v>
                </c:pt>
              </c:strCache>
            </c:strRef>
          </c:cat>
          <c:val>
            <c:numRef>
              <c:f>'Q16'!$B$29:$F$29</c:f>
              <c:numCache>
                <c:formatCode>0.00%</c:formatCode>
                <c:ptCount val="5"/>
                <c:pt idx="0">
                  <c:v>4.7619047619047603E-2</c:v>
                </c:pt>
                <c:pt idx="1">
                  <c:v>0.23529411764705899</c:v>
                </c:pt>
                <c:pt idx="2">
                  <c:v>0.1875</c:v>
                </c:pt>
                <c:pt idx="3">
                  <c:v>0.23529411764705899</c:v>
                </c:pt>
                <c:pt idx="4">
                  <c:v>0.18181818181818199</c:v>
                </c:pt>
              </c:numCache>
            </c:numRef>
          </c:val>
          <c:extLst>
            <c:ext xmlns:c16="http://schemas.microsoft.com/office/drawing/2014/chart" uri="{C3380CC4-5D6E-409C-BE32-E72D297353CC}">
              <c16:uniqueId val="{00000003-3AC8-4E5B-BD45-AB1A6EBB34BB}"/>
            </c:ext>
          </c:extLst>
        </c:ser>
        <c:ser>
          <c:idx val="4"/>
          <c:order val="4"/>
          <c:tx>
            <c:strRef>
              <c:f>'Q16'!$A$30</c:f>
              <c:strCache>
                <c:ptCount val="1"/>
                <c:pt idx="0">
                  <c:v>Very few (&lt;25%)</c:v>
                </c:pt>
              </c:strCache>
            </c:strRef>
          </c:tx>
          <c:spPr>
            <a:solidFill>
              <a:srgbClr val="213657"/>
            </a:solidFill>
            <a:ln>
              <a:noFill/>
            </a:ln>
            <a:effectLst/>
          </c:spPr>
          <c:invertIfNegative val="0"/>
          <c:cat>
            <c:strRef>
              <c:f>'Q16'!$B$25:$F$25</c:f>
              <c:strCache>
                <c:ptCount val="5"/>
                <c:pt idx="0">
                  <c:v>Micro</c:v>
                </c:pt>
                <c:pt idx="1">
                  <c:v>Small</c:v>
                </c:pt>
                <c:pt idx="2">
                  <c:v>Medium</c:v>
                </c:pt>
                <c:pt idx="3">
                  <c:v>Large</c:v>
                </c:pt>
                <c:pt idx="4">
                  <c:v>Total</c:v>
                </c:pt>
              </c:strCache>
            </c:strRef>
          </c:cat>
          <c:val>
            <c:numRef>
              <c:f>'Q16'!$B$30:$F$30</c:f>
              <c:numCache>
                <c:formatCode>0.00%</c:formatCode>
                <c:ptCount val="5"/>
                <c:pt idx="0">
                  <c:v>4.7619047619047603E-2</c:v>
                </c:pt>
                <c:pt idx="1">
                  <c:v>0.17647058823529399</c:v>
                </c:pt>
                <c:pt idx="2">
                  <c:v>0</c:v>
                </c:pt>
                <c:pt idx="3">
                  <c:v>0.23529411764705899</c:v>
                </c:pt>
                <c:pt idx="4">
                  <c:v>0.13636363636363599</c:v>
                </c:pt>
              </c:numCache>
            </c:numRef>
          </c:val>
          <c:extLst>
            <c:ext xmlns:c16="http://schemas.microsoft.com/office/drawing/2014/chart" uri="{C3380CC4-5D6E-409C-BE32-E72D297353CC}">
              <c16:uniqueId val="{00000004-3AC8-4E5B-BD45-AB1A6EBB34BB}"/>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layout>
        <c:manualLayout>
          <c:xMode val="edge"/>
          <c:yMode val="edge"/>
          <c:x val="3.5277777777777776E-2"/>
          <c:y val="0.9043479166666667"/>
          <c:w val="0.93775363247863253"/>
          <c:h val="9.3447222222222223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1"/>
          <c:order val="0"/>
          <c:tx>
            <c:strRef>
              <c:f>'Q17'!$A$27</c:f>
              <c:strCache>
                <c:ptCount val="1"/>
                <c:pt idx="0">
                  <c:v>In-house</c:v>
                </c:pt>
              </c:strCache>
            </c:strRef>
          </c:tx>
          <c:spPr>
            <a:solidFill>
              <a:srgbClr val="02843D"/>
            </a:solidFill>
            <a:ln>
              <a:noFill/>
            </a:ln>
            <a:effectLst/>
          </c:spPr>
          <c:invertIfNegative val="0"/>
          <c:cat>
            <c:strRef>
              <c:f>'Q17'!$B$25:$F$25</c:f>
              <c:strCache>
                <c:ptCount val="5"/>
                <c:pt idx="0">
                  <c:v>Micro</c:v>
                </c:pt>
                <c:pt idx="1">
                  <c:v>Small</c:v>
                </c:pt>
                <c:pt idx="2">
                  <c:v>Medium</c:v>
                </c:pt>
                <c:pt idx="3">
                  <c:v>Large</c:v>
                </c:pt>
                <c:pt idx="4">
                  <c:v>Total</c:v>
                </c:pt>
              </c:strCache>
            </c:strRef>
          </c:cat>
          <c:val>
            <c:numRef>
              <c:f>'Q17'!$B$27:$F$27</c:f>
              <c:numCache>
                <c:formatCode>0.00%</c:formatCode>
                <c:ptCount val="5"/>
                <c:pt idx="0">
                  <c:v>8.6956521739130391E-2</c:v>
                </c:pt>
                <c:pt idx="1">
                  <c:v>5.5555555555555601E-2</c:v>
                </c:pt>
                <c:pt idx="2" formatCode="General">
                  <c:v>0</c:v>
                </c:pt>
                <c:pt idx="3">
                  <c:v>0</c:v>
                </c:pt>
                <c:pt idx="4">
                  <c:v>4.3956043956044001E-2</c:v>
                </c:pt>
              </c:numCache>
            </c:numRef>
          </c:val>
          <c:extLst>
            <c:ext xmlns:c16="http://schemas.microsoft.com/office/drawing/2014/chart" uri="{C3380CC4-5D6E-409C-BE32-E72D297353CC}">
              <c16:uniqueId val="{00000000-41CD-4936-B8C9-092218925632}"/>
            </c:ext>
          </c:extLst>
        </c:ser>
        <c:ser>
          <c:idx val="0"/>
          <c:order val="1"/>
          <c:tx>
            <c:strRef>
              <c:f>'Q17'!$A$26</c:f>
              <c:strCache>
                <c:ptCount val="1"/>
                <c:pt idx="0">
                  <c:v>External services</c:v>
                </c:pt>
              </c:strCache>
            </c:strRef>
          </c:tx>
          <c:spPr>
            <a:solidFill>
              <a:srgbClr val="B65716"/>
            </a:solidFill>
            <a:ln>
              <a:noFill/>
            </a:ln>
            <a:effectLst/>
          </c:spPr>
          <c:invertIfNegative val="0"/>
          <c:cat>
            <c:strRef>
              <c:f>'Q17'!$B$25:$F$25</c:f>
              <c:strCache>
                <c:ptCount val="5"/>
                <c:pt idx="0">
                  <c:v>Micro</c:v>
                </c:pt>
                <c:pt idx="1">
                  <c:v>Small</c:v>
                </c:pt>
                <c:pt idx="2">
                  <c:v>Medium</c:v>
                </c:pt>
                <c:pt idx="3">
                  <c:v>Large</c:v>
                </c:pt>
                <c:pt idx="4">
                  <c:v>Total</c:v>
                </c:pt>
              </c:strCache>
            </c:strRef>
          </c:cat>
          <c:val>
            <c:numRef>
              <c:f>'Q17'!$B$26:$F$26</c:f>
              <c:numCache>
                <c:formatCode>0.00%</c:formatCode>
                <c:ptCount val="5"/>
                <c:pt idx="0">
                  <c:v>0.34782608695652201</c:v>
                </c:pt>
                <c:pt idx="1">
                  <c:v>0.5</c:v>
                </c:pt>
                <c:pt idx="2">
                  <c:v>0.75</c:v>
                </c:pt>
                <c:pt idx="3">
                  <c:v>0.73529411764705899</c:v>
                </c:pt>
                <c:pt idx="4">
                  <c:v>0.59340659340659296</c:v>
                </c:pt>
              </c:numCache>
            </c:numRef>
          </c:val>
          <c:extLst>
            <c:ext xmlns:c16="http://schemas.microsoft.com/office/drawing/2014/chart" uri="{C3380CC4-5D6E-409C-BE32-E72D297353CC}">
              <c16:uniqueId val="{00000001-41CD-4936-B8C9-092218925632}"/>
            </c:ext>
          </c:extLst>
        </c:ser>
        <c:ser>
          <c:idx val="3"/>
          <c:order val="2"/>
          <c:tx>
            <c:strRef>
              <c:f>'Q17'!$A$29</c:f>
              <c:strCache>
                <c:ptCount val="1"/>
                <c:pt idx="0">
                  <c:v>Other reasons</c:v>
                </c:pt>
              </c:strCache>
            </c:strRef>
          </c:tx>
          <c:spPr>
            <a:solidFill>
              <a:srgbClr val="6D7684"/>
            </a:solidFill>
            <a:ln>
              <a:noFill/>
            </a:ln>
            <a:effectLst/>
          </c:spPr>
          <c:invertIfNegative val="0"/>
          <c:cat>
            <c:strRef>
              <c:f>'Q17'!$B$25:$F$25</c:f>
              <c:strCache>
                <c:ptCount val="5"/>
                <c:pt idx="0">
                  <c:v>Micro</c:v>
                </c:pt>
                <c:pt idx="1">
                  <c:v>Small</c:v>
                </c:pt>
                <c:pt idx="2">
                  <c:v>Medium</c:v>
                </c:pt>
                <c:pt idx="3">
                  <c:v>Large</c:v>
                </c:pt>
                <c:pt idx="4">
                  <c:v>Total</c:v>
                </c:pt>
              </c:strCache>
            </c:strRef>
          </c:cat>
          <c:val>
            <c:numRef>
              <c:f>'Q17'!$B$29:$F$29</c:f>
              <c:numCache>
                <c:formatCode>0.00%</c:formatCode>
                <c:ptCount val="5"/>
                <c:pt idx="0">
                  <c:v>0.217391304347826</c:v>
                </c:pt>
                <c:pt idx="1">
                  <c:v>5.5555555555555601E-2</c:v>
                </c:pt>
                <c:pt idx="2">
                  <c:v>6.25E-2</c:v>
                </c:pt>
                <c:pt idx="3">
                  <c:v>0.11764705882352899</c:v>
                </c:pt>
                <c:pt idx="4">
                  <c:v>0.120879120879121</c:v>
                </c:pt>
              </c:numCache>
            </c:numRef>
          </c:val>
          <c:extLst>
            <c:ext xmlns:c16="http://schemas.microsoft.com/office/drawing/2014/chart" uri="{C3380CC4-5D6E-409C-BE32-E72D297353CC}">
              <c16:uniqueId val="{00000002-41CD-4936-B8C9-092218925632}"/>
            </c:ext>
          </c:extLst>
        </c:ser>
        <c:ser>
          <c:idx val="4"/>
          <c:order val="3"/>
          <c:tx>
            <c:strRef>
              <c:f>'Q17'!$A$30</c:f>
              <c:strCache>
                <c:ptCount val="1"/>
                <c:pt idx="0">
                  <c:v>Performance monitoring/reporting</c:v>
                </c:pt>
              </c:strCache>
            </c:strRef>
          </c:tx>
          <c:spPr>
            <a:solidFill>
              <a:srgbClr val="0364C3"/>
            </a:solidFill>
            <a:ln>
              <a:noFill/>
            </a:ln>
            <a:effectLst/>
          </c:spPr>
          <c:invertIfNegative val="0"/>
          <c:cat>
            <c:strRef>
              <c:f>'Q17'!$B$25:$F$25</c:f>
              <c:strCache>
                <c:ptCount val="5"/>
                <c:pt idx="0">
                  <c:v>Micro</c:v>
                </c:pt>
                <c:pt idx="1">
                  <c:v>Small</c:v>
                </c:pt>
                <c:pt idx="2">
                  <c:v>Medium</c:v>
                </c:pt>
                <c:pt idx="3">
                  <c:v>Large</c:v>
                </c:pt>
                <c:pt idx="4">
                  <c:v>Total</c:v>
                </c:pt>
              </c:strCache>
            </c:strRef>
          </c:cat>
          <c:val>
            <c:numRef>
              <c:f>'Q17'!$B$30:$F$30</c:f>
              <c:numCache>
                <c:formatCode>0.00%</c:formatCode>
                <c:ptCount val="5"/>
                <c:pt idx="0">
                  <c:v>0.217391304347826</c:v>
                </c:pt>
                <c:pt idx="1">
                  <c:v>0.27777777777777801</c:v>
                </c:pt>
                <c:pt idx="2">
                  <c:v>0.1875</c:v>
                </c:pt>
                <c:pt idx="3">
                  <c:v>0.11764705882352899</c:v>
                </c:pt>
                <c:pt idx="4">
                  <c:v>0.18681318681318701</c:v>
                </c:pt>
              </c:numCache>
            </c:numRef>
          </c:val>
          <c:extLst>
            <c:ext xmlns:c16="http://schemas.microsoft.com/office/drawing/2014/chart" uri="{C3380CC4-5D6E-409C-BE32-E72D297353CC}">
              <c16:uniqueId val="{00000003-41CD-4936-B8C9-092218925632}"/>
            </c:ext>
          </c:extLst>
        </c:ser>
        <c:ser>
          <c:idx val="2"/>
          <c:order val="4"/>
          <c:tx>
            <c:strRef>
              <c:f>'Q17'!$A$28</c:f>
              <c:strCache>
                <c:ptCount val="1"/>
                <c:pt idx="0">
                  <c:v>Not conducted</c:v>
                </c:pt>
              </c:strCache>
            </c:strRef>
          </c:tx>
          <c:spPr>
            <a:solidFill>
              <a:srgbClr val="213657"/>
            </a:solidFill>
            <a:ln>
              <a:noFill/>
            </a:ln>
            <a:effectLst/>
          </c:spPr>
          <c:invertIfNegative val="0"/>
          <c:cat>
            <c:strRef>
              <c:f>'Q17'!$B$25:$F$25</c:f>
              <c:strCache>
                <c:ptCount val="5"/>
                <c:pt idx="0">
                  <c:v>Micro</c:v>
                </c:pt>
                <c:pt idx="1">
                  <c:v>Small</c:v>
                </c:pt>
                <c:pt idx="2">
                  <c:v>Medium</c:v>
                </c:pt>
                <c:pt idx="3">
                  <c:v>Large</c:v>
                </c:pt>
                <c:pt idx="4">
                  <c:v>Total</c:v>
                </c:pt>
              </c:strCache>
            </c:strRef>
          </c:cat>
          <c:val>
            <c:numRef>
              <c:f>'Q17'!$B$28:$F$28</c:f>
              <c:numCache>
                <c:formatCode>0.00%</c:formatCode>
                <c:ptCount val="5"/>
                <c:pt idx="0">
                  <c:v>0.13043478260869601</c:v>
                </c:pt>
                <c:pt idx="1">
                  <c:v>0.11111111111111099</c:v>
                </c:pt>
                <c:pt idx="2" formatCode="General">
                  <c:v>0</c:v>
                </c:pt>
                <c:pt idx="3">
                  <c:v>2.9411764705882401E-2</c:v>
                </c:pt>
                <c:pt idx="4">
                  <c:v>5.4945054945054903E-2</c:v>
                </c:pt>
              </c:numCache>
            </c:numRef>
          </c:val>
          <c:extLst>
            <c:ext xmlns:c16="http://schemas.microsoft.com/office/drawing/2014/chart" uri="{C3380CC4-5D6E-409C-BE32-E72D297353CC}">
              <c16:uniqueId val="{00000004-41CD-4936-B8C9-092218925632}"/>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layout>
        <c:manualLayout>
          <c:xMode val="edge"/>
          <c:yMode val="edge"/>
          <c:x val="5.3846153846161653E-5"/>
          <c:y val="0.91384826388888885"/>
          <c:w val="0.99717863247863248"/>
          <c:h val="7.9537152777777759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9402777777777775E-2"/>
          <c:w val="0.98149946581196579"/>
          <c:h val="0.94555753968253964"/>
        </c:manualLayout>
      </c:layout>
      <c:barChart>
        <c:barDir val="bar"/>
        <c:grouping val="clustered"/>
        <c:varyColors val="0"/>
        <c:ser>
          <c:idx val="0"/>
          <c:order val="0"/>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Charts!$C$3:$C$8</c:f>
              <c:strCache>
                <c:ptCount val="6"/>
                <c:pt idx="0">
                  <c:v>Economic evaluation</c:v>
                </c:pt>
                <c:pt idx="1">
                  <c:v>Impact evaluation</c:v>
                </c:pt>
                <c:pt idx="2">
                  <c:v>Process</c:v>
                </c:pt>
                <c:pt idx="3">
                  <c:v>Other</c:v>
                </c:pt>
                <c:pt idx="4">
                  <c:v>Outcomes</c:v>
                </c:pt>
                <c:pt idx="5">
                  <c:v>Multifocal</c:v>
                </c:pt>
              </c:strCache>
            </c:strRef>
          </c:cat>
          <c:val>
            <c:numRef>
              <c:f>Charts!$D$3:$D$8</c:f>
              <c:numCache>
                <c:formatCode>0%</c:formatCode>
                <c:ptCount val="6"/>
                <c:pt idx="0">
                  <c:v>6.1538461538461538E-3</c:v>
                </c:pt>
                <c:pt idx="1">
                  <c:v>3.3846153846153845E-2</c:v>
                </c:pt>
                <c:pt idx="2">
                  <c:v>4.4615384615384612E-2</c:v>
                </c:pt>
                <c:pt idx="3">
                  <c:v>5.6923076923076923E-2</c:v>
                </c:pt>
                <c:pt idx="4">
                  <c:v>8.615384615384615E-2</c:v>
                </c:pt>
                <c:pt idx="5">
                  <c:v>0.77230769230769236</c:v>
                </c:pt>
              </c:numCache>
            </c:numRef>
          </c:val>
          <c:extLst>
            <c:ext xmlns:c16="http://schemas.microsoft.com/office/drawing/2014/chart" uri="{C3380CC4-5D6E-409C-BE32-E72D297353CC}">
              <c16:uniqueId val="{00000000-225C-4B14-8C05-E8378A0E871D}"/>
            </c:ext>
          </c:extLst>
        </c:ser>
        <c:dLbls>
          <c:showLegendKey val="0"/>
          <c:showVal val="0"/>
          <c:showCatName val="0"/>
          <c:showSerName val="0"/>
          <c:showPercent val="0"/>
          <c:showBubbleSize val="0"/>
        </c:dLbls>
        <c:gapWidth val="50"/>
        <c:axId val="1364110448"/>
        <c:axId val="1364095568"/>
      </c:barChart>
      <c:catAx>
        <c:axId val="1364110448"/>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64095568"/>
        <c:crosses val="autoZero"/>
        <c:auto val="1"/>
        <c:lblAlgn val="ctr"/>
        <c:lblOffset val="100"/>
        <c:tickMarkSkip val="1"/>
        <c:noMultiLvlLbl val="0"/>
      </c:catAx>
      <c:valAx>
        <c:axId val="1364095568"/>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1"/>
        <c:majorTickMark val="out"/>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64110448"/>
        <c:crosses val="autoZero"/>
        <c:crossBetween val="between"/>
      </c:val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'Q18'!$A$29</c:f>
              <c:strCache>
                <c:ptCount val="1"/>
                <c:pt idx="0">
                  <c:v>Almost all (&gt;75-99%)</c:v>
                </c:pt>
              </c:strCache>
            </c:strRef>
          </c:tx>
          <c:spPr>
            <a:solidFill>
              <a:srgbClr val="02843D"/>
            </a:solidFill>
            <a:ln>
              <a:noFill/>
            </a:ln>
            <a:effectLst/>
          </c:spPr>
          <c:invertIfNegative val="0"/>
          <c:cat>
            <c:strRef>
              <c:f>'Q18'!$B$28:$F$28</c:f>
              <c:strCache>
                <c:ptCount val="5"/>
                <c:pt idx="0">
                  <c:v>Micro</c:v>
                </c:pt>
                <c:pt idx="1">
                  <c:v>Small</c:v>
                </c:pt>
                <c:pt idx="2">
                  <c:v>Medium</c:v>
                </c:pt>
                <c:pt idx="3">
                  <c:v>Large</c:v>
                </c:pt>
                <c:pt idx="4">
                  <c:v>Total</c:v>
                </c:pt>
              </c:strCache>
            </c:strRef>
          </c:cat>
          <c:val>
            <c:numRef>
              <c:f>'Q18'!$B$29:$F$29</c:f>
              <c:numCache>
                <c:formatCode>0.00%</c:formatCode>
                <c:ptCount val="5"/>
                <c:pt idx="0">
                  <c:v>0.22727272727272699</c:v>
                </c:pt>
                <c:pt idx="1">
                  <c:v>5.5555555555555601E-2</c:v>
                </c:pt>
                <c:pt idx="2">
                  <c:v>6.25E-2</c:v>
                </c:pt>
                <c:pt idx="3">
                  <c:v>0.23529411764705899</c:v>
                </c:pt>
                <c:pt idx="4">
                  <c:v>0.16666666666666699</c:v>
                </c:pt>
              </c:numCache>
            </c:numRef>
          </c:val>
          <c:extLst>
            <c:ext xmlns:c16="http://schemas.microsoft.com/office/drawing/2014/chart" uri="{C3380CC4-5D6E-409C-BE32-E72D297353CC}">
              <c16:uniqueId val="{00000000-8557-4344-991D-5B60396865FF}"/>
            </c:ext>
          </c:extLst>
        </c:ser>
        <c:ser>
          <c:idx val="1"/>
          <c:order val="1"/>
          <c:tx>
            <c:strRef>
              <c:f>'Q18'!$A$30</c:f>
              <c:strCache>
                <c:ptCount val="1"/>
                <c:pt idx="0">
                  <c:v>Most (&gt;50-75%)</c:v>
                </c:pt>
              </c:strCache>
            </c:strRef>
          </c:tx>
          <c:spPr>
            <a:solidFill>
              <a:srgbClr val="B65716"/>
            </a:solidFill>
            <a:ln>
              <a:noFill/>
            </a:ln>
            <a:effectLst/>
          </c:spPr>
          <c:invertIfNegative val="0"/>
          <c:cat>
            <c:strRef>
              <c:f>'Q18'!$B$28:$F$28</c:f>
              <c:strCache>
                <c:ptCount val="5"/>
                <c:pt idx="0">
                  <c:v>Micro</c:v>
                </c:pt>
                <c:pt idx="1">
                  <c:v>Small</c:v>
                </c:pt>
                <c:pt idx="2">
                  <c:v>Medium</c:v>
                </c:pt>
                <c:pt idx="3">
                  <c:v>Large</c:v>
                </c:pt>
                <c:pt idx="4">
                  <c:v>Total</c:v>
                </c:pt>
              </c:strCache>
            </c:strRef>
          </c:cat>
          <c:val>
            <c:numRef>
              <c:f>'Q18'!$B$30:$F$30</c:f>
              <c:numCache>
                <c:formatCode>0.00%</c:formatCode>
                <c:ptCount val="5"/>
                <c:pt idx="0">
                  <c:v>4.5454545454545497E-2</c:v>
                </c:pt>
                <c:pt idx="1">
                  <c:v>5.5555555555555601E-2</c:v>
                </c:pt>
                <c:pt idx="2">
                  <c:v>0.125</c:v>
                </c:pt>
                <c:pt idx="3">
                  <c:v>2.9411764705882401E-2</c:v>
                </c:pt>
                <c:pt idx="4">
                  <c:v>5.5555555555555601E-2</c:v>
                </c:pt>
              </c:numCache>
            </c:numRef>
          </c:val>
          <c:extLst>
            <c:ext xmlns:c16="http://schemas.microsoft.com/office/drawing/2014/chart" uri="{C3380CC4-5D6E-409C-BE32-E72D297353CC}">
              <c16:uniqueId val="{00000001-8557-4344-991D-5B60396865FF}"/>
            </c:ext>
          </c:extLst>
        </c:ser>
        <c:ser>
          <c:idx val="2"/>
          <c:order val="2"/>
          <c:tx>
            <c:strRef>
              <c:f>'Q18'!$A$31</c:f>
              <c:strCache>
                <c:ptCount val="1"/>
                <c:pt idx="0">
                  <c:v>N/A or unsure</c:v>
                </c:pt>
              </c:strCache>
            </c:strRef>
          </c:tx>
          <c:spPr>
            <a:solidFill>
              <a:srgbClr val="6D7684"/>
            </a:solidFill>
            <a:ln>
              <a:noFill/>
            </a:ln>
            <a:effectLst/>
          </c:spPr>
          <c:invertIfNegative val="0"/>
          <c:cat>
            <c:strRef>
              <c:f>'Q18'!$B$28:$F$28</c:f>
              <c:strCache>
                <c:ptCount val="5"/>
                <c:pt idx="0">
                  <c:v>Micro</c:v>
                </c:pt>
                <c:pt idx="1">
                  <c:v>Small</c:v>
                </c:pt>
                <c:pt idx="2">
                  <c:v>Medium</c:v>
                </c:pt>
                <c:pt idx="3">
                  <c:v>Large</c:v>
                </c:pt>
                <c:pt idx="4">
                  <c:v>Total</c:v>
                </c:pt>
              </c:strCache>
            </c:strRef>
          </c:cat>
          <c:val>
            <c:numRef>
              <c:f>'Q18'!$B$31:$F$31</c:f>
              <c:numCache>
                <c:formatCode>0.00%</c:formatCode>
                <c:ptCount val="5"/>
                <c:pt idx="0">
                  <c:v>0.59090909090909105</c:v>
                </c:pt>
                <c:pt idx="1">
                  <c:v>0.44444444444444398</c:v>
                </c:pt>
                <c:pt idx="2">
                  <c:v>0.375</c:v>
                </c:pt>
                <c:pt idx="3">
                  <c:v>0.35294117647058798</c:v>
                </c:pt>
                <c:pt idx="4">
                  <c:v>0.43333333333333302</c:v>
                </c:pt>
              </c:numCache>
            </c:numRef>
          </c:val>
          <c:extLst>
            <c:ext xmlns:c16="http://schemas.microsoft.com/office/drawing/2014/chart" uri="{C3380CC4-5D6E-409C-BE32-E72D297353CC}">
              <c16:uniqueId val="{00000002-8557-4344-991D-5B60396865FF}"/>
            </c:ext>
          </c:extLst>
        </c:ser>
        <c:ser>
          <c:idx val="3"/>
          <c:order val="3"/>
          <c:tx>
            <c:strRef>
              <c:f>'Q18'!$A$32</c:f>
              <c:strCache>
                <c:ptCount val="1"/>
                <c:pt idx="0">
                  <c:v>Some (&gt;25-50%)</c:v>
                </c:pt>
              </c:strCache>
            </c:strRef>
          </c:tx>
          <c:spPr>
            <a:solidFill>
              <a:srgbClr val="0364C3"/>
            </a:solidFill>
            <a:ln>
              <a:noFill/>
            </a:ln>
            <a:effectLst/>
          </c:spPr>
          <c:invertIfNegative val="0"/>
          <c:cat>
            <c:strRef>
              <c:f>'Q18'!$B$28:$F$28</c:f>
              <c:strCache>
                <c:ptCount val="5"/>
                <c:pt idx="0">
                  <c:v>Micro</c:v>
                </c:pt>
                <c:pt idx="1">
                  <c:v>Small</c:v>
                </c:pt>
                <c:pt idx="2">
                  <c:v>Medium</c:v>
                </c:pt>
                <c:pt idx="3">
                  <c:v>Large</c:v>
                </c:pt>
                <c:pt idx="4">
                  <c:v>Total</c:v>
                </c:pt>
              </c:strCache>
            </c:strRef>
          </c:cat>
          <c:val>
            <c:numRef>
              <c:f>'Q18'!$B$32:$F$32</c:f>
              <c:numCache>
                <c:formatCode>0.00%</c:formatCode>
                <c:ptCount val="5"/>
                <c:pt idx="0">
                  <c:v>9.0909090909090898E-2</c:v>
                </c:pt>
                <c:pt idx="1">
                  <c:v>5.5555555555555601E-2</c:v>
                </c:pt>
                <c:pt idx="2">
                  <c:v>0.3125</c:v>
                </c:pt>
                <c:pt idx="3">
                  <c:v>0.20588235294117599</c:v>
                </c:pt>
                <c:pt idx="4">
                  <c:v>0.16666666666666699</c:v>
                </c:pt>
              </c:numCache>
            </c:numRef>
          </c:val>
          <c:extLst>
            <c:ext xmlns:c16="http://schemas.microsoft.com/office/drawing/2014/chart" uri="{C3380CC4-5D6E-409C-BE32-E72D297353CC}">
              <c16:uniqueId val="{00000003-8557-4344-991D-5B60396865FF}"/>
            </c:ext>
          </c:extLst>
        </c:ser>
        <c:ser>
          <c:idx val="4"/>
          <c:order val="4"/>
          <c:tx>
            <c:strRef>
              <c:f>'Q18'!$A$33</c:f>
              <c:strCache>
                <c:ptCount val="1"/>
                <c:pt idx="0">
                  <c:v>Very few (&lt;25%)</c:v>
                </c:pt>
              </c:strCache>
            </c:strRef>
          </c:tx>
          <c:spPr>
            <a:solidFill>
              <a:srgbClr val="213657"/>
            </a:solidFill>
            <a:ln>
              <a:noFill/>
            </a:ln>
            <a:effectLst>
              <a:outerShdw blurRad="50800" dist="50800" dir="5400000" algn="ctr" rotWithShape="0">
                <a:schemeClr val="bg1"/>
              </a:outerShdw>
            </a:effectLst>
          </c:spPr>
          <c:invertIfNegative val="0"/>
          <c:cat>
            <c:strRef>
              <c:f>'Q18'!$B$28:$F$28</c:f>
              <c:strCache>
                <c:ptCount val="5"/>
                <c:pt idx="0">
                  <c:v>Micro</c:v>
                </c:pt>
                <c:pt idx="1">
                  <c:v>Small</c:v>
                </c:pt>
                <c:pt idx="2">
                  <c:v>Medium</c:v>
                </c:pt>
                <c:pt idx="3">
                  <c:v>Large</c:v>
                </c:pt>
                <c:pt idx="4">
                  <c:v>Total</c:v>
                </c:pt>
              </c:strCache>
            </c:strRef>
          </c:cat>
          <c:val>
            <c:numRef>
              <c:f>'Q18'!$B$33:$F$33</c:f>
              <c:numCache>
                <c:formatCode>0.00%</c:formatCode>
                <c:ptCount val="5"/>
                <c:pt idx="0">
                  <c:v>4.5454545454545497E-2</c:v>
                </c:pt>
                <c:pt idx="1">
                  <c:v>0.38890000000000002</c:v>
                </c:pt>
                <c:pt idx="2">
                  <c:v>0.125</c:v>
                </c:pt>
                <c:pt idx="3">
                  <c:v>0.17647058823529399</c:v>
                </c:pt>
                <c:pt idx="4">
                  <c:v>0.17777777777777801</c:v>
                </c:pt>
              </c:numCache>
            </c:numRef>
          </c:val>
          <c:extLst>
            <c:ext xmlns:c16="http://schemas.microsoft.com/office/drawing/2014/chart" uri="{C3380CC4-5D6E-409C-BE32-E72D297353CC}">
              <c16:uniqueId val="{00000004-8557-4344-991D-5B60396865FF}"/>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layout>
        <c:manualLayout>
          <c:xMode val="edge"/>
          <c:yMode val="edge"/>
          <c:x val="1.4841025641025641E-2"/>
          <c:y val="0.93080624999999984"/>
          <c:w val="0.98515897435897437"/>
          <c:h val="6.6988888888888889E-2"/>
        </c:manualLayout>
      </c:layout>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45246880341880341"/>
          <c:y val="4.6977430555555554E-2"/>
          <c:w val="0.50850854700854697"/>
          <c:h val="0.84276458333333337"/>
        </c:manualLayout>
      </c:layout>
      <c:barChart>
        <c:barDir val="bar"/>
        <c:grouping val="clustered"/>
        <c:varyColors val="0"/>
        <c:ser>
          <c:idx val="0"/>
          <c:order val="0"/>
          <c:spPr>
            <a:solidFill>
              <a:srgbClr val="213657"/>
            </a:solidFill>
            <a:ln>
              <a:noFill/>
            </a:ln>
            <a:effectLst/>
          </c:spPr>
          <c:invertIfNegative val="0"/>
          <c:cat>
            <c:strRef>
              <c:f>'Q19'!$A$4:$A$16</c:f>
              <c:strCache>
                <c:ptCount val="13"/>
                <c:pt idx="0">
                  <c:v>To reduce waste</c:v>
                </c:pt>
                <c:pt idx="1">
                  <c:v>To consider service expansion</c:v>
                </c:pt>
                <c:pt idx="2">
                  <c:v>To seek funding renewal</c:v>
                </c:pt>
                <c:pt idx="3">
                  <c:v>To identify innovative solutions</c:v>
                </c:pt>
                <c:pt idx="4">
                  <c:v>To assess whether a program is needed</c:v>
                </c:pt>
                <c:pt idx="5">
                  <c:v>To meet legislative requirements</c:v>
                </c:pt>
                <c:pt idx="6">
                  <c:v>To help plan future interventions</c:v>
                </c:pt>
                <c:pt idx="7">
                  <c:v>To give stakeholders a voice</c:v>
                </c:pt>
                <c:pt idx="8">
                  <c:v>To understand the impact of an intervention</c:v>
                </c:pt>
                <c:pt idx="9">
                  <c:v>To build greater knowledge</c:v>
                </c:pt>
                <c:pt idx="10">
                  <c:v>To promote transparency</c:v>
                </c:pt>
                <c:pt idx="11">
                  <c:v>To enhance accountability</c:v>
                </c:pt>
                <c:pt idx="12">
                  <c:v>To improve implementation</c:v>
                </c:pt>
              </c:strCache>
            </c:strRef>
          </c:cat>
          <c:val>
            <c:numRef>
              <c:f>'Q19'!$B$4:$B$16</c:f>
              <c:numCache>
                <c:formatCode>0%</c:formatCode>
                <c:ptCount val="13"/>
                <c:pt idx="0">
                  <c:v>0.22727272727272727</c:v>
                </c:pt>
                <c:pt idx="1">
                  <c:v>0.30681818181818182</c:v>
                </c:pt>
                <c:pt idx="2">
                  <c:v>0.39772727272727271</c:v>
                </c:pt>
                <c:pt idx="3">
                  <c:v>0.40909090909090912</c:v>
                </c:pt>
                <c:pt idx="4">
                  <c:v>0.43181818181818182</c:v>
                </c:pt>
                <c:pt idx="5">
                  <c:v>0.45454545454545453</c:v>
                </c:pt>
                <c:pt idx="6">
                  <c:v>0.48863636363636365</c:v>
                </c:pt>
                <c:pt idx="7">
                  <c:v>0.51136363636363635</c:v>
                </c:pt>
                <c:pt idx="8">
                  <c:v>0.54545454545454541</c:v>
                </c:pt>
                <c:pt idx="9">
                  <c:v>0.61363636363636365</c:v>
                </c:pt>
                <c:pt idx="10">
                  <c:v>0.625</c:v>
                </c:pt>
                <c:pt idx="11">
                  <c:v>0.67045454545454541</c:v>
                </c:pt>
                <c:pt idx="12">
                  <c:v>0.77272727272727271</c:v>
                </c:pt>
              </c:numCache>
            </c:numRef>
          </c:val>
          <c:extLst>
            <c:ext xmlns:c16="http://schemas.microsoft.com/office/drawing/2014/chart" uri="{C3380CC4-5D6E-409C-BE32-E72D297353CC}">
              <c16:uniqueId val="{00000000-778A-44E4-8B3B-F07AED7175E2}"/>
            </c:ext>
          </c:extLst>
        </c:ser>
        <c:dLbls>
          <c:showLegendKey val="0"/>
          <c:showVal val="0"/>
          <c:showCatName val="0"/>
          <c:showSerName val="0"/>
          <c:showPercent val="0"/>
          <c:showBubbleSize val="0"/>
        </c:dLbls>
        <c:gapWidth val="50"/>
        <c:axId val="1385360175"/>
        <c:axId val="1385360655"/>
      </c:barChart>
      <c:catAx>
        <c:axId val="138536017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85360655"/>
        <c:crosses val="autoZero"/>
        <c:auto val="1"/>
        <c:lblAlgn val="ctr"/>
        <c:lblOffset val="100"/>
        <c:noMultiLvlLbl val="0"/>
      </c:catAx>
      <c:valAx>
        <c:axId val="138536065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8536017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9402777777777775E-2"/>
          <c:w val="0.98149946581196579"/>
          <c:h val="0.94555753968253964"/>
        </c:manualLayout>
      </c:layout>
      <c:barChart>
        <c:barDir val="bar"/>
        <c:grouping val="clustered"/>
        <c:varyColors val="0"/>
        <c:ser>
          <c:idx val="0"/>
          <c:order val="0"/>
          <c:spPr>
            <a:solidFill>
              <a:srgbClr val="213657"/>
            </a:solidFill>
            <a:ln>
              <a:noFill/>
            </a:ln>
            <a:effectLst/>
          </c:spPr>
          <c:invertIfNegative val="0"/>
          <c:cat>
            <c:strRef>
              <c:f>'Q20-21'!$A$2:$A$9</c:f>
              <c:strCache>
                <c:ptCount val="8"/>
                <c:pt idx="0">
                  <c:v>Sufficient funding</c:v>
                </c:pt>
                <c:pt idx="1">
                  <c:v>In-house evaluation units</c:v>
                </c:pt>
                <c:pt idx="2">
                  <c:v>Staff dedicated to evaluation tasks</c:v>
                </c:pt>
                <c:pt idx="3">
                  <c:v>Working with an external evaluator</c:v>
                </c:pt>
                <c:pt idx="4">
                  <c:v>Agency culture in support of evaluation</c:v>
                </c:pt>
                <c:pt idx="5">
                  <c:v>Sufficient staff knowledge skills and/or tools</c:v>
                </c:pt>
                <c:pt idx="6">
                  <c:v>Support for evaluation amongst decision-makers</c:v>
                </c:pt>
                <c:pt idx="7">
                  <c:v>Support from agency leadership</c:v>
                </c:pt>
              </c:strCache>
            </c:strRef>
          </c:cat>
          <c:val>
            <c:numRef>
              <c:f>'Q20-21'!$B$2:$B$9</c:f>
              <c:numCache>
                <c:formatCode>0%</c:formatCode>
                <c:ptCount val="8"/>
                <c:pt idx="0">
                  <c:v>0.26760563380281688</c:v>
                </c:pt>
                <c:pt idx="1">
                  <c:v>0.3380281690140845</c:v>
                </c:pt>
                <c:pt idx="2">
                  <c:v>0.3380281690140845</c:v>
                </c:pt>
                <c:pt idx="3">
                  <c:v>0.3380281690140845</c:v>
                </c:pt>
                <c:pt idx="4">
                  <c:v>0.42253521126760563</c:v>
                </c:pt>
                <c:pt idx="5">
                  <c:v>0.52112676056338025</c:v>
                </c:pt>
                <c:pt idx="6">
                  <c:v>0.676056338028169</c:v>
                </c:pt>
                <c:pt idx="7">
                  <c:v>0.6901408450704225</c:v>
                </c:pt>
              </c:numCache>
            </c:numRef>
          </c:val>
          <c:extLst>
            <c:ext xmlns:c16="http://schemas.microsoft.com/office/drawing/2014/chart" uri="{C3380CC4-5D6E-409C-BE32-E72D297353CC}">
              <c16:uniqueId val="{00000000-8D72-47E5-9656-47C5FF0B9DEE}"/>
            </c:ext>
          </c:extLst>
        </c:ser>
        <c:dLbls>
          <c:showLegendKey val="0"/>
          <c:showVal val="0"/>
          <c:showCatName val="0"/>
          <c:showSerName val="0"/>
          <c:showPercent val="0"/>
          <c:showBubbleSize val="0"/>
        </c:dLbls>
        <c:gapWidth val="50"/>
        <c:axId val="1385357775"/>
        <c:axId val="1385351535"/>
      </c:barChart>
      <c:catAx>
        <c:axId val="138535777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85351535"/>
        <c:crosses val="autoZero"/>
        <c:auto val="1"/>
        <c:lblAlgn val="r"/>
        <c:lblOffset val="100"/>
        <c:noMultiLvlLbl val="0"/>
      </c:catAx>
      <c:valAx>
        <c:axId val="138535153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8535777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9402777777777775E-2"/>
          <c:w val="0.98149946581196579"/>
          <c:h val="0.94555753968253964"/>
        </c:manualLayout>
      </c:layout>
      <c:barChart>
        <c:barDir val="bar"/>
        <c:grouping val="clustered"/>
        <c:varyColors val="0"/>
        <c:ser>
          <c:idx val="0"/>
          <c:order val="0"/>
          <c:spPr>
            <a:solidFill>
              <a:srgbClr val="213657"/>
            </a:solidFill>
            <a:ln>
              <a:noFill/>
            </a:ln>
            <a:effectLst/>
          </c:spPr>
          <c:invertIfNegative val="0"/>
          <c:cat>
            <c:strRef>
              <c:f>'Q20-21'!$A$13:$A$23</c:f>
              <c:strCache>
                <c:ptCount val="11"/>
                <c:pt idx="0">
                  <c:v>Access to external evaluators</c:v>
                </c:pt>
                <c:pt idx="1">
                  <c:v>Not linked to agency performance measures</c:v>
                </c:pt>
                <c:pt idx="2">
                  <c:v>Insufficient agency leadership support</c:v>
                </c:pt>
                <c:pt idx="3">
                  <c:v>Poor past evaluations</c:v>
                </c:pt>
                <c:pt idx="4">
                  <c:v>Staff attitudes towards evaluation</c:v>
                </c:pt>
                <c:pt idx="5">
                  <c:v>Challenging stakeholder relationships</c:v>
                </c:pt>
                <c:pt idx="6">
                  <c:v>Challenging or complex interventions</c:v>
                </c:pt>
                <c:pt idx="7">
                  <c:v>Limited time for evaluations</c:v>
                </c:pt>
                <c:pt idx="8">
                  <c:v>Insufficient financial resources</c:v>
                </c:pt>
                <c:pt idx="9">
                  <c:v>Limited knowledge and skills</c:v>
                </c:pt>
                <c:pt idx="10">
                  <c:v>Limited staff time</c:v>
                </c:pt>
              </c:strCache>
            </c:strRef>
          </c:cat>
          <c:val>
            <c:numRef>
              <c:f>'Q20-21'!$B$13:$B$23</c:f>
              <c:numCache>
                <c:formatCode>0%</c:formatCode>
                <c:ptCount val="11"/>
                <c:pt idx="0">
                  <c:v>2.5316455696202531E-2</c:v>
                </c:pt>
                <c:pt idx="1">
                  <c:v>6.3291139240506333E-2</c:v>
                </c:pt>
                <c:pt idx="2">
                  <c:v>7.5949367088607597E-2</c:v>
                </c:pt>
                <c:pt idx="3">
                  <c:v>0.10126582278481013</c:v>
                </c:pt>
                <c:pt idx="4">
                  <c:v>0.12658227848101267</c:v>
                </c:pt>
                <c:pt idx="5">
                  <c:v>0.20253164556962025</c:v>
                </c:pt>
                <c:pt idx="6">
                  <c:v>0.30379746835443039</c:v>
                </c:pt>
                <c:pt idx="7">
                  <c:v>0.32911392405063289</c:v>
                </c:pt>
                <c:pt idx="8">
                  <c:v>0.43037974683544306</c:v>
                </c:pt>
                <c:pt idx="9">
                  <c:v>0.49367088607594939</c:v>
                </c:pt>
                <c:pt idx="10">
                  <c:v>0.55696202531645567</c:v>
                </c:pt>
              </c:numCache>
            </c:numRef>
          </c:val>
          <c:extLst>
            <c:ext xmlns:c16="http://schemas.microsoft.com/office/drawing/2014/chart" uri="{C3380CC4-5D6E-409C-BE32-E72D297353CC}">
              <c16:uniqueId val="{00000000-2F6F-4B42-8F6F-251EF178A538}"/>
            </c:ext>
          </c:extLst>
        </c:ser>
        <c:dLbls>
          <c:showLegendKey val="0"/>
          <c:showVal val="0"/>
          <c:showCatName val="0"/>
          <c:showSerName val="0"/>
          <c:showPercent val="0"/>
          <c:showBubbleSize val="0"/>
        </c:dLbls>
        <c:gapWidth val="50"/>
        <c:axId val="1205474847"/>
        <c:axId val="1205475807"/>
      </c:barChart>
      <c:catAx>
        <c:axId val="1205474847"/>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205475807"/>
        <c:crosses val="autoZero"/>
        <c:auto val="1"/>
        <c:lblAlgn val="ctr"/>
        <c:lblOffset val="100"/>
        <c:noMultiLvlLbl val="0"/>
      </c:catAx>
      <c:valAx>
        <c:axId val="1205475807"/>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205474847"/>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710972222222222E-2"/>
          <c:w val="0.9841995726495727"/>
          <c:h val="0.87430138888888875"/>
        </c:manualLayout>
      </c:layout>
      <c:barChart>
        <c:barDir val="bar"/>
        <c:grouping val="percentStacked"/>
        <c:varyColors val="0"/>
        <c:ser>
          <c:idx val="0"/>
          <c:order val="0"/>
          <c:tx>
            <c:strRef>
              <c:f>'q22'!$C$19</c:f>
              <c:strCache>
                <c:ptCount val="1"/>
                <c:pt idx="0">
                  <c:v>Yes</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'q22'!$D$18:$H$18</c:f>
              <c:strCache>
                <c:ptCount val="5"/>
                <c:pt idx="0">
                  <c:v>Micro</c:v>
                </c:pt>
                <c:pt idx="1">
                  <c:v>Small</c:v>
                </c:pt>
                <c:pt idx="2">
                  <c:v>Medium</c:v>
                </c:pt>
                <c:pt idx="3">
                  <c:v>Large</c:v>
                </c:pt>
                <c:pt idx="4">
                  <c:v>Total</c:v>
                </c:pt>
              </c:strCache>
            </c:strRef>
          </c:cat>
          <c:val>
            <c:numRef>
              <c:f>'q22'!$D$19:$H$19</c:f>
              <c:numCache>
                <c:formatCode>0%</c:formatCode>
                <c:ptCount val="5"/>
                <c:pt idx="0">
                  <c:v>0.217391304347826</c:v>
                </c:pt>
                <c:pt idx="1">
                  <c:v>0.29411764705882398</c:v>
                </c:pt>
                <c:pt idx="2">
                  <c:v>0.3125</c:v>
                </c:pt>
                <c:pt idx="3">
                  <c:v>0.48484848484848497</c:v>
                </c:pt>
                <c:pt idx="4">
                  <c:v>0.348314606741573</c:v>
                </c:pt>
              </c:numCache>
            </c:numRef>
          </c:val>
          <c:extLst>
            <c:ext xmlns:c16="http://schemas.microsoft.com/office/drawing/2014/chart" uri="{C3380CC4-5D6E-409C-BE32-E72D297353CC}">
              <c16:uniqueId val="{00000000-59B3-4264-B8D7-32641F3CC372}"/>
            </c:ext>
          </c:extLst>
        </c:ser>
        <c:ser>
          <c:idx val="1"/>
          <c:order val="1"/>
          <c:tx>
            <c:strRef>
              <c:f>'q22'!$C$20</c:f>
              <c:strCache>
                <c:ptCount val="1"/>
                <c:pt idx="0">
                  <c:v>No</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'q22'!$D$18:$H$18</c:f>
              <c:strCache>
                <c:ptCount val="5"/>
                <c:pt idx="0">
                  <c:v>Micro</c:v>
                </c:pt>
                <c:pt idx="1">
                  <c:v>Small</c:v>
                </c:pt>
                <c:pt idx="2">
                  <c:v>Medium</c:v>
                </c:pt>
                <c:pt idx="3">
                  <c:v>Large</c:v>
                </c:pt>
                <c:pt idx="4">
                  <c:v>Total</c:v>
                </c:pt>
              </c:strCache>
            </c:strRef>
          </c:cat>
          <c:val>
            <c:numRef>
              <c:f>'q22'!$D$20:$H$20</c:f>
              <c:numCache>
                <c:formatCode>0%</c:formatCode>
                <c:ptCount val="5"/>
                <c:pt idx="0">
                  <c:v>0.78260869565217395</c:v>
                </c:pt>
                <c:pt idx="1">
                  <c:v>0.70588235294117696</c:v>
                </c:pt>
                <c:pt idx="2">
                  <c:v>0.6875</c:v>
                </c:pt>
                <c:pt idx="3">
                  <c:v>0.51515151515151503</c:v>
                </c:pt>
                <c:pt idx="4">
                  <c:v>0.651685393258427</c:v>
                </c:pt>
              </c:numCache>
            </c:numRef>
          </c:val>
          <c:extLst>
            <c:ext xmlns:c16="http://schemas.microsoft.com/office/drawing/2014/chart" uri="{C3380CC4-5D6E-409C-BE32-E72D297353CC}">
              <c16:uniqueId val="{00000001-59B3-4264-B8D7-32641F3CC372}"/>
            </c:ext>
          </c:extLst>
        </c:ser>
        <c:dLbls>
          <c:dLblPos val="ctr"/>
          <c:showLegendKey val="0"/>
          <c:showVal val="1"/>
          <c:showCatName val="0"/>
          <c:showSerName val="0"/>
          <c:showPercent val="0"/>
          <c:showBubbleSize val="0"/>
        </c:dLbls>
        <c:gapWidth val="50"/>
        <c:overlap val="100"/>
        <c:axId val="943387952"/>
        <c:axId val="943389872"/>
      </c:barChart>
      <c:catAx>
        <c:axId val="943387952"/>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9872"/>
        <c:crosses val="autoZero"/>
        <c:auto val="1"/>
        <c:lblAlgn val="ctr"/>
        <c:lblOffset val="100"/>
        <c:noMultiLvlLbl val="0"/>
      </c:catAx>
      <c:valAx>
        <c:axId val="943389872"/>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7952"/>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2"/>
          <c:order val="0"/>
          <c:tx>
            <c:strRef>
              <c:f>'Q22.1'!$A$34</c:f>
              <c:strCache>
                <c:ptCount val="1"/>
                <c:pt idx="0">
                  <c:v>Used for all evaluations</c:v>
                </c:pt>
              </c:strCache>
            </c:strRef>
          </c:tx>
          <c:spPr>
            <a:solidFill>
              <a:srgbClr val="02843D"/>
            </a:solidFill>
            <a:ln>
              <a:noFill/>
            </a:ln>
            <a:effectLst/>
          </c:spPr>
          <c:invertIfNegative val="0"/>
          <c:cat>
            <c:strRef>
              <c:f>'Q22.1'!$B$30:$H$30</c:f>
              <c:strCache>
                <c:ptCount val="7"/>
                <c:pt idx="0">
                  <c:v>Centring Indigenous people and perspectives</c:v>
                </c:pt>
                <c:pt idx="1">
                  <c:v>Partnership with Indigenous stakeholders</c:v>
                </c:pt>
                <c:pt idx="2">
                  <c:v>Indigenous leadership and governance</c:v>
                </c:pt>
                <c:pt idx="3">
                  <c:v>Evidence translation tailored for Indigenous people</c:v>
                </c:pt>
                <c:pt idx="4">
                  <c:v>Evaluation capability building for Indigenous people</c:v>
                </c:pt>
                <c:pt idx="5">
                  <c:v>Indigenous engagement (internal to agency)</c:v>
                </c:pt>
                <c:pt idx="6">
                  <c:v>Other</c:v>
                </c:pt>
              </c:strCache>
            </c:strRef>
          </c:cat>
          <c:val>
            <c:numRef>
              <c:f>'Q22.1'!$B$34:$H$34</c:f>
              <c:numCache>
                <c:formatCode>0.00%</c:formatCode>
                <c:ptCount val="7"/>
                <c:pt idx="0">
                  <c:v>6.8965517241379296E-2</c:v>
                </c:pt>
                <c:pt idx="1">
                  <c:v>6.8965517241379296E-2</c:v>
                </c:pt>
                <c:pt idx="2">
                  <c:v>6.8965517241379296E-2</c:v>
                </c:pt>
                <c:pt idx="3">
                  <c:v>0.17241379310344801</c:v>
                </c:pt>
                <c:pt idx="4">
                  <c:v>3.4482758620689703E-2</c:v>
                </c:pt>
                <c:pt idx="5">
                  <c:v>0.133333333333333</c:v>
                </c:pt>
                <c:pt idx="6">
                  <c:v>0.25</c:v>
                </c:pt>
              </c:numCache>
            </c:numRef>
          </c:val>
          <c:extLst>
            <c:ext xmlns:c16="http://schemas.microsoft.com/office/drawing/2014/chart" uri="{C3380CC4-5D6E-409C-BE32-E72D297353CC}">
              <c16:uniqueId val="{00000000-3BC9-4524-B3F3-C39C1F827B89}"/>
            </c:ext>
          </c:extLst>
        </c:ser>
        <c:ser>
          <c:idx val="3"/>
          <c:order val="1"/>
          <c:tx>
            <c:strRef>
              <c:f>'Q22.1'!$A$33</c:f>
              <c:strCache>
                <c:ptCount val="1"/>
                <c:pt idx="0">
                  <c:v>Used on a case-by-case basis</c:v>
                </c:pt>
              </c:strCache>
            </c:strRef>
          </c:tx>
          <c:spPr>
            <a:solidFill>
              <a:srgbClr val="B65716"/>
            </a:solidFill>
            <a:ln>
              <a:noFill/>
            </a:ln>
            <a:effectLst/>
          </c:spPr>
          <c:invertIfNegative val="0"/>
          <c:cat>
            <c:strRef>
              <c:f>'Q22.1'!$B$30:$H$30</c:f>
              <c:strCache>
                <c:ptCount val="7"/>
                <c:pt idx="0">
                  <c:v>Centring Indigenous people and perspectives</c:v>
                </c:pt>
                <c:pt idx="1">
                  <c:v>Partnership with Indigenous stakeholders</c:v>
                </c:pt>
                <c:pt idx="2">
                  <c:v>Indigenous leadership and governance</c:v>
                </c:pt>
                <c:pt idx="3">
                  <c:v>Evidence translation tailored for Indigenous people</c:v>
                </c:pt>
                <c:pt idx="4">
                  <c:v>Evaluation capability building for Indigenous people</c:v>
                </c:pt>
                <c:pt idx="5">
                  <c:v>Indigenous engagement (internal to agency)</c:v>
                </c:pt>
                <c:pt idx="6">
                  <c:v>Other</c:v>
                </c:pt>
              </c:strCache>
            </c:strRef>
          </c:cat>
          <c:val>
            <c:numRef>
              <c:f>'Q22.1'!$B$33:$H$33</c:f>
              <c:numCache>
                <c:formatCode>0.00%</c:formatCode>
                <c:ptCount val="7"/>
                <c:pt idx="0">
                  <c:v>0.7931034482758621</c:v>
                </c:pt>
                <c:pt idx="1">
                  <c:v>0.7931034482758621</c:v>
                </c:pt>
                <c:pt idx="2">
                  <c:v>0.62068965517241403</c:v>
                </c:pt>
                <c:pt idx="3">
                  <c:v>0.62068965517241403</c:v>
                </c:pt>
                <c:pt idx="4">
                  <c:v>0.65517241379310309</c:v>
                </c:pt>
                <c:pt idx="5">
                  <c:v>0.6</c:v>
                </c:pt>
                <c:pt idx="6">
                  <c:v>0.75</c:v>
                </c:pt>
              </c:numCache>
            </c:numRef>
          </c:val>
          <c:extLst>
            <c:ext xmlns:c16="http://schemas.microsoft.com/office/drawing/2014/chart" uri="{C3380CC4-5D6E-409C-BE32-E72D297353CC}">
              <c16:uniqueId val="{00000001-3BC9-4524-B3F3-C39C1F827B89}"/>
            </c:ext>
          </c:extLst>
        </c:ser>
        <c:ser>
          <c:idx val="0"/>
          <c:order val="2"/>
          <c:tx>
            <c:strRef>
              <c:f>'Q22.1'!$A$31</c:f>
              <c:strCache>
                <c:ptCount val="1"/>
                <c:pt idx="0">
                  <c:v>N/A or unsure</c:v>
                </c:pt>
              </c:strCache>
            </c:strRef>
          </c:tx>
          <c:spPr>
            <a:solidFill>
              <a:srgbClr val="0364C3"/>
            </a:solidFill>
            <a:ln>
              <a:noFill/>
            </a:ln>
            <a:effectLst/>
          </c:spPr>
          <c:invertIfNegative val="0"/>
          <c:cat>
            <c:strRef>
              <c:f>'Q22.1'!$B$30:$H$30</c:f>
              <c:strCache>
                <c:ptCount val="7"/>
                <c:pt idx="0">
                  <c:v>Centring Indigenous people and perspectives</c:v>
                </c:pt>
                <c:pt idx="1">
                  <c:v>Partnership with Indigenous stakeholders</c:v>
                </c:pt>
                <c:pt idx="2">
                  <c:v>Indigenous leadership and governance</c:v>
                </c:pt>
                <c:pt idx="3">
                  <c:v>Evidence translation tailored for Indigenous people</c:v>
                </c:pt>
                <c:pt idx="4">
                  <c:v>Evaluation capability building for Indigenous people</c:v>
                </c:pt>
                <c:pt idx="5">
                  <c:v>Indigenous engagement (internal to agency)</c:v>
                </c:pt>
                <c:pt idx="6">
                  <c:v>Other</c:v>
                </c:pt>
              </c:strCache>
            </c:strRef>
          </c:cat>
          <c:val>
            <c:numRef>
              <c:f>'Q22.1'!$B$31:$H$31</c:f>
              <c:numCache>
                <c:formatCode>0.00%</c:formatCode>
                <c:ptCount val="7"/>
                <c:pt idx="0">
                  <c:v>0.10344827586206901</c:v>
                </c:pt>
                <c:pt idx="1">
                  <c:v>6.8965517241379296E-2</c:v>
                </c:pt>
                <c:pt idx="2">
                  <c:v>0.13793103448275901</c:v>
                </c:pt>
                <c:pt idx="3">
                  <c:v>0.17241379310344801</c:v>
                </c:pt>
                <c:pt idx="4">
                  <c:v>0.20689655172413801</c:v>
                </c:pt>
                <c:pt idx="5">
                  <c:v>0.133333333333333</c:v>
                </c:pt>
                <c:pt idx="6">
                  <c:v>0</c:v>
                </c:pt>
              </c:numCache>
            </c:numRef>
          </c:val>
          <c:extLst>
            <c:ext xmlns:c16="http://schemas.microsoft.com/office/drawing/2014/chart" uri="{C3380CC4-5D6E-409C-BE32-E72D297353CC}">
              <c16:uniqueId val="{00000002-3BC9-4524-B3F3-C39C1F827B89}"/>
            </c:ext>
          </c:extLst>
        </c:ser>
        <c:ser>
          <c:idx val="1"/>
          <c:order val="3"/>
          <c:tx>
            <c:strRef>
              <c:f>'Q22.1'!$A$32</c:f>
              <c:strCache>
                <c:ptCount val="1"/>
                <c:pt idx="0">
                  <c:v>Not Used</c:v>
                </c:pt>
              </c:strCache>
            </c:strRef>
          </c:tx>
          <c:spPr>
            <a:solidFill>
              <a:srgbClr val="213657"/>
            </a:solidFill>
            <a:ln>
              <a:noFill/>
            </a:ln>
            <a:effectLst/>
          </c:spPr>
          <c:invertIfNegative val="0"/>
          <c:cat>
            <c:strRef>
              <c:f>'Q22.1'!$B$30:$H$30</c:f>
              <c:strCache>
                <c:ptCount val="7"/>
                <c:pt idx="0">
                  <c:v>Centring Indigenous people and perspectives</c:v>
                </c:pt>
                <c:pt idx="1">
                  <c:v>Partnership with Indigenous stakeholders</c:v>
                </c:pt>
                <c:pt idx="2">
                  <c:v>Indigenous leadership and governance</c:v>
                </c:pt>
                <c:pt idx="3">
                  <c:v>Evidence translation tailored for Indigenous people</c:v>
                </c:pt>
                <c:pt idx="4">
                  <c:v>Evaluation capability building for Indigenous people</c:v>
                </c:pt>
                <c:pt idx="5">
                  <c:v>Indigenous engagement (internal to agency)</c:v>
                </c:pt>
                <c:pt idx="6">
                  <c:v>Other</c:v>
                </c:pt>
              </c:strCache>
            </c:strRef>
          </c:cat>
          <c:val>
            <c:numRef>
              <c:f>'Q22.1'!$B$32:$H$32</c:f>
              <c:numCache>
                <c:formatCode>0.00%</c:formatCode>
                <c:ptCount val="7"/>
                <c:pt idx="0">
                  <c:v>3.4482758620689703E-2</c:v>
                </c:pt>
                <c:pt idx="1">
                  <c:v>6.8965517241379296E-2</c:v>
                </c:pt>
                <c:pt idx="2">
                  <c:v>0.17241379310344801</c:v>
                </c:pt>
                <c:pt idx="3">
                  <c:v>3.4482758620689703E-2</c:v>
                </c:pt>
                <c:pt idx="4">
                  <c:v>0.10344827586206901</c:v>
                </c:pt>
                <c:pt idx="5">
                  <c:v>0.133333333333333</c:v>
                </c:pt>
                <c:pt idx="6">
                  <c:v>0</c:v>
                </c:pt>
              </c:numCache>
            </c:numRef>
          </c:val>
          <c:extLst>
            <c:ext xmlns:c16="http://schemas.microsoft.com/office/drawing/2014/chart" uri="{C3380CC4-5D6E-409C-BE32-E72D297353CC}">
              <c16:uniqueId val="{00000003-3BC9-4524-B3F3-C39C1F827B89}"/>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2"/>
          <c:order val="0"/>
          <c:tx>
            <c:strRef>
              <c:f>'Q24'!$A$26</c:f>
              <c:strCache>
                <c:ptCount val="1"/>
                <c:pt idx="0">
                  <c:v>Used for all evaluations</c:v>
                </c:pt>
              </c:strCache>
            </c:strRef>
          </c:tx>
          <c:spPr>
            <a:solidFill>
              <a:srgbClr val="02843D"/>
            </a:solidFill>
            <a:ln>
              <a:noFill/>
            </a:ln>
            <a:effectLst/>
          </c:spPr>
          <c:invertIfNegative val="0"/>
          <c:cat>
            <c:strRef>
              <c:f>'Q24'!$B$23:$F$23</c:f>
              <c:strCache>
                <c:ptCount val="5"/>
                <c:pt idx="0">
                  <c:v>Closing the Gap Priority Reforms</c:v>
                </c:pt>
                <c:pt idx="1">
                  <c:v>PC Indigenous Evaluation Strategy</c:v>
                </c:pt>
                <c:pt idx="2">
                  <c:v>NIAA GID</c:v>
                </c:pt>
                <c:pt idx="3">
                  <c:v>AIATSIS Code of Ethics</c:v>
                </c:pt>
                <c:pt idx="4">
                  <c:v>AES Cultural Safety Framework</c:v>
                </c:pt>
              </c:strCache>
            </c:strRef>
          </c:cat>
          <c:val>
            <c:numRef>
              <c:f>'Q24'!$B$26:$F$26</c:f>
              <c:numCache>
                <c:formatCode>0.00%</c:formatCode>
                <c:ptCount val="5"/>
                <c:pt idx="0">
                  <c:v>7.7922077922077906E-2</c:v>
                </c:pt>
                <c:pt idx="1">
                  <c:v>3.8961038961039002E-2</c:v>
                </c:pt>
                <c:pt idx="2">
                  <c:v>6.4935064935064901E-2</c:v>
                </c:pt>
                <c:pt idx="3">
                  <c:v>7.69230769230769E-2</c:v>
                </c:pt>
                <c:pt idx="4">
                  <c:v>3.94736842105263E-2</c:v>
                </c:pt>
              </c:numCache>
            </c:numRef>
          </c:val>
          <c:extLst>
            <c:ext xmlns:c16="http://schemas.microsoft.com/office/drawing/2014/chart" uri="{C3380CC4-5D6E-409C-BE32-E72D297353CC}">
              <c16:uniqueId val="{00000000-7155-4613-9C8B-115C93E6E0E8}"/>
            </c:ext>
          </c:extLst>
        </c:ser>
        <c:ser>
          <c:idx val="3"/>
          <c:order val="1"/>
          <c:tx>
            <c:strRef>
              <c:f>'Q24'!$A$27</c:f>
              <c:strCache>
                <c:ptCount val="1"/>
                <c:pt idx="0">
                  <c:v>Used on a case-by-case basis</c:v>
                </c:pt>
              </c:strCache>
            </c:strRef>
          </c:tx>
          <c:spPr>
            <a:solidFill>
              <a:srgbClr val="B65716"/>
            </a:solidFill>
            <a:ln>
              <a:noFill/>
            </a:ln>
            <a:effectLst/>
          </c:spPr>
          <c:invertIfNegative val="0"/>
          <c:cat>
            <c:strRef>
              <c:f>'Q24'!$B$23:$F$23</c:f>
              <c:strCache>
                <c:ptCount val="5"/>
                <c:pt idx="0">
                  <c:v>Closing the Gap Priority Reforms</c:v>
                </c:pt>
                <c:pt idx="1">
                  <c:v>PC Indigenous Evaluation Strategy</c:v>
                </c:pt>
                <c:pt idx="2">
                  <c:v>NIAA GID</c:v>
                </c:pt>
                <c:pt idx="3">
                  <c:v>AIATSIS Code of Ethics</c:v>
                </c:pt>
                <c:pt idx="4">
                  <c:v>AES Cultural Safety Framework</c:v>
                </c:pt>
              </c:strCache>
            </c:strRef>
          </c:cat>
          <c:val>
            <c:numRef>
              <c:f>'Q24'!$B$27:$F$27</c:f>
              <c:numCache>
                <c:formatCode>0.00%</c:formatCode>
                <c:ptCount val="5"/>
                <c:pt idx="0">
                  <c:v>0.40259740259740301</c:v>
                </c:pt>
                <c:pt idx="1">
                  <c:v>0.29870129870129902</c:v>
                </c:pt>
                <c:pt idx="2">
                  <c:v>0.37662337662337703</c:v>
                </c:pt>
                <c:pt idx="3">
                  <c:v>0.35897435897435898</c:v>
                </c:pt>
                <c:pt idx="4">
                  <c:v>0.28947368421052599</c:v>
                </c:pt>
              </c:numCache>
            </c:numRef>
          </c:val>
          <c:extLst>
            <c:ext xmlns:c16="http://schemas.microsoft.com/office/drawing/2014/chart" uri="{C3380CC4-5D6E-409C-BE32-E72D297353CC}">
              <c16:uniqueId val="{00000001-7155-4613-9C8B-115C93E6E0E8}"/>
            </c:ext>
          </c:extLst>
        </c:ser>
        <c:ser>
          <c:idx val="0"/>
          <c:order val="2"/>
          <c:tx>
            <c:strRef>
              <c:f>'Q24'!$A$24</c:f>
              <c:strCache>
                <c:ptCount val="1"/>
                <c:pt idx="0">
                  <c:v>N/A or unsure</c:v>
                </c:pt>
              </c:strCache>
            </c:strRef>
          </c:tx>
          <c:spPr>
            <a:solidFill>
              <a:srgbClr val="0364C3"/>
            </a:solidFill>
            <a:ln>
              <a:noFill/>
            </a:ln>
            <a:effectLst/>
          </c:spPr>
          <c:invertIfNegative val="0"/>
          <c:cat>
            <c:strRef>
              <c:f>'Q24'!$B$23:$F$23</c:f>
              <c:strCache>
                <c:ptCount val="5"/>
                <c:pt idx="0">
                  <c:v>Closing the Gap Priority Reforms</c:v>
                </c:pt>
                <c:pt idx="1">
                  <c:v>PC Indigenous Evaluation Strategy</c:v>
                </c:pt>
                <c:pt idx="2">
                  <c:v>NIAA GID</c:v>
                </c:pt>
                <c:pt idx="3">
                  <c:v>AIATSIS Code of Ethics</c:v>
                </c:pt>
                <c:pt idx="4">
                  <c:v>AES Cultural Safety Framework</c:v>
                </c:pt>
              </c:strCache>
            </c:strRef>
          </c:cat>
          <c:val>
            <c:numRef>
              <c:f>'Q24'!$B$24:$F$24</c:f>
              <c:numCache>
                <c:formatCode>0.00%</c:formatCode>
                <c:ptCount val="5"/>
                <c:pt idx="0">
                  <c:v>0.45454545454545497</c:v>
                </c:pt>
                <c:pt idx="1">
                  <c:v>0.53246753246753198</c:v>
                </c:pt>
                <c:pt idx="2">
                  <c:v>0.48051948051948101</c:v>
                </c:pt>
                <c:pt idx="3">
                  <c:v>0.487179487179487</c:v>
                </c:pt>
                <c:pt idx="4">
                  <c:v>0.55263157894736803</c:v>
                </c:pt>
              </c:numCache>
            </c:numRef>
          </c:val>
          <c:extLst>
            <c:ext xmlns:c16="http://schemas.microsoft.com/office/drawing/2014/chart" uri="{C3380CC4-5D6E-409C-BE32-E72D297353CC}">
              <c16:uniqueId val="{00000002-7155-4613-9C8B-115C93E6E0E8}"/>
            </c:ext>
          </c:extLst>
        </c:ser>
        <c:ser>
          <c:idx val="1"/>
          <c:order val="3"/>
          <c:tx>
            <c:strRef>
              <c:f>'Q24'!$A$25</c:f>
              <c:strCache>
                <c:ptCount val="1"/>
                <c:pt idx="0">
                  <c:v>Not Used</c:v>
                </c:pt>
              </c:strCache>
            </c:strRef>
          </c:tx>
          <c:spPr>
            <a:solidFill>
              <a:srgbClr val="213657"/>
            </a:solidFill>
            <a:ln>
              <a:noFill/>
            </a:ln>
            <a:effectLst/>
          </c:spPr>
          <c:invertIfNegative val="0"/>
          <c:cat>
            <c:strRef>
              <c:f>'Q24'!$B$23:$F$23</c:f>
              <c:strCache>
                <c:ptCount val="5"/>
                <c:pt idx="0">
                  <c:v>Closing the Gap Priority Reforms</c:v>
                </c:pt>
                <c:pt idx="1">
                  <c:v>PC Indigenous Evaluation Strategy</c:v>
                </c:pt>
                <c:pt idx="2">
                  <c:v>NIAA GID</c:v>
                </c:pt>
                <c:pt idx="3">
                  <c:v>AIATSIS Code of Ethics</c:v>
                </c:pt>
                <c:pt idx="4">
                  <c:v>AES Cultural Safety Framework</c:v>
                </c:pt>
              </c:strCache>
            </c:strRef>
          </c:cat>
          <c:val>
            <c:numRef>
              <c:f>'Q24'!$B$25:$F$25</c:f>
              <c:numCache>
                <c:formatCode>0.00%</c:formatCode>
                <c:ptCount val="5"/>
                <c:pt idx="0">
                  <c:v>6.4935064935064901E-2</c:v>
                </c:pt>
                <c:pt idx="1">
                  <c:v>0.12987012987013</c:v>
                </c:pt>
                <c:pt idx="2">
                  <c:v>7.7922077922077906E-2</c:v>
                </c:pt>
                <c:pt idx="3">
                  <c:v>7.69230769230769E-2</c:v>
                </c:pt>
                <c:pt idx="4">
                  <c:v>0.118421052631579</c:v>
                </c:pt>
              </c:numCache>
            </c:numRef>
          </c:val>
          <c:extLst>
            <c:ext xmlns:c16="http://schemas.microsoft.com/office/drawing/2014/chart" uri="{C3380CC4-5D6E-409C-BE32-E72D297353CC}">
              <c16:uniqueId val="{00000003-7155-4613-9C8B-115C93E6E0E8}"/>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tickMarkSkip val="1"/>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9402777777777775E-2"/>
          <c:w val="0.98149946581196579"/>
          <c:h val="0.94555753968253964"/>
        </c:manualLayout>
      </c:layout>
      <c:barChart>
        <c:barDir val="bar"/>
        <c:grouping val="clustered"/>
        <c:varyColors val="0"/>
        <c:ser>
          <c:idx val="0"/>
          <c:order val="0"/>
          <c:tx>
            <c:strRef>
              <c:f>'Q25'!$B$1</c:f>
              <c:strCache>
                <c:ptCount val="1"/>
                <c:pt idx="0">
                  <c:v>Total</c:v>
                </c:pt>
              </c:strCache>
            </c:strRef>
          </c:tx>
          <c:spPr>
            <a:solidFill>
              <a:srgbClr val="213657"/>
            </a:solidFill>
            <a:ln>
              <a:noFill/>
            </a:ln>
            <a:effectLst/>
          </c:spPr>
          <c:invertIfNegative val="0"/>
          <c:cat>
            <c:strRef>
              <c:f>'Q25'!$A$4:$A$8</c:f>
              <c:strCache>
                <c:ptCount val="5"/>
                <c:pt idx="0">
                  <c:v>Assessment of engagement with Indigenous 
peoples</c:v>
                </c:pt>
                <c:pt idx="1">
                  <c:v>Sufficient time and resources for Indigenous 
evaluation engagement</c:v>
                </c:pt>
                <c:pt idx="2">
                  <c:v>Routine evaluation of agency policies and 
program</c:v>
                </c:pt>
                <c:pt idx="3">
                  <c:v>Culturally safe data collection</c:v>
                </c:pt>
                <c:pt idx="4">
                  <c:v>Opportunities for staff cultural capability 
development</c:v>
                </c:pt>
              </c:strCache>
            </c:strRef>
          </c:cat>
          <c:val>
            <c:numRef>
              <c:f>'Q25'!$B$4:$B$8</c:f>
              <c:numCache>
                <c:formatCode>0.00%</c:formatCode>
                <c:ptCount val="5"/>
                <c:pt idx="0">
                  <c:v>0.207317073170732</c:v>
                </c:pt>
                <c:pt idx="1">
                  <c:v>0.23170731707317099</c:v>
                </c:pt>
                <c:pt idx="2">
                  <c:v>0.31707317073170699</c:v>
                </c:pt>
                <c:pt idx="3">
                  <c:v>0.41463414634146301</c:v>
                </c:pt>
                <c:pt idx="4">
                  <c:v>0.63414634146341498</c:v>
                </c:pt>
              </c:numCache>
            </c:numRef>
          </c:val>
          <c:extLst>
            <c:ext xmlns:c16="http://schemas.microsoft.com/office/drawing/2014/chart" uri="{C3380CC4-5D6E-409C-BE32-E72D297353CC}">
              <c16:uniqueId val="{00000000-C08B-4A0A-A79D-B84106BE8CE1}"/>
            </c:ext>
          </c:extLst>
        </c:ser>
        <c:dLbls>
          <c:showLegendKey val="0"/>
          <c:showVal val="0"/>
          <c:showCatName val="0"/>
          <c:showSerName val="0"/>
          <c:showPercent val="0"/>
          <c:showBubbleSize val="0"/>
        </c:dLbls>
        <c:gapWidth val="50"/>
        <c:axId val="1175093071"/>
        <c:axId val="1175093551"/>
        <c:extLst>
          <c:ext xmlns:c15="http://schemas.microsoft.com/office/drawing/2012/chart" uri="{02D57815-91ED-43cb-92C2-25804820EDAC}">
            <c15:filteredBarSeries>
              <c15:ser>
                <c:idx val="1"/>
                <c:order val="1"/>
                <c:tx>
                  <c:strRef>
                    <c:extLst>
                      <c:ext uri="{02D57815-91ED-43cb-92C2-25804820EDAC}">
                        <c15:formulaRef>
                          <c15:sqref>'Q25'!$C$1</c15:sqref>
                        </c15:formulaRef>
                      </c:ext>
                    </c:extLst>
                    <c:strCache>
                      <c:ptCount val="1"/>
                    </c:strCache>
                  </c:strRef>
                </c:tx>
                <c:spPr>
                  <a:solidFill>
                    <a:schemeClr val="accent2"/>
                  </a:solidFill>
                  <a:ln>
                    <a:noFill/>
                  </a:ln>
                  <a:effectLst/>
                </c:spPr>
                <c:invertIfNegative val="0"/>
                <c:cat>
                  <c:strRef>
                    <c:extLst>
                      <c:ext uri="{02D57815-91ED-43cb-92C2-25804820EDAC}">
                        <c15:formulaRef>
                          <c15:sqref>'Q25'!$A$4:$A$8</c15:sqref>
                        </c15:formulaRef>
                      </c:ext>
                    </c:extLst>
                    <c:strCache>
                      <c:ptCount val="5"/>
                      <c:pt idx="0">
                        <c:v>Assessment of engagement with Indigenous 
peoples</c:v>
                      </c:pt>
                      <c:pt idx="1">
                        <c:v>Sufficient time and resources for Indigenous 
evaluation engagement</c:v>
                      </c:pt>
                      <c:pt idx="2">
                        <c:v>Routine evaluation of agency policies and 
program</c:v>
                      </c:pt>
                      <c:pt idx="3">
                        <c:v>Culturally safe data collection</c:v>
                      </c:pt>
                      <c:pt idx="4">
                        <c:v>Opportunities for staff cultural capability 
development</c:v>
                      </c:pt>
                    </c:strCache>
                  </c:strRef>
                </c:cat>
                <c:val>
                  <c:numRef>
                    <c:extLst>
                      <c:ext uri="{02D57815-91ED-43cb-92C2-25804820EDAC}">
                        <c15:formulaRef>
                          <c15:sqref>'Q25'!$C$4:$C$8</c15:sqref>
                        </c15:formulaRef>
                      </c:ext>
                    </c:extLst>
                    <c:numCache>
                      <c:formatCode>General</c:formatCode>
                      <c:ptCount val="5"/>
                      <c:pt idx="0">
                        <c:v>17</c:v>
                      </c:pt>
                      <c:pt idx="1">
                        <c:v>19</c:v>
                      </c:pt>
                      <c:pt idx="2">
                        <c:v>26</c:v>
                      </c:pt>
                      <c:pt idx="3">
                        <c:v>34</c:v>
                      </c:pt>
                      <c:pt idx="4">
                        <c:v>52</c:v>
                      </c:pt>
                    </c:numCache>
                  </c:numRef>
                </c:val>
                <c:extLst>
                  <c:ext xmlns:c16="http://schemas.microsoft.com/office/drawing/2014/chart" uri="{C3380CC4-5D6E-409C-BE32-E72D297353CC}">
                    <c16:uniqueId val="{00000001-C08B-4A0A-A79D-B84106BE8CE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'Q25'!$D$1</c15:sqref>
                        </c15:formulaRef>
                      </c:ext>
                    </c:extLst>
                    <c:strCache>
                      <c:ptCount val="1"/>
                      <c:pt idx="0">
                        <c:v>Large</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'Q25'!$A$4:$A$8</c15:sqref>
                        </c15:formulaRef>
                      </c:ext>
                    </c:extLst>
                    <c:strCache>
                      <c:ptCount val="5"/>
                      <c:pt idx="0">
                        <c:v>Assessment of engagement with Indigenous 
peoples</c:v>
                      </c:pt>
                      <c:pt idx="1">
                        <c:v>Sufficient time and resources for Indigenous 
evaluation engagement</c:v>
                      </c:pt>
                      <c:pt idx="2">
                        <c:v>Routine evaluation of agency policies and 
program</c:v>
                      </c:pt>
                      <c:pt idx="3">
                        <c:v>Culturally safe data collection</c:v>
                      </c:pt>
                      <c:pt idx="4">
                        <c:v>Opportunities for staff cultural capability 
development</c:v>
                      </c:pt>
                    </c:strCache>
                  </c:strRef>
                </c:cat>
                <c:val>
                  <c:numRef>
                    <c:extLst xmlns:c15="http://schemas.microsoft.com/office/drawing/2012/chart">
                      <c:ext xmlns:c15="http://schemas.microsoft.com/office/drawing/2012/chart" uri="{02D57815-91ED-43cb-92C2-25804820EDAC}">
                        <c15:formulaRef>
                          <c15:sqref>'Q25'!$D$4:$D$8</c15:sqref>
                        </c15:formulaRef>
                      </c:ext>
                    </c:extLst>
                    <c:numCache>
                      <c:formatCode>General</c:formatCode>
                      <c:ptCount val="5"/>
                      <c:pt idx="0">
                        <c:v>34.375</c:v>
                      </c:pt>
                      <c:pt idx="1">
                        <c:v>25</c:v>
                      </c:pt>
                      <c:pt idx="2">
                        <c:v>50</c:v>
                      </c:pt>
                      <c:pt idx="3">
                        <c:v>50</c:v>
                      </c:pt>
                      <c:pt idx="4">
                        <c:v>75</c:v>
                      </c:pt>
                    </c:numCache>
                  </c:numRef>
                </c:val>
                <c:extLst xmlns:c15="http://schemas.microsoft.com/office/drawing/2012/chart">
                  <c:ext xmlns:c16="http://schemas.microsoft.com/office/drawing/2014/chart" uri="{C3380CC4-5D6E-409C-BE32-E72D297353CC}">
                    <c16:uniqueId val="{00000002-C08B-4A0A-A79D-B84106BE8CE1}"/>
                  </c:ext>
                </c:extLst>
              </c15:ser>
            </c15:filteredBarSeries>
          </c:ext>
        </c:extLst>
      </c:barChart>
      <c:catAx>
        <c:axId val="1175093071"/>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175093551"/>
        <c:crosses val="autoZero"/>
        <c:auto val="1"/>
        <c:lblAlgn val="ctr"/>
        <c:lblOffset val="100"/>
        <c:tickMarkSkip val="1"/>
        <c:noMultiLvlLbl val="0"/>
      </c:catAx>
      <c:valAx>
        <c:axId val="1175093551"/>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175093071"/>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'Q26'!$B$15</c:f>
              <c:strCache>
                <c:ptCount val="1"/>
                <c:pt idx="0">
                  <c:v>Yes</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'Q26'!$C$14:$G$14</c:f>
              <c:strCache>
                <c:ptCount val="5"/>
                <c:pt idx="0">
                  <c:v>Micro</c:v>
                </c:pt>
                <c:pt idx="1">
                  <c:v>Small</c:v>
                </c:pt>
                <c:pt idx="2">
                  <c:v>Medium</c:v>
                </c:pt>
                <c:pt idx="3">
                  <c:v>Large</c:v>
                </c:pt>
                <c:pt idx="4">
                  <c:v>Total</c:v>
                </c:pt>
              </c:strCache>
            </c:strRef>
          </c:cat>
          <c:val>
            <c:numRef>
              <c:f>'Q26'!$C$15:$G$15</c:f>
              <c:numCache>
                <c:formatCode>0%</c:formatCode>
                <c:ptCount val="5"/>
                <c:pt idx="0">
                  <c:v>4.3478260869565202E-2</c:v>
                </c:pt>
                <c:pt idx="1">
                  <c:v>0.11111111111111099</c:v>
                </c:pt>
                <c:pt idx="2">
                  <c:v>0.3125</c:v>
                </c:pt>
                <c:pt idx="3">
                  <c:v>0.33333333333333298</c:v>
                </c:pt>
                <c:pt idx="4">
                  <c:v>0.211111111111111</c:v>
                </c:pt>
              </c:numCache>
            </c:numRef>
          </c:val>
          <c:extLst>
            <c:ext xmlns:c16="http://schemas.microsoft.com/office/drawing/2014/chart" uri="{C3380CC4-5D6E-409C-BE32-E72D297353CC}">
              <c16:uniqueId val="{00000000-AB34-446C-BDF0-B7592240CEFA}"/>
            </c:ext>
          </c:extLst>
        </c:ser>
        <c:ser>
          <c:idx val="1"/>
          <c:order val="1"/>
          <c:tx>
            <c:strRef>
              <c:f>'Q26'!$B$16</c:f>
              <c:strCache>
                <c:ptCount val="1"/>
                <c:pt idx="0">
                  <c:v>No</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'Q26'!$C$14:$G$14</c:f>
              <c:strCache>
                <c:ptCount val="5"/>
                <c:pt idx="0">
                  <c:v>Micro</c:v>
                </c:pt>
                <c:pt idx="1">
                  <c:v>Small</c:v>
                </c:pt>
                <c:pt idx="2">
                  <c:v>Medium</c:v>
                </c:pt>
                <c:pt idx="3">
                  <c:v>Large</c:v>
                </c:pt>
                <c:pt idx="4">
                  <c:v>Total</c:v>
                </c:pt>
              </c:strCache>
            </c:strRef>
          </c:cat>
          <c:val>
            <c:numRef>
              <c:f>'Q26'!$C$16:$G$16</c:f>
              <c:numCache>
                <c:formatCode>0%</c:formatCode>
                <c:ptCount val="5"/>
                <c:pt idx="0">
                  <c:v>0.95652173913043503</c:v>
                </c:pt>
                <c:pt idx="1">
                  <c:v>0.88888888888888895</c:v>
                </c:pt>
                <c:pt idx="2">
                  <c:v>0.6875</c:v>
                </c:pt>
                <c:pt idx="3">
                  <c:v>0.66666666666666696</c:v>
                </c:pt>
                <c:pt idx="4">
                  <c:v>0.78888888888888897</c:v>
                </c:pt>
              </c:numCache>
            </c:numRef>
          </c:val>
          <c:extLst>
            <c:ext xmlns:c16="http://schemas.microsoft.com/office/drawing/2014/chart" uri="{C3380CC4-5D6E-409C-BE32-E72D297353CC}">
              <c16:uniqueId val="{00000001-AB34-446C-BDF0-B7592240CEFA}"/>
            </c:ext>
          </c:extLst>
        </c:ser>
        <c:dLbls>
          <c:dLblPos val="ctr"/>
          <c:showLegendKey val="0"/>
          <c:showVal val="1"/>
          <c:showCatName val="0"/>
          <c:showSerName val="0"/>
          <c:showPercent val="0"/>
          <c:showBubbleSize val="0"/>
        </c:dLbls>
        <c:gapWidth val="50"/>
        <c:overlap val="100"/>
        <c:axId val="1307759359"/>
        <c:axId val="1307760319"/>
      </c:barChart>
      <c:catAx>
        <c:axId val="1307759359"/>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07760319"/>
        <c:crosses val="autoZero"/>
        <c:auto val="1"/>
        <c:lblAlgn val="ctr"/>
        <c:lblOffset val="100"/>
        <c:noMultiLvlLbl val="0"/>
      </c:catAx>
      <c:valAx>
        <c:axId val="1307760319"/>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07759359"/>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9402777777777775E-2"/>
          <c:w val="0.98149946581196579"/>
          <c:h val="0.94555753968253964"/>
        </c:manualLayout>
      </c:layout>
      <c:barChart>
        <c:barDir val="bar"/>
        <c:grouping val="clustered"/>
        <c:varyColors val="0"/>
        <c:ser>
          <c:idx val="0"/>
          <c:order val="0"/>
          <c:tx>
            <c:strRef>
              <c:f>'Q26.1'!$H$4</c:f>
              <c:strCache>
                <c:ptCount val="1"/>
                <c:pt idx="0">
                  <c:v>Total</c:v>
                </c:pt>
              </c:strCache>
            </c:strRef>
          </c:tx>
          <c:spPr>
            <a:solidFill>
              <a:srgbClr val="213657"/>
            </a:solidFill>
            <a:ln>
              <a:noFill/>
            </a:ln>
            <a:effectLst/>
          </c:spPr>
          <c:invertIfNegative val="0"/>
          <c:cat>
            <c:strRef>
              <c:f>'Q26.1'!$I$2:$I$5</c:f>
              <c:strCache>
                <c:ptCount val="4"/>
                <c:pt idx="0">
                  <c:v>Partner agency</c:v>
                </c:pt>
                <c:pt idx="1">
                  <c:v>Contractor</c:v>
                </c:pt>
                <c:pt idx="2">
                  <c:v>Internal</c:v>
                </c:pt>
                <c:pt idx="3">
                  <c:v>Case-by-case</c:v>
                </c:pt>
              </c:strCache>
            </c:strRef>
          </c:cat>
          <c:val>
            <c:numRef>
              <c:f>'Q26.1'!$K$2:$K$5</c:f>
              <c:numCache>
                <c:formatCode>0.00%</c:formatCode>
                <c:ptCount val="4"/>
                <c:pt idx="0">
                  <c:v>0.157894736842105</c:v>
                </c:pt>
                <c:pt idx="1">
                  <c:v>0.36842105263157898</c:v>
                </c:pt>
                <c:pt idx="2">
                  <c:v>0.47368421052631599</c:v>
                </c:pt>
                <c:pt idx="3">
                  <c:v>0.57894736842105299</c:v>
                </c:pt>
              </c:numCache>
            </c:numRef>
          </c:val>
          <c:extLst>
            <c:ext xmlns:c16="http://schemas.microsoft.com/office/drawing/2014/chart" uri="{C3380CC4-5D6E-409C-BE32-E72D297353CC}">
              <c16:uniqueId val="{00000000-4EF8-4B51-9939-1016E5AF6CEE}"/>
            </c:ext>
          </c:extLst>
        </c:ser>
        <c:dLbls>
          <c:showLegendKey val="0"/>
          <c:showVal val="0"/>
          <c:showCatName val="0"/>
          <c:showSerName val="0"/>
          <c:showPercent val="0"/>
          <c:showBubbleSize val="0"/>
        </c:dLbls>
        <c:gapWidth val="50"/>
        <c:axId val="1385357775"/>
        <c:axId val="1385351535"/>
      </c:barChart>
      <c:catAx>
        <c:axId val="138535777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85351535"/>
        <c:crosses val="autoZero"/>
        <c:auto val="1"/>
        <c:lblAlgn val="ctr"/>
        <c:lblOffset val="100"/>
        <c:noMultiLvlLbl val="0"/>
      </c:catAx>
      <c:valAx>
        <c:axId val="138535153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8535777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13657"/>
            </a:solidFill>
            <a:ln>
              <a:noFill/>
            </a:ln>
            <a:effectLst/>
          </c:spPr>
          <c:invertIfNegative val="0"/>
          <c:dLbls>
            <c:dLbl>
              <c:idx val="0"/>
              <c:layout>
                <c:manualLayout>
                  <c:x val="2.7777777777777267E-3"/>
                  <c:y val="0"/>
                </c:manualLayout>
              </c:layout>
              <c:tx>
                <c:rich>
                  <a:bodyPr/>
                  <a:lstStyle/>
                  <a:p>
                    <a:fld id="{0D228FE9-C2F8-4D98-9704-6F7056ED7077}" type="VALUE">
                      <a:rPr lang="en-US"/>
                      <a:pPr/>
                      <a:t>[VALUE]</a:t>
                    </a:fld>
                    <a:r>
                      <a:rPr lang="en-US"/>
                      <a:t> units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AF4-4D70-8E1D-6A01A4805CB4}"/>
                </c:ext>
              </c:extLst>
            </c:dLbl>
            <c:dLbl>
              <c:idx val="1"/>
              <c:layout>
                <c:manualLayout>
                  <c:x val="-1.0185067526415994E-16"/>
                  <c:y val="0"/>
                </c:manualLayout>
              </c:layout>
              <c:tx>
                <c:rich>
                  <a:bodyPr/>
                  <a:lstStyle/>
                  <a:p>
                    <a:fld id="{9D6B4105-1757-4A65-A864-37B9DC9B2AD7}" type="VALUE">
                      <a:rPr lang="en-US"/>
                      <a:pPr/>
                      <a:t>[VALUE]</a:t>
                    </a:fld>
                    <a:r>
                      <a:rPr lang="en-US"/>
                      <a:t> units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AF4-4D70-8E1D-6A01A4805CB4}"/>
                </c:ext>
              </c:extLst>
            </c:dLbl>
            <c:dLbl>
              <c:idx val="2"/>
              <c:layout>
                <c:manualLayout>
                  <c:x val="-1.0185067526415994E-16"/>
                  <c:y val="-4.6296296296296294E-3"/>
                </c:manualLayout>
              </c:layout>
              <c:tx>
                <c:rich>
                  <a:bodyPr/>
                  <a:lstStyle/>
                  <a:p>
                    <a:fld id="{7C65E5C2-98A3-4620-A795-3937B545E7D9}" type="VALUE">
                      <a:rPr lang="en-US"/>
                      <a:pPr/>
                      <a:t>[VALUE]</a:t>
                    </a:fld>
                    <a:r>
                      <a:rPr lang="en-US"/>
                      <a:t> units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AF4-4D70-8E1D-6A01A4805CB4}"/>
                </c:ext>
              </c:extLst>
            </c:dLbl>
            <c:dLbl>
              <c:idx val="3"/>
              <c:layout>
                <c:manualLayout>
                  <c:x val="2.5693350831145086E-3"/>
                  <c:y val="-4.6296296296296294E-3"/>
                </c:manualLayout>
              </c:layout>
              <c:tx>
                <c:rich>
                  <a:bodyPr/>
                  <a:lstStyle/>
                  <a:p>
                    <a:fld id="{B42F83EC-E963-41D3-8834-173B3D993236}" type="VALUE">
                      <a:rPr lang="en-US"/>
                      <a:pPr/>
                      <a:t>[VALUE]</a:t>
                    </a:fld>
                    <a:r>
                      <a:rPr lang="en-US"/>
                      <a:t> units</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AF4-4D70-8E1D-6A01A4805CB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'[SoE graphs with totals.xlsx]Q6.3'!$H$31:$H$34</c:f>
              <c:strCache>
                <c:ptCount val="4"/>
                <c:pt idx="0">
                  <c:v>13+ ASL</c:v>
                </c:pt>
                <c:pt idx="1">
                  <c:v>10-12 ASL</c:v>
                </c:pt>
                <c:pt idx="2">
                  <c:v>4-9 ASL</c:v>
                </c:pt>
                <c:pt idx="3">
                  <c:v>3 or less ASL</c:v>
                </c:pt>
              </c:strCache>
            </c:strRef>
          </c:cat>
          <c:val>
            <c:numRef>
              <c:f>'[SoE graphs with totals.xlsx]Q6.3'!$I$31:$I$34</c:f>
              <c:numCache>
                <c:formatCode>General</c:formatCode>
                <c:ptCount val="4"/>
                <c:pt idx="0">
                  <c:v>4</c:v>
                </c:pt>
                <c:pt idx="1">
                  <c:v>7</c:v>
                </c:pt>
                <c:pt idx="2">
                  <c:v>7</c:v>
                </c:pt>
                <c:pt idx="3">
                  <c:v>9</c:v>
                </c:pt>
              </c:numCache>
            </c:numRef>
          </c:val>
          <c:extLst>
            <c:ext xmlns:c16="http://schemas.microsoft.com/office/drawing/2014/chart" uri="{C3380CC4-5D6E-409C-BE32-E72D297353CC}">
              <c16:uniqueId val="{00000004-2AF4-4D70-8E1D-6A01A4805CB4}"/>
            </c:ext>
          </c:extLst>
        </c:ser>
        <c:ser>
          <c:idx val="1"/>
          <c:order val="1"/>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'[SoE graphs with totals.xlsx]Q6.3'!$H$31:$H$34</c:f>
              <c:strCache>
                <c:ptCount val="4"/>
                <c:pt idx="0">
                  <c:v>13+ ASL</c:v>
                </c:pt>
                <c:pt idx="1">
                  <c:v>10-12 ASL</c:v>
                </c:pt>
                <c:pt idx="2">
                  <c:v>4-9 ASL</c:v>
                </c:pt>
                <c:pt idx="3">
                  <c:v>3 or less ASL</c:v>
                </c:pt>
              </c:strCache>
            </c:strRef>
          </c:cat>
          <c:val>
            <c:numRef>
              <c:f>'[SoE graphs with totals.xlsx]Q6.3'!$I$31:$I$34</c:f>
              <c:numCache>
                <c:formatCode>General</c:formatCode>
                <c:ptCount val="4"/>
                <c:pt idx="0">
                  <c:v>4</c:v>
                </c:pt>
                <c:pt idx="1">
                  <c:v>7</c:v>
                </c:pt>
                <c:pt idx="2">
                  <c:v>7</c:v>
                </c:pt>
                <c:pt idx="3">
                  <c:v>9</c:v>
                </c:pt>
              </c:numCache>
            </c:numRef>
          </c:val>
          <c:extLst>
            <c:ext xmlns:c16="http://schemas.microsoft.com/office/drawing/2014/chart" uri="{C3380CC4-5D6E-409C-BE32-E72D297353CC}">
              <c16:uniqueId val="{00000005-2AF4-4D70-8E1D-6A01A4805CB4}"/>
            </c:ext>
          </c:extLst>
        </c:ser>
        <c:dLbls>
          <c:showLegendKey val="0"/>
          <c:showVal val="0"/>
          <c:showCatName val="0"/>
          <c:showSerName val="0"/>
          <c:showPercent val="0"/>
          <c:showBubbleSize val="0"/>
        </c:dLbls>
        <c:gapWidth val="50"/>
        <c:overlap val="100"/>
        <c:axId val="1364658655"/>
        <c:axId val="1364669695"/>
      </c:barChart>
      <c:catAx>
        <c:axId val="1364658655"/>
        <c:scaling>
          <c:orientation val="minMax"/>
        </c:scaling>
        <c:delete val="1"/>
        <c:axPos val="l"/>
        <c:numFmt formatCode="General" sourceLinked="1"/>
        <c:majorTickMark val="none"/>
        <c:minorTickMark val="none"/>
        <c:tickLblPos val="nextTo"/>
        <c:crossAx val="1364669695"/>
        <c:crosses val="autoZero"/>
        <c:auto val="1"/>
        <c:lblAlgn val="ctr"/>
        <c:lblOffset val="100"/>
        <c:noMultiLvlLbl val="0"/>
      </c:catAx>
      <c:valAx>
        <c:axId val="1364669695"/>
        <c:scaling>
          <c:orientation val="minMax"/>
        </c:scaling>
        <c:delete val="1"/>
        <c:axPos val="b"/>
        <c:numFmt formatCode="General" sourceLinked="1"/>
        <c:majorTickMark val="none"/>
        <c:minorTickMark val="none"/>
        <c:tickLblPos val="nextTo"/>
        <c:crossAx val="1364658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1"/>
          <c:order val="0"/>
          <c:tx>
            <c:strRef>
              <c:f>'Q26.2'!$A$18</c:f>
              <c:strCache>
                <c:ptCount val="1"/>
                <c:pt idx="0">
                  <c:v>Under consideration</c:v>
                </c:pt>
              </c:strCache>
            </c:strRef>
          </c:tx>
          <c:spPr>
            <a:solidFill>
              <a:srgbClr val="02843D"/>
            </a:solidFill>
            <a:ln>
              <a:noFill/>
            </a:ln>
            <a:effectLst/>
          </c:spPr>
          <c:invertIfNegative val="0"/>
          <c:cat>
            <c:strRef>
              <c:f>'Q26.2'!$B$16:$F$16</c:f>
              <c:strCache>
                <c:ptCount val="5"/>
                <c:pt idx="0">
                  <c:v>Micro</c:v>
                </c:pt>
                <c:pt idx="1">
                  <c:v>Small</c:v>
                </c:pt>
                <c:pt idx="2">
                  <c:v>Medium</c:v>
                </c:pt>
                <c:pt idx="3">
                  <c:v>Large</c:v>
                </c:pt>
                <c:pt idx="4">
                  <c:v>Total</c:v>
                </c:pt>
              </c:strCache>
            </c:strRef>
          </c:cat>
          <c:val>
            <c:numRef>
              <c:f>'Q26.2'!$B$18:$F$18</c:f>
              <c:numCache>
                <c:formatCode>0.00%</c:formatCode>
                <c:ptCount val="5"/>
                <c:pt idx="0">
                  <c:v>0.625</c:v>
                </c:pt>
                <c:pt idx="1">
                  <c:v>0.25</c:v>
                </c:pt>
                <c:pt idx="2">
                  <c:v>0.8</c:v>
                </c:pt>
                <c:pt idx="3">
                  <c:v>0.238095238095238</c:v>
                </c:pt>
                <c:pt idx="4">
                  <c:v>0.13559322033898299</c:v>
                </c:pt>
              </c:numCache>
            </c:numRef>
          </c:val>
          <c:extLst>
            <c:ext xmlns:c16="http://schemas.microsoft.com/office/drawing/2014/chart" uri="{C3380CC4-5D6E-409C-BE32-E72D297353CC}">
              <c16:uniqueId val="{00000000-13D0-4AF3-860B-2C4E496330A5}"/>
            </c:ext>
          </c:extLst>
        </c:ser>
        <c:ser>
          <c:idx val="2"/>
          <c:order val="1"/>
          <c:tx>
            <c:strRef>
              <c:f>'Q26.2'!$A$19</c:f>
              <c:strCache>
                <c:ptCount val="1"/>
                <c:pt idx="0">
                  <c:v>Unsure</c:v>
                </c:pt>
              </c:strCache>
            </c:strRef>
          </c:tx>
          <c:spPr>
            <a:solidFill>
              <a:srgbClr val="B65716"/>
            </a:solidFill>
            <a:ln w="25400">
              <a:noFill/>
            </a:ln>
            <a:effectLst/>
          </c:spPr>
          <c:invertIfNegative val="0"/>
          <c:cat>
            <c:strRef>
              <c:f>'Q26.2'!$B$16:$F$16</c:f>
              <c:strCache>
                <c:ptCount val="5"/>
                <c:pt idx="0">
                  <c:v>Micro</c:v>
                </c:pt>
                <c:pt idx="1">
                  <c:v>Small</c:v>
                </c:pt>
                <c:pt idx="2">
                  <c:v>Medium</c:v>
                </c:pt>
                <c:pt idx="3">
                  <c:v>Large</c:v>
                </c:pt>
                <c:pt idx="4">
                  <c:v>Total</c:v>
                </c:pt>
              </c:strCache>
            </c:strRef>
          </c:cat>
          <c:val>
            <c:numRef>
              <c:f>'Q26.2'!$B$19:$F$19</c:f>
              <c:numCache>
                <c:formatCode>0.00%</c:formatCode>
                <c:ptCount val="5"/>
                <c:pt idx="0" formatCode="General">
                  <c:v>0</c:v>
                </c:pt>
                <c:pt idx="1">
                  <c:v>0.58333333333333304</c:v>
                </c:pt>
                <c:pt idx="2" formatCode="General">
                  <c:v>0</c:v>
                </c:pt>
                <c:pt idx="3">
                  <c:v>0.28571428571428603</c:v>
                </c:pt>
                <c:pt idx="4">
                  <c:v>0.52542372881355903</c:v>
                </c:pt>
              </c:numCache>
            </c:numRef>
          </c:val>
          <c:extLst>
            <c:ext xmlns:c16="http://schemas.microsoft.com/office/drawing/2014/chart" uri="{C3380CC4-5D6E-409C-BE32-E72D297353CC}">
              <c16:uniqueId val="{00000001-13D0-4AF3-860B-2C4E496330A5}"/>
            </c:ext>
          </c:extLst>
        </c:ser>
        <c:ser>
          <c:idx val="0"/>
          <c:order val="2"/>
          <c:tx>
            <c:strRef>
              <c:f>'Q26.2'!$A$17</c:f>
              <c:strCache>
                <c:ptCount val="1"/>
                <c:pt idx="0">
                  <c:v>No formal process</c:v>
                </c:pt>
              </c:strCache>
            </c:strRef>
          </c:tx>
          <c:spPr>
            <a:solidFill>
              <a:srgbClr val="213657"/>
            </a:solidFill>
            <a:ln>
              <a:noFill/>
            </a:ln>
            <a:effectLst/>
          </c:spPr>
          <c:invertIfNegative val="0"/>
          <c:cat>
            <c:strRef>
              <c:f>'Q26.2'!$B$16:$F$16</c:f>
              <c:strCache>
                <c:ptCount val="5"/>
                <c:pt idx="0">
                  <c:v>Micro</c:v>
                </c:pt>
                <c:pt idx="1">
                  <c:v>Small</c:v>
                </c:pt>
                <c:pt idx="2">
                  <c:v>Medium</c:v>
                </c:pt>
                <c:pt idx="3">
                  <c:v>Large</c:v>
                </c:pt>
                <c:pt idx="4">
                  <c:v>Total</c:v>
                </c:pt>
              </c:strCache>
            </c:strRef>
          </c:cat>
          <c:val>
            <c:numRef>
              <c:f>'Q26.2'!$B$17:$F$17</c:f>
              <c:numCache>
                <c:formatCode>0.00%</c:formatCode>
                <c:ptCount val="5"/>
                <c:pt idx="0">
                  <c:v>0.375</c:v>
                </c:pt>
                <c:pt idx="1">
                  <c:v>0.16666666666666699</c:v>
                </c:pt>
                <c:pt idx="2">
                  <c:v>0.2</c:v>
                </c:pt>
                <c:pt idx="3">
                  <c:v>0.476190476190476</c:v>
                </c:pt>
                <c:pt idx="4">
                  <c:v>0.338983050847458</c:v>
                </c:pt>
              </c:numCache>
            </c:numRef>
          </c:val>
          <c:extLst>
            <c:ext xmlns:c16="http://schemas.microsoft.com/office/drawing/2014/chart" uri="{C3380CC4-5D6E-409C-BE32-E72D297353CC}">
              <c16:uniqueId val="{00000002-13D0-4AF3-860B-2C4E496330A5}"/>
            </c:ext>
          </c:extLst>
        </c:ser>
        <c:dLbls>
          <c:showLegendKey val="0"/>
          <c:showVal val="0"/>
          <c:showCatName val="0"/>
          <c:showSerName val="0"/>
          <c:showPercent val="0"/>
          <c:showBubbleSize val="0"/>
        </c:dLbls>
        <c:gapWidth val="50"/>
        <c:overlap val="100"/>
        <c:axId val="1307759359"/>
        <c:axId val="1307760319"/>
      </c:barChart>
      <c:catAx>
        <c:axId val="1307759359"/>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07760319"/>
        <c:crosses val="autoZero"/>
        <c:auto val="1"/>
        <c:lblAlgn val="ctr"/>
        <c:lblOffset val="100"/>
        <c:noMultiLvlLbl val="0"/>
      </c:catAx>
      <c:valAx>
        <c:axId val="1307760319"/>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07759359"/>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'Q27'!$A$19</c:f>
              <c:strCache>
                <c:ptCount val="1"/>
                <c:pt idx="0">
                  <c:v>Always</c:v>
                </c:pt>
              </c:strCache>
            </c:strRef>
          </c:tx>
          <c:spPr>
            <a:solidFill>
              <a:srgbClr val="02843D"/>
            </a:solidFill>
            <a:ln>
              <a:noFill/>
            </a:ln>
            <a:effectLst/>
          </c:spPr>
          <c:invertIfNegative val="0"/>
          <c:cat>
            <c:strRef>
              <c:f>'Q27'!$B$18:$D$18</c:f>
              <c:strCache>
                <c:ptCount val="3"/>
                <c:pt idx="0">
                  <c:v>Support new initiatives</c:v>
                </c:pt>
                <c:pt idx="1">
                  <c:v>Assess performance with benchmarking</c:v>
                </c:pt>
                <c:pt idx="2">
                  <c:v>Assess performance without benchmarking</c:v>
                </c:pt>
              </c:strCache>
            </c:strRef>
          </c:cat>
          <c:val>
            <c:numRef>
              <c:f>'Q27'!$B$19:$D$19</c:f>
              <c:numCache>
                <c:formatCode>0.00%</c:formatCode>
                <c:ptCount val="3"/>
                <c:pt idx="0">
                  <c:v>7.5949367088607597E-2</c:v>
                </c:pt>
                <c:pt idx="1">
                  <c:v>0.16049382716049401</c:v>
                </c:pt>
                <c:pt idx="2">
                  <c:v>2.5000000000000001E-2</c:v>
                </c:pt>
              </c:numCache>
            </c:numRef>
          </c:val>
          <c:extLst>
            <c:ext xmlns:c16="http://schemas.microsoft.com/office/drawing/2014/chart" uri="{C3380CC4-5D6E-409C-BE32-E72D297353CC}">
              <c16:uniqueId val="{00000000-1691-4784-A4D4-56E4607EA320}"/>
            </c:ext>
          </c:extLst>
        </c:ser>
        <c:ser>
          <c:idx val="2"/>
          <c:order val="1"/>
          <c:tx>
            <c:strRef>
              <c:f>'Q27'!$A$21</c:f>
              <c:strCache>
                <c:ptCount val="1"/>
                <c:pt idx="0">
                  <c:v>Often</c:v>
                </c:pt>
              </c:strCache>
            </c:strRef>
          </c:tx>
          <c:spPr>
            <a:solidFill>
              <a:srgbClr val="B65716"/>
            </a:solidFill>
            <a:ln>
              <a:noFill/>
            </a:ln>
            <a:effectLst/>
          </c:spPr>
          <c:invertIfNegative val="0"/>
          <c:cat>
            <c:strRef>
              <c:f>'Q27'!$B$18:$D$18</c:f>
              <c:strCache>
                <c:ptCount val="3"/>
                <c:pt idx="0">
                  <c:v>Support new initiatives</c:v>
                </c:pt>
                <c:pt idx="1">
                  <c:v>Assess performance with benchmarking</c:v>
                </c:pt>
                <c:pt idx="2">
                  <c:v>Assess performance without benchmarking</c:v>
                </c:pt>
              </c:strCache>
            </c:strRef>
          </c:cat>
          <c:val>
            <c:numRef>
              <c:f>'Q27'!$B$21:$D$21</c:f>
              <c:numCache>
                <c:formatCode>0.00%</c:formatCode>
                <c:ptCount val="3"/>
                <c:pt idx="0">
                  <c:v>0.253164556962025</c:v>
                </c:pt>
                <c:pt idx="1">
                  <c:v>0.209876543209877</c:v>
                </c:pt>
                <c:pt idx="2">
                  <c:v>0.125</c:v>
                </c:pt>
              </c:numCache>
            </c:numRef>
          </c:val>
          <c:extLst>
            <c:ext xmlns:c16="http://schemas.microsoft.com/office/drawing/2014/chart" uri="{C3380CC4-5D6E-409C-BE32-E72D297353CC}">
              <c16:uniqueId val="{00000001-1691-4784-A4D4-56E4607EA320}"/>
            </c:ext>
          </c:extLst>
        </c:ser>
        <c:ser>
          <c:idx val="4"/>
          <c:order val="2"/>
          <c:tx>
            <c:strRef>
              <c:f>'Q27'!$A$23</c:f>
              <c:strCache>
                <c:ptCount val="1"/>
                <c:pt idx="0">
                  <c:v>Sometimes</c:v>
                </c:pt>
              </c:strCache>
            </c:strRef>
          </c:tx>
          <c:spPr>
            <a:solidFill>
              <a:srgbClr val="6D7684"/>
            </a:solidFill>
            <a:ln>
              <a:noFill/>
            </a:ln>
            <a:effectLst/>
          </c:spPr>
          <c:invertIfNegative val="0"/>
          <c:cat>
            <c:strRef>
              <c:f>'Q27'!$B$18:$D$18</c:f>
              <c:strCache>
                <c:ptCount val="3"/>
                <c:pt idx="0">
                  <c:v>Support new initiatives</c:v>
                </c:pt>
                <c:pt idx="1">
                  <c:v>Assess performance with benchmarking</c:v>
                </c:pt>
                <c:pt idx="2">
                  <c:v>Assess performance without benchmarking</c:v>
                </c:pt>
              </c:strCache>
            </c:strRef>
          </c:cat>
          <c:val>
            <c:numRef>
              <c:f>'Q27'!$B$23:$D$23</c:f>
              <c:numCache>
                <c:formatCode>0.00%</c:formatCode>
                <c:ptCount val="3"/>
                <c:pt idx="0">
                  <c:v>0.455696202531646</c:v>
                </c:pt>
                <c:pt idx="1">
                  <c:v>0.32098765432098803</c:v>
                </c:pt>
                <c:pt idx="2">
                  <c:v>0.42499999999999999</c:v>
                </c:pt>
              </c:numCache>
            </c:numRef>
          </c:val>
          <c:extLst>
            <c:ext xmlns:c16="http://schemas.microsoft.com/office/drawing/2014/chart" uri="{C3380CC4-5D6E-409C-BE32-E72D297353CC}">
              <c16:uniqueId val="{00000002-1691-4784-A4D4-56E4607EA320}"/>
            </c:ext>
          </c:extLst>
        </c:ser>
        <c:ser>
          <c:idx val="3"/>
          <c:order val="3"/>
          <c:tx>
            <c:strRef>
              <c:f>'Q27'!$A$22</c:f>
              <c:strCache>
                <c:ptCount val="1"/>
                <c:pt idx="0">
                  <c:v>Rarely</c:v>
                </c:pt>
              </c:strCache>
            </c:strRef>
          </c:tx>
          <c:spPr>
            <a:solidFill>
              <a:srgbClr val="0364C3"/>
            </a:solidFill>
            <a:ln>
              <a:noFill/>
            </a:ln>
            <a:effectLst/>
          </c:spPr>
          <c:invertIfNegative val="0"/>
          <c:cat>
            <c:strRef>
              <c:f>'Q27'!$B$18:$D$18</c:f>
              <c:strCache>
                <c:ptCount val="3"/>
                <c:pt idx="0">
                  <c:v>Support new initiatives</c:v>
                </c:pt>
                <c:pt idx="1">
                  <c:v>Assess performance with benchmarking</c:v>
                </c:pt>
                <c:pt idx="2">
                  <c:v>Assess performance without benchmarking</c:v>
                </c:pt>
              </c:strCache>
            </c:strRef>
          </c:cat>
          <c:val>
            <c:numRef>
              <c:f>'Q27'!$B$22:$D$22</c:f>
              <c:numCache>
                <c:formatCode>0.00%</c:formatCode>
                <c:ptCount val="3"/>
                <c:pt idx="0">
                  <c:v>0.126582278481013</c:v>
                </c:pt>
                <c:pt idx="1">
                  <c:v>0.19753086419753099</c:v>
                </c:pt>
                <c:pt idx="2">
                  <c:v>0.2</c:v>
                </c:pt>
              </c:numCache>
            </c:numRef>
          </c:val>
          <c:extLst>
            <c:ext xmlns:c16="http://schemas.microsoft.com/office/drawing/2014/chart" uri="{C3380CC4-5D6E-409C-BE32-E72D297353CC}">
              <c16:uniqueId val="{00000003-1691-4784-A4D4-56E4607EA320}"/>
            </c:ext>
          </c:extLst>
        </c:ser>
        <c:ser>
          <c:idx val="1"/>
          <c:order val="4"/>
          <c:tx>
            <c:strRef>
              <c:f>'Q27'!$A$20</c:f>
              <c:strCache>
                <c:ptCount val="1"/>
                <c:pt idx="0">
                  <c:v>Never</c:v>
                </c:pt>
              </c:strCache>
            </c:strRef>
          </c:tx>
          <c:spPr>
            <a:solidFill>
              <a:srgbClr val="213657"/>
            </a:solidFill>
            <a:ln>
              <a:noFill/>
            </a:ln>
            <a:effectLst/>
          </c:spPr>
          <c:invertIfNegative val="0"/>
          <c:cat>
            <c:strRef>
              <c:f>'Q27'!$B$18:$D$18</c:f>
              <c:strCache>
                <c:ptCount val="3"/>
                <c:pt idx="0">
                  <c:v>Support new initiatives</c:v>
                </c:pt>
                <c:pt idx="1">
                  <c:v>Assess performance with benchmarking</c:v>
                </c:pt>
                <c:pt idx="2">
                  <c:v>Assess performance without benchmarking</c:v>
                </c:pt>
              </c:strCache>
            </c:strRef>
          </c:cat>
          <c:val>
            <c:numRef>
              <c:f>'Q27'!$B$20:$D$20</c:f>
              <c:numCache>
                <c:formatCode>0.00%</c:formatCode>
                <c:ptCount val="3"/>
                <c:pt idx="0">
                  <c:v>8.8607594936708903E-2</c:v>
                </c:pt>
                <c:pt idx="1">
                  <c:v>0.11111111111111099</c:v>
                </c:pt>
                <c:pt idx="2">
                  <c:v>0.22500000000000001</c:v>
                </c:pt>
              </c:numCache>
            </c:numRef>
          </c:val>
          <c:extLst>
            <c:ext xmlns:c16="http://schemas.microsoft.com/office/drawing/2014/chart" uri="{C3380CC4-5D6E-409C-BE32-E72D297353CC}">
              <c16:uniqueId val="{00000004-1691-4784-A4D4-56E4607EA320}"/>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'Q28'!$A$48</c:f>
              <c:strCache>
                <c:ptCount val="1"/>
                <c:pt idx="0">
                  <c:v>Always</c:v>
                </c:pt>
              </c:strCache>
            </c:strRef>
          </c:tx>
          <c:spPr>
            <a:solidFill>
              <a:srgbClr val="02843D"/>
            </a:solidFill>
            <a:ln>
              <a:noFill/>
            </a:ln>
            <a:effectLst/>
          </c:spPr>
          <c:invertIfNegative val="0"/>
          <c:cat>
            <c:strRef>
              <c:f>'Q28'!$B$47:$J$47</c:f>
              <c:strCache>
                <c:ptCount val="9"/>
                <c:pt idx="0">
                  <c:v>Plan/revise general strategies</c:v>
                </c:pt>
                <c:pt idx="1">
                  <c:v>Plan/revise program initiatives</c:v>
                </c:pt>
                <c:pt idx="2">
                  <c:v>Plan/revise grant initiatives</c:v>
                </c:pt>
                <c:pt idx="3">
                  <c:v>Report to Board of Directors</c:v>
                </c:pt>
                <c:pt idx="4">
                  <c:v>Report to Government</c:v>
                </c:pt>
                <c:pt idx="5">
                  <c:v>Report to stakeholders</c:v>
                </c:pt>
                <c:pt idx="6">
                  <c:v>Advocate for a cause</c:v>
                </c:pt>
                <c:pt idx="7">
                  <c:v>Share findings with peers</c:v>
                </c:pt>
                <c:pt idx="8">
                  <c:v>Make funding allocation decisions</c:v>
                </c:pt>
              </c:strCache>
            </c:strRef>
          </c:cat>
          <c:val>
            <c:numRef>
              <c:f>'Q28'!$B$48:$J$48</c:f>
              <c:numCache>
                <c:formatCode>0.00%</c:formatCode>
                <c:ptCount val="9"/>
                <c:pt idx="0">
                  <c:v>3.7037037037037E-2</c:v>
                </c:pt>
                <c:pt idx="1">
                  <c:v>4.7619047619047603E-2</c:v>
                </c:pt>
                <c:pt idx="2">
                  <c:v>2.7777777777777801E-2</c:v>
                </c:pt>
                <c:pt idx="3">
                  <c:v>9.0909090909090898E-2</c:v>
                </c:pt>
                <c:pt idx="4">
                  <c:v>0.125</c:v>
                </c:pt>
                <c:pt idx="5">
                  <c:v>6.1728395061728406E-2</c:v>
                </c:pt>
                <c:pt idx="6">
                  <c:v>0</c:v>
                </c:pt>
                <c:pt idx="7">
                  <c:v>2.5316455696202497E-2</c:v>
                </c:pt>
                <c:pt idx="8">
                  <c:v>3.7499999999999999E-2</c:v>
                </c:pt>
              </c:numCache>
            </c:numRef>
          </c:val>
          <c:extLst>
            <c:ext xmlns:c16="http://schemas.microsoft.com/office/drawing/2014/chart" uri="{C3380CC4-5D6E-409C-BE32-E72D297353CC}">
              <c16:uniqueId val="{00000000-A775-4BE2-9CFF-764752BAD4CA}"/>
            </c:ext>
          </c:extLst>
        </c:ser>
        <c:ser>
          <c:idx val="2"/>
          <c:order val="1"/>
          <c:tx>
            <c:strRef>
              <c:f>'Q28'!$A$50</c:f>
              <c:strCache>
                <c:ptCount val="1"/>
                <c:pt idx="0">
                  <c:v>Often</c:v>
                </c:pt>
              </c:strCache>
            </c:strRef>
          </c:tx>
          <c:spPr>
            <a:solidFill>
              <a:srgbClr val="B65716"/>
            </a:solidFill>
            <a:ln>
              <a:noFill/>
            </a:ln>
            <a:effectLst/>
          </c:spPr>
          <c:invertIfNegative val="0"/>
          <c:cat>
            <c:strRef>
              <c:f>'Q28'!$B$47:$J$47</c:f>
              <c:strCache>
                <c:ptCount val="9"/>
                <c:pt idx="0">
                  <c:v>Plan/revise general strategies</c:v>
                </c:pt>
                <c:pt idx="1">
                  <c:v>Plan/revise program initiatives</c:v>
                </c:pt>
                <c:pt idx="2">
                  <c:v>Plan/revise grant initiatives</c:v>
                </c:pt>
                <c:pt idx="3">
                  <c:v>Report to Board of Directors</c:v>
                </c:pt>
                <c:pt idx="4">
                  <c:v>Report to Government</c:v>
                </c:pt>
                <c:pt idx="5">
                  <c:v>Report to stakeholders</c:v>
                </c:pt>
                <c:pt idx="6">
                  <c:v>Advocate for a cause</c:v>
                </c:pt>
                <c:pt idx="7">
                  <c:v>Share findings with peers</c:v>
                </c:pt>
                <c:pt idx="8">
                  <c:v>Make funding allocation decisions</c:v>
                </c:pt>
              </c:strCache>
            </c:strRef>
          </c:cat>
          <c:val>
            <c:numRef>
              <c:f>'Q28'!$B$50:$J$50</c:f>
              <c:numCache>
                <c:formatCode>0.00%</c:formatCode>
                <c:ptCount val="9"/>
                <c:pt idx="0">
                  <c:v>0.33333333333333298</c:v>
                </c:pt>
                <c:pt idx="1">
                  <c:v>0.34523809523809501</c:v>
                </c:pt>
                <c:pt idx="2">
                  <c:v>0.22222222222222199</c:v>
                </c:pt>
                <c:pt idx="3">
                  <c:v>0.207792207792208</c:v>
                </c:pt>
                <c:pt idx="4">
                  <c:v>0.33750000000000002</c:v>
                </c:pt>
                <c:pt idx="5">
                  <c:v>0.35802469135802495</c:v>
                </c:pt>
                <c:pt idx="6">
                  <c:v>0.103896103896104</c:v>
                </c:pt>
                <c:pt idx="7">
                  <c:v>0.291139240506329</c:v>
                </c:pt>
                <c:pt idx="8">
                  <c:v>0.21249999999999999</c:v>
                </c:pt>
              </c:numCache>
            </c:numRef>
          </c:val>
          <c:extLst>
            <c:ext xmlns:c16="http://schemas.microsoft.com/office/drawing/2014/chart" uri="{C3380CC4-5D6E-409C-BE32-E72D297353CC}">
              <c16:uniqueId val="{00000001-A775-4BE2-9CFF-764752BAD4CA}"/>
            </c:ext>
          </c:extLst>
        </c:ser>
        <c:ser>
          <c:idx val="4"/>
          <c:order val="2"/>
          <c:tx>
            <c:strRef>
              <c:f>'Q28'!$A$52</c:f>
              <c:strCache>
                <c:ptCount val="1"/>
                <c:pt idx="0">
                  <c:v>Sometimes</c:v>
                </c:pt>
              </c:strCache>
            </c:strRef>
          </c:tx>
          <c:spPr>
            <a:solidFill>
              <a:srgbClr val="6D7684"/>
            </a:solidFill>
            <a:ln>
              <a:noFill/>
            </a:ln>
            <a:effectLst/>
          </c:spPr>
          <c:invertIfNegative val="0"/>
          <c:cat>
            <c:strRef>
              <c:f>'Q28'!$B$47:$J$47</c:f>
              <c:strCache>
                <c:ptCount val="9"/>
                <c:pt idx="0">
                  <c:v>Plan/revise general strategies</c:v>
                </c:pt>
                <c:pt idx="1">
                  <c:v>Plan/revise program initiatives</c:v>
                </c:pt>
                <c:pt idx="2">
                  <c:v>Plan/revise grant initiatives</c:v>
                </c:pt>
                <c:pt idx="3">
                  <c:v>Report to Board of Directors</c:v>
                </c:pt>
                <c:pt idx="4">
                  <c:v>Report to Government</c:v>
                </c:pt>
                <c:pt idx="5">
                  <c:v>Report to stakeholders</c:v>
                </c:pt>
                <c:pt idx="6">
                  <c:v>Advocate for a cause</c:v>
                </c:pt>
                <c:pt idx="7">
                  <c:v>Share findings with peers</c:v>
                </c:pt>
                <c:pt idx="8">
                  <c:v>Make funding allocation decisions</c:v>
                </c:pt>
              </c:strCache>
            </c:strRef>
          </c:cat>
          <c:val>
            <c:numRef>
              <c:f>'Q28'!$B$52:$J$52</c:f>
              <c:numCache>
                <c:formatCode>0.00%</c:formatCode>
                <c:ptCount val="9"/>
                <c:pt idx="0">
                  <c:v>0.43209876543209902</c:v>
                </c:pt>
                <c:pt idx="1">
                  <c:v>0.40476190476190504</c:v>
                </c:pt>
                <c:pt idx="2">
                  <c:v>0.194444444444444</c:v>
                </c:pt>
                <c:pt idx="3">
                  <c:v>0.27272727272727298</c:v>
                </c:pt>
                <c:pt idx="4">
                  <c:v>0.3125</c:v>
                </c:pt>
                <c:pt idx="5">
                  <c:v>0.33333333333333298</c:v>
                </c:pt>
                <c:pt idx="6">
                  <c:v>0.23376623376623398</c:v>
                </c:pt>
                <c:pt idx="7">
                  <c:v>0.30379746835443</c:v>
                </c:pt>
                <c:pt idx="8">
                  <c:v>0.35</c:v>
                </c:pt>
              </c:numCache>
            </c:numRef>
          </c:val>
          <c:extLst>
            <c:ext xmlns:c16="http://schemas.microsoft.com/office/drawing/2014/chart" uri="{C3380CC4-5D6E-409C-BE32-E72D297353CC}">
              <c16:uniqueId val="{00000002-A775-4BE2-9CFF-764752BAD4CA}"/>
            </c:ext>
          </c:extLst>
        </c:ser>
        <c:ser>
          <c:idx val="3"/>
          <c:order val="3"/>
          <c:tx>
            <c:strRef>
              <c:f>'Q28'!$A$51</c:f>
              <c:strCache>
                <c:ptCount val="1"/>
                <c:pt idx="0">
                  <c:v>Rarely</c:v>
                </c:pt>
              </c:strCache>
            </c:strRef>
          </c:tx>
          <c:spPr>
            <a:solidFill>
              <a:srgbClr val="0364C3"/>
            </a:solidFill>
            <a:ln>
              <a:noFill/>
            </a:ln>
            <a:effectLst/>
          </c:spPr>
          <c:invertIfNegative val="0"/>
          <c:cat>
            <c:strRef>
              <c:f>'Q28'!$B$47:$J$47</c:f>
              <c:strCache>
                <c:ptCount val="9"/>
                <c:pt idx="0">
                  <c:v>Plan/revise general strategies</c:v>
                </c:pt>
                <c:pt idx="1">
                  <c:v>Plan/revise program initiatives</c:v>
                </c:pt>
                <c:pt idx="2">
                  <c:v>Plan/revise grant initiatives</c:v>
                </c:pt>
                <c:pt idx="3">
                  <c:v>Report to Board of Directors</c:v>
                </c:pt>
                <c:pt idx="4">
                  <c:v>Report to Government</c:v>
                </c:pt>
                <c:pt idx="5">
                  <c:v>Report to stakeholders</c:v>
                </c:pt>
                <c:pt idx="6">
                  <c:v>Advocate for a cause</c:v>
                </c:pt>
                <c:pt idx="7">
                  <c:v>Share findings with peers</c:v>
                </c:pt>
                <c:pt idx="8">
                  <c:v>Make funding allocation decisions</c:v>
                </c:pt>
              </c:strCache>
            </c:strRef>
          </c:cat>
          <c:val>
            <c:numRef>
              <c:f>'Q28'!$B$51:$J$51</c:f>
              <c:numCache>
                <c:formatCode>0.00%</c:formatCode>
                <c:ptCount val="9"/>
                <c:pt idx="0">
                  <c:v>0.12345679012345701</c:v>
                </c:pt>
                <c:pt idx="1">
                  <c:v>5.95238095238095E-2</c:v>
                </c:pt>
                <c:pt idx="2">
                  <c:v>6.9444444444444406E-2</c:v>
                </c:pt>
                <c:pt idx="3">
                  <c:v>9.0909090909090898E-2</c:v>
                </c:pt>
                <c:pt idx="4">
                  <c:v>0.1125</c:v>
                </c:pt>
                <c:pt idx="5">
                  <c:v>0.11111111111111099</c:v>
                </c:pt>
                <c:pt idx="6">
                  <c:v>0.207792207792208</c:v>
                </c:pt>
                <c:pt idx="7">
                  <c:v>0.215189873417722</c:v>
                </c:pt>
                <c:pt idx="8">
                  <c:v>0.15</c:v>
                </c:pt>
              </c:numCache>
            </c:numRef>
          </c:val>
          <c:extLst>
            <c:ext xmlns:c16="http://schemas.microsoft.com/office/drawing/2014/chart" uri="{C3380CC4-5D6E-409C-BE32-E72D297353CC}">
              <c16:uniqueId val="{00000003-A775-4BE2-9CFF-764752BAD4CA}"/>
            </c:ext>
          </c:extLst>
        </c:ser>
        <c:ser>
          <c:idx val="1"/>
          <c:order val="4"/>
          <c:tx>
            <c:strRef>
              <c:f>'Q28'!$A$49</c:f>
              <c:strCache>
                <c:ptCount val="1"/>
                <c:pt idx="0">
                  <c:v>Never</c:v>
                </c:pt>
              </c:strCache>
            </c:strRef>
          </c:tx>
          <c:spPr>
            <a:solidFill>
              <a:srgbClr val="213657"/>
            </a:solidFill>
            <a:ln w="25400">
              <a:noFill/>
            </a:ln>
            <a:effectLst/>
          </c:spPr>
          <c:invertIfNegative val="0"/>
          <c:cat>
            <c:strRef>
              <c:f>'Q28'!$B$47:$J$47</c:f>
              <c:strCache>
                <c:ptCount val="9"/>
                <c:pt idx="0">
                  <c:v>Plan/revise general strategies</c:v>
                </c:pt>
                <c:pt idx="1">
                  <c:v>Plan/revise program initiatives</c:v>
                </c:pt>
                <c:pt idx="2">
                  <c:v>Plan/revise grant initiatives</c:v>
                </c:pt>
                <c:pt idx="3">
                  <c:v>Report to Board of Directors</c:v>
                </c:pt>
                <c:pt idx="4">
                  <c:v>Report to Government</c:v>
                </c:pt>
                <c:pt idx="5">
                  <c:v>Report to stakeholders</c:v>
                </c:pt>
                <c:pt idx="6">
                  <c:v>Advocate for a cause</c:v>
                </c:pt>
                <c:pt idx="7">
                  <c:v>Share findings with peers</c:v>
                </c:pt>
                <c:pt idx="8">
                  <c:v>Make funding allocation decisions</c:v>
                </c:pt>
              </c:strCache>
            </c:strRef>
          </c:cat>
          <c:val>
            <c:numRef>
              <c:f>'Q28'!$B$49:$J$49</c:f>
              <c:numCache>
                <c:formatCode>0.00%</c:formatCode>
                <c:ptCount val="9"/>
                <c:pt idx="0">
                  <c:v>7.4074074074074098E-2</c:v>
                </c:pt>
                <c:pt idx="1">
                  <c:v>0.14285714285714302</c:v>
                </c:pt>
                <c:pt idx="2">
                  <c:v>0.48611111111111099</c:v>
                </c:pt>
                <c:pt idx="3">
                  <c:v>0.33766233766233805</c:v>
                </c:pt>
                <c:pt idx="4">
                  <c:v>0.1125</c:v>
                </c:pt>
                <c:pt idx="5">
                  <c:v>0.13580246913580202</c:v>
                </c:pt>
                <c:pt idx="6">
                  <c:v>0.45454545454545503</c:v>
                </c:pt>
                <c:pt idx="7">
                  <c:v>0.16455696202531597</c:v>
                </c:pt>
                <c:pt idx="8">
                  <c:v>0.25</c:v>
                </c:pt>
              </c:numCache>
            </c:numRef>
          </c:val>
          <c:extLst>
            <c:ext xmlns:c16="http://schemas.microsoft.com/office/drawing/2014/chart" uri="{C3380CC4-5D6E-409C-BE32-E72D297353CC}">
              <c16:uniqueId val="{00000004-A775-4BE2-9CFF-764752BAD4CA}"/>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'Q29'!$A$45</c:f>
              <c:strCache>
                <c:ptCount val="1"/>
                <c:pt idx="0">
                  <c:v>Always</c:v>
                </c:pt>
              </c:strCache>
            </c:strRef>
          </c:tx>
          <c:spPr>
            <a:solidFill>
              <a:srgbClr val="02843D"/>
            </a:solidFill>
            <a:ln>
              <a:noFill/>
            </a:ln>
            <a:effectLst/>
          </c:spPr>
          <c:invertIfNegative val="0"/>
          <c:cat>
            <c:strRef>
              <c:f>'Q29'!$B$44:$I$44</c:f>
              <c:strCache>
                <c:ptCount val="8"/>
                <c:pt idx="0">
                  <c:v>Government and/or Ministers</c:v>
                </c:pt>
                <c:pt idx="1">
                  <c:v>Internal executive staff</c:v>
                </c:pt>
                <c:pt idx="2">
                  <c:v>Other internal staff</c:v>
                </c:pt>
                <c:pt idx="3">
                  <c:v>Board of Directors</c:v>
                </c:pt>
                <c:pt idx="4">
                  <c:v>Peer agencies</c:v>
                </c:pt>
                <c:pt idx="5">
                  <c:v>Delivery partners</c:v>
                </c:pt>
                <c:pt idx="6">
                  <c:v>Service users</c:v>
                </c:pt>
                <c:pt idx="7">
                  <c:v>Other</c:v>
                </c:pt>
              </c:strCache>
            </c:strRef>
          </c:cat>
          <c:val>
            <c:numRef>
              <c:f>'Q29'!$B$45:$I$45</c:f>
              <c:numCache>
                <c:formatCode>0.00%</c:formatCode>
                <c:ptCount val="8"/>
                <c:pt idx="0">
                  <c:v>0.164556962025316</c:v>
                </c:pt>
                <c:pt idx="1">
                  <c:v>0.421686746987952</c:v>
                </c:pt>
                <c:pt idx="2">
                  <c:v>0.18292682926829301</c:v>
                </c:pt>
                <c:pt idx="3">
                  <c:v>0.16</c:v>
                </c:pt>
                <c:pt idx="4">
                  <c:v>5.0632911392405104E-2</c:v>
                </c:pt>
                <c:pt idx="5">
                  <c:v>6.4102564102564097E-2</c:v>
                </c:pt>
                <c:pt idx="6">
                  <c:v>0.05</c:v>
                </c:pt>
                <c:pt idx="7">
                  <c:v>0.23529411764705899</c:v>
                </c:pt>
              </c:numCache>
            </c:numRef>
          </c:val>
          <c:extLst>
            <c:ext xmlns:c16="http://schemas.microsoft.com/office/drawing/2014/chart" uri="{C3380CC4-5D6E-409C-BE32-E72D297353CC}">
              <c16:uniqueId val="{00000000-BA78-46A2-985A-99F911D55EFA}"/>
            </c:ext>
          </c:extLst>
        </c:ser>
        <c:ser>
          <c:idx val="2"/>
          <c:order val="1"/>
          <c:tx>
            <c:strRef>
              <c:f>'Q29'!$A$47</c:f>
              <c:strCache>
                <c:ptCount val="1"/>
                <c:pt idx="0">
                  <c:v>Often</c:v>
                </c:pt>
              </c:strCache>
            </c:strRef>
          </c:tx>
          <c:spPr>
            <a:solidFill>
              <a:srgbClr val="B65716"/>
            </a:solidFill>
            <a:ln>
              <a:noFill/>
            </a:ln>
            <a:effectLst/>
          </c:spPr>
          <c:invertIfNegative val="0"/>
          <c:cat>
            <c:strRef>
              <c:f>'Q29'!$B$44:$I$44</c:f>
              <c:strCache>
                <c:ptCount val="8"/>
                <c:pt idx="0">
                  <c:v>Government and/or Ministers</c:v>
                </c:pt>
                <c:pt idx="1">
                  <c:v>Internal executive staff</c:v>
                </c:pt>
                <c:pt idx="2">
                  <c:v>Other internal staff</c:v>
                </c:pt>
                <c:pt idx="3">
                  <c:v>Board of Directors</c:v>
                </c:pt>
                <c:pt idx="4">
                  <c:v>Peer agencies</c:v>
                </c:pt>
                <c:pt idx="5">
                  <c:v>Delivery partners</c:v>
                </c:pt>
                <c:pt idx="6">
                  <c:v>Service users</c:v>
                </c:pt>
                <c:pt idx="7">
                  <c:v>Other</c:v>
                </c:pt>
              </c:strCache>
            </c:strRef>
          </c:cat>
          <c:val>
            <c:numRef>
              <c:f>'Q29'!$B$47:$I$47</c:f>
              <c:numCache>
                <c:formatCode>0.00%</c:formatCode>
                <c:ptCount val="8"/>
                <c:pt idx="0">
                  <c:v>0.177215189873418</c:v>
                </c:pt>
                <c:pt idx="1">
                  <c:v>0.21686746987951799</c:v>
                </c:pt>
                <c:pt idx="2">
                  <c:v>0.30487804878048796</c:v>
                </c:pt>
                <c:pt idx="3">
                  <c:v>0.16</c:v>
                </c:pt>
                <c:pt idx="4">
                  <c:v>0.113924050632911</c:v>
                </c:pt>
                <c:pt idx="5">
                  <c:v>0.16666666666666699</c:v>
                </c:pt>
                <c:pt idx="6">
                  <c:v>0.15</c:v>
                </c:pt>
                <c:pt idx="7">
                  <c:v>0.17647058823529399</c:v>
                </c:pt>
              </c:numCache>
            </c:numRef>
          </c:val>
          <c:extLst>
            <c:ext xmlns:c16="http://schemas.microsoft.com/office/drawing/2014/chart" uri="{C3380CC4-5D6E-409C-BE32-E72D297353CC}">
              <c16:uniqueId val="{00000001-BA78-46A2-985A-99F911D55EFA}"/>
            </c:ext>
          </c:extLst>
        </c:ser>
        <c:ser>
          <c:idx val="4"/>
          <c:order val="2"/>
          <c:tx>
            <c:strRef>
              <c:f>'Q29'!$A$49</c:f>
              <c:strCache>
                <c:ptCount val="1"/>
                <c:pt idx="0">
                  <c:v>Sometimes</c:v>
                </c:pt>
              </c:strCache>
            </c:strRef>
          </c:tx>
          <c:spPr>
            <a:solidFill>
              <a:srgbClr val="6D7684"/>
            </a:solidFill>
            <a:ln w="25400">
              <a:noFill/>
            </a:ln>
            <a:effectLst/>
          </c:spPr>
          <c:invertIfNegative val="0"/>
          <c:cat>
            <c:strRef>
              <c:f>'Q29'!$B$44:$I$44</c:f>
              <c:strCache>
                <c:ptCount val="8"/>
                <c:pt idx="0">
                  <c:v>Government and/or Ministers</c:v>
                </c:pt>
                <c:pt idx="1">
                  <c:v>Internal executive staff</c:v>
                </c:pt>
                <c:pt idx="2">
                  <c:v>Other internal staff</c:v>
                </c:pt>
                <c:pt idx="3">
                  <c:v>Board of Directors</c:v>
                </c:pt>
                <c:pt idx="4">
                  <c:v>Peer agencies</c:v>
                </c:pt>
                <c:pt idx="5">
                  <c:v>Delivery partners</c:v>
                </c:pt>
                <c:pt idx="6">
                  <c:v>Service users</c:v>
                </c:pt>
                <c:pt idx="7">
                  <c:v>Other</c:v>
                </c:pt>
              </c:strCache>
            </c:strRef>
          </c:cat>
          <c:val>
            <c:numRef>
              <c:f>'Q29'!$B$49:$I$49</c:f>
              <c:numCache>
                <c:formatCode>0.00%</c:formatCode>
                <c:ptCount val="8"/>
                <c:pt idx="0">
                  <c:v>0.32911392405063306</c:v>
                </c:pt>
                <c:pt idx="1">
                  <c:v>0.21686746987951799</c:v>
                </c:pt>
                <c:pt idx="2">
                  <c:v>0.34146341463414598</c:v>
                </c:pt>
                <c:pt idx="3">
                  <c:v>0.22666666666666699</c:v>
                </c:pt>
                <c:pt idx="4">
                  <c:v>0.341772151898734</c:v>
                </c:pt>
                <c:pt idx="5">
                  <c:v>0.35897435897435898</c:v>
                </c:pt>
                <c:pt idx="6">
                  <c:v>0.23749999999999999</c:v>
                </c:pt>
                <c:pt idx="7">
                  <c:v>0.11764705882352899</c:v>
                </c:pt>
              </c:numCache>
            </c:numRef>
          </c:val>
          <c:extLst>
            <c:ext xmlns:c16="http://schemas.microsoft.com/office/drawing/2014/chart" uri="{C3380CC4-5D6E-409C-BE32-E72D297353CC}">
              <c16:uniqueId val="{00000002-BA78-46A2-985A-99F911D55EFA}"/>
            </c:ext>
          </c:extLst>
        </c:ser>
        <c:ser>
          <c:idx val="3"/>
          <c:order val="3"/>
          <c:tx>
            <c:strRef>
              <c:f>'Q29'!$A$48</c:f>
              <c:strCache>
                <c:ptCount val="1"/>
                <c:pt idx="0">
                  <c:v>Rarely</c:v>
                </c:pt>
              </c:strCache>
            </c:strRef>
          </c:tx>
          <c:spPr>
            <a:solidFill>
              <a:srgbClr val="0364C3"/>
            </a:solidFill>
            <a:ln>
              <a:noFill/>
            </a:ln>
            <a:effectLst/>
          </c:spPr>
          <c:invertIfNegative val="0"/>
          <c:cat>
            <c:strRef>
              <c:f>'Q29'!$B$44:$I$44</c:f>
              <c:strCache>
                <c:ptCount val="8"/>
                <c:pt idx="0">
                  <c:v>Government and/or Ministers</c:v>
                </c:pt>
                <c:pt idx="1">
                  <c:v>Internal executive staff</c:v>
                </c:pt>
                <c:pt idx="2">
                  <c:v>Other internal staff</c:v>
                </c:pt>
                <c:pt idx="3">
                  <c:v>Board of Directors</c:v>
                </c:pt>
                <c:pt idx="4">
                  <c:v>Peer agencies</c:v>
                </c:pt>
                <c:pt idx="5">
                  <c:v>Delivery partners</c:v>
                </c:pt>
                <c:pt idx="6">
                  <c:v>Service users</c:v>
                </c:pt>
                <c:pt idx="7">
                  <c:v>Other</c:v>
                </c:pt>
              </c:strCache>
            </c:strRef>
          </c:cat>
          <c:val>
            <c:numRef>
              <c:f>'Q29'!$B$48:$I$48</c:f>
              <c:numCache>
                <c:formatCode>0.00%</c:formatCode>
                <c:ptCount val="8"/>
                <c:pt idx="0">
                  <c:v>0.177215189873418</c:v>
                </c:pt>
                <c:pt idx="1">
                  <c:v>7.2289156626505993E-2</c:v>
                </c:pt>
                <c:pt idx="2">
                  <c:v>9.7560975609756101E-2</c:v>
                </c:pt>
                <c:pt idx="3">
                  <c:v>0.12</c:v>
                </c:pt>
                <c:pt idx="4">
                  <c:v>0.278481012658228</c:v>
                </c:pt>
                <c:pt idx="5">
                  <c:v>0.16666666666666699</c:v>
                </c:pt>
                <c:pt idx="6">
                  <c:v>0.3</c:v>
                </c:pt>
                <c:pt idx="7">
                  <c:v>0.17647058823529399</c:v>
                </c:pt>
              </c:numCache>
            </c:numRef>
          </c:val>
          <c:extLst>
            <c:ext xmlns:c16="http://schemas.microsoft.com/office/drawing/2014/chart" uri="{C3380CC4-5D6E-409C-BE32-E72D297353CC}">
              <c16:uniqueId val="{00000003-BA78-46A2-985A-99F911D55EFA}"/>
            </c:ext>
          </c:extLst>
        </c:ser>
        <c:ser>
          <c:idx val="1"/>
          <c:order val="4"/>
          <c:tx>
            <c:strRef>
              <c:f>'Q29'!$A$46</c:f>
              <c:strCache>
                <c:ptCount val="1"/>
                <c:pt idx="0">
                  <c:v>Never</c:v>
                </c:pt>
              </c:strCache>
            </c:strRef>
          </c:tx>
          <c:spPr>
            <a:solidFill>
              <a:srgbClr val="213657"/>
            </a:solidFill>
            <a:ln>
              <a:noFill/>
            </a:ln>
            <a:effectLst/>
          </c:spPr>
          <c:invertIfNegative val="0"/>
          <c:cat>
            <c:strRef>
              <c:f>'Q29'!$B$44:$I$44</c:f>
              <c:strCache>
                <c:ptCount val="8"/>
                <c:pt idx="0">
                  <c:v>Government and/or Ministers</c:v>
                </c:pt>
                <c:pt idx="1">
                  <c:v>Internal executive staff</c:v>
                </c:pt>
                <c:pt idx="2">
                  <c:v>Other internal staff</c:v>
                </c:pt>
                <c:pt idx="3">
                  <c:v>Board of Directors</c:v>
                </c:pt>
                <c:pt idx="4">
                  <c:v>Peer agencies</c:v>
                </c:pt>
                <c:pt idx="5">
                  <c:v>Delivery partners</c:v>
                </c:pt>
                <c:pt idx="6">
                  <c:v>Service users</c:v>
                </c:pt>
                <c:pt idx="7">
                  <c:v>Other</c:v>
                </c:pt>
              </c:strCache>
            </c:strRef>
          </c:cat>
          <c:val>
            <c:numRef>
              <c:f>'Q29'!$B$46:$I$46</c:f>
              <c:numCache>
                <c:formatCode>0.00%</c:formatCode>
                <c:ptCount val="8"/>
                <c:pt idx="0">
                  <c:v>0.151898734177215</c:v>
                </c:pt>
                <c:pt idx="1">
                  <c:v>7.2289156626505993E-2</c:v>
                </c:pt>
                <c:pt idx="2">
                  <c:v>7.3170731707317097E-2</c:v>
                </c:pt>
                <c:pt idx="3">
                  <c:v>0.33333333333333298</c:v>
                </c:pt>
                <c:pt idx="4">
                  <c:v>0.215189873417722</c:v>
                </c:pt>
                <c:pt idx="5">
                  <c:v>0.243589743589744</c:v>
                </c:pt>
                <c:pt idx="6">
                  <c:v>0.26250000000000001</c:v>
                </c:pt>
                <c:pt idx="7">
                  <c:v>0.29411764705882404</c:v>
                </c:pt>
              </c:numCache>
            </c:numRef>
          </c:val>
          <c:extLst>
            <c:ext xmlns:c16="http://schemas.microsoft.com/office/drawing/2014/chart" uri="{C3380CC4-5D6E-409C-BE32-E72D297353CC}">
              <c16:uniqueId val="{00000004-BA78-46A2-985A-99F911D55EFA}"/>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'Q5'!$A$15</c:f>
              <c:strCache>
                <c:ptCount val="1"/>
                <c:pt idx="0">
                  <c:v>Yes</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'Q5'!$B$13:$F$13</c:f>
              <c:strCache>
                <c:ptCount val="5"/>
                <c:pt idx="0">
                  <c:v>Micro</c:v>
                </c:pt>
                <c:pt idx="1">
                  <c:v>Small</c:v>
                </c:pt>
                <c:pt idx="2">
                  <c:v>Medium</c:v>
                </c:pt>
                <c:pt idx="3">
                  <c:v>Large</c:v>
                </c:pt>
                <c:pt idx="4">
                  <c:v>Total</c:v>
                </c:pt>
              </c:strCache>
            </c:strRef>
          </c:cat>
          <c:val>
            <c:numRef>
              <c:f>'Q30'!$B$17:$F$17</c:f>
              <c:numCache>
                <c:formatCode>0.00%</c:formatCode>
                <c:ptCount val="5"/>
                <c:pt idx="0">
                  <c:v>0.36363636363636398</c:v>
                </c:pt>
                <c:pt idx="1">
                  <c:v>0.41176470588235298</c:v>
                </c:pt>
                <c:pt idx="2" formatCode="0%">
                  <c:v>0.25</c:v>
                </c:pt>
                <c:pt idx="3" formatCode="0%">
                  <c:v>0.25</c:v>
                </c:pt>
                <c:pt idx="4">
                  <c:v>0.31034482758620702</c:v>
                </c:pt>
              </c:numCache>
            </c:numRef>
          </c:val>
          <c:extLst>
            <c:ext xmlns:c16="http://schemas.microsoft.com/office/drawing/2014/chart" uri="{C3380CC4-5D6E-409C-BE32-E72D297353CC}">
              <c16:uniqueId val="{00000000-BE06-4E28-ACEE-FE38C3A9C6F7}"/>
            </c:ext>
          </c:extLst>
        </c:ser>
        <c:ser>
          <c:idx val="1"/>
          <c:order val="1"/>
          <c:tx>
            <c:strRef>
              <c:f>'Q5'!$A$14</c:f>
              <c:strCache>
                <c:ptCount val="1"/>
                <c:pt idx="0">
                  <c:v>No</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'Q5'!$B$13:$F$13</c:f>
              <c:strCache>
                <c:ptCount val="5"/>
                <c:pt idx="0">
                  <c:v>Micro</c:v>
                </c:pt>
                <c:pt idx="1">
                  <c:v>Small</c:v>
                </c:pt>
                <c:pt idx="2">
                  <c:v>Medium</c:v>
                </c:pt>
                <c:pt idx="3">
                  <c:v>Large</c:v>
                </c:pt>
                <c:pt idx="4">
                  <c:v>Total</c:v>
                </c:pt>
              </c:strCache>
            </c:strRef>
          </c:cat>
          <c:val>
            <c:numRef>
              <c:f>'Q30'!$B$16:$F$16</c:f>
              <c:numCache>
                <c:formatCode>0.00%</c:formatCode>
                <c:ptCount val="5"/>
                <c:pt idx="0">
                  <c:v>0.63636363636363602</c:v>
                </c:pt>
                <c:pt idx="1">
                  <c:v>0.58823529411764697</c:v>
                </c:pt>
                <c:pt idx="2" formatCode="0%">
                  <c:v>0.75</c:v>
                </c:pt>
                <c:pt idx="3" formatCode="0%">
                  <c:v>0.75</c:v>
                </c:pt>
                <c:pt idx="4">
                  <c:v>0.68965517241379304</c:v>
                </c:pt>
              </c:numCache>
            </c:numRef>
          </c:val>
          <c:extLst>
            <c:ext xmlns:c16="http://schemas.microsoft.com/office/drawing/2014/chart" uri="{C3380CC4-5D6E-409C-BE32-E72D297353CC}">
              <c16:uniqueId val="{00000001-BE06-4E28-ACEE-FE38C3A9C6F7}"/>
            </c:ext>
          </c:extLst>
        </c:ser>
        <c:dLbls>
          <c:dLblPos val="ctr"/>
          <c:showLegendKey val="0"/>
          <c:showVal val="1"/>
          <c:showCatName val="0"/>
          <c:showSerName val="0"/>
          <c:showPercent val="0"/>
          <c:showBubbleSize val="0"/>
        </c:dLbls>
        <c:gapWidth val="50"/>
        <c:overlap val="100"/>
        <c:axId val="943387952"/>
        <c:axId val="943389872"/>
      </c:barChart>
      <c:barChart>
        <c:barDir val="bar"/>
        <c:grouping val="percentStacked"/>
        <c:varyColors val="0"/>
        <c:ser>
          <c:idx val="2"/>
          <c:order val="2"/>
          <c:tx>
            <c:v>DUMMY</c:v>
          </c:tx>
          <c:spPr>
            <a:no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xtLst>
            <c:ext xmlns:c16="http://schemas.microsoft.com/office/drawing/2014/chart" uri="{C3380CC4-5D6E-409C-BE32-E72D297353CC}">
              <c16:uniqueId val="{00000002-BE06-4E28-ACEE-FE38C3A9C6F7}"/>
            </c:ext>
          </c:extLst>
        </c:ser>
        <c:dLbls>
          <c:dLblPos val="ctr"/>
          <c:showLegendKey val="0"/>
          <c:showVal val="1"/>
          <c:showCatName val="0"/>
          <c:showSerName val="0"/>
          <c:showPercent val="0"/>
          <c:showBubbleSize val="0"/>
        </c:dLbls>
        <c:gapWidth val="150"/>
        <c:overlap val="100"/>
        <c:axId val="1620296559"/>
        <c:axId val="1620303279"/>
      </c:barChart>
      <c:catAx>
        <c:axId val="943387952"/>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9872"/>
        <c:crosses val="autoZero"/>
        <c:auto val="1"/>
        <c:lblAlgn val="ctr"/>
        <c:lblOffset val="100"/>
        <c:noMultiLvlLbl val="0"/>
      </c:catAx>
      <c:valAx>
        <c:axId val="943389872"/>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3387952"/>
        <c:crosses val="autoZero"/>
        <c:crossBetween val="between"/>
      </c:valAx>
      <c:valAx>
        <c:axId val="1620303279"/>
        <c:scaling>
          <c:orientation val="minMax"/>
          <c:max val="1"/>
          <c:min val="0"/>
        </c:scaling>
        <c:delete val="1"/>
        <c:axPos val="t"/>
        <c:numFmt formatCode="0%" sourceLinked="0"/>
        <c:majorTickMark val="in"/>
        <c:minorTickMark val="none"/>
        <c:tickLblPos val="nextTo"/>
        <c:crossAx val="1620296559"/>
        <c:crosses val="max"/>
        <c:crossBetween val="between"/>
        <c:majorUnit val="0.1"/>
        <c:minorUnit val="0.02"/>
      </c:valAx>
      <c:catAx>
        <c:axId val="1620296559"/>
        <c:scaling>
          <c:orientation val="minMax"/>
        </c:scaling>
        <c:delete val="1"/>
        <c:axPos val="l"/>
        <c:majorTickMark val="out"/>
        <c:minorTickMark val="none"/>
        <c:tickLblPos val="nextTo"/>
        <c:crossAx val="1620303279"/>
        <c:crosses val="autoZero"/>
        <c:auto val="1"/>
        <c:lblAlgn val="ctr"/>
        <c:lblOffset val="100"/>
        <c:noMultiLvlLbl val="0"/>
      </c:cat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'Q30.1'!$A$28</c:f>
              <c:strCache>
                <c:ptCount val="1"/>
                <c:pt idx="0">
                  <c:v>Always</c:v>
                </c:pt>
              </c:strCache>
            </c:strRef>
          </c:tx>
          <c:spPr>
            <a:solidFill>
              <a:srgbClr val="02843D"/>
            </a:solidFill>
            <a:ln>
              <a:noFill/>
            </a:ln>
            <a:effectLst/>
          </c:spPr>
          <c:invertIfNegative val="0"/>
          <c:cat>
            <c:strRef>
              <c:f>'Q30.1'!$B$27:$F$27</c:f>
              <c:strCache>
                <c:ptCount val="5"/>
                <c:pt idx="0">
                  <c:v>Limited distribution</c:v>
                </c:pt>
                <c:pt idx="1">
                  <c:v>Targeted distribution</c:v>
                </c:pt>
                <c:pt idx="2">
                  <c:v>Ministerial submission</c:v>
                </c:pt>
                <c:pt idx="3">
                  <c:v>Web publication</c:v>
                </c:pt>
                <c:pt idx="4">
                  <c:v>Other</c:v>
                </c:pt>
              </c:strCache>
            </c:strRef>
          </c:cat>
          <c:val>
            <c:numRef>
              <c:f>'Q30.1'!$B$28:$F$28</c:f>
              <c:numCache>
                <c:formatCode>0.00%</c:formatCode>
                <c:ptCount val="5"/>
                <c:pt idx="0">
                  <c:v>0.14583333333333301</c:v>
                </c:pt>
                <c:pt idx="1">
                  <c:v>6.25E-2</c:v>
                </c:pt>
                <c:pt idx="2">
                  <c:v>0.10638297872340401</c:v>
                </c:pt>
                <c:pt idx="3">
                  <c:v>2.1276595744680899E-2</c:v>
                </c:pt>
                <c:pt idx="4">
                  <c:v>0</c:v>
                </c:pt>
              </c:numCache>
            </c:numRef>
          </c:val>
          <c:extLst>
            <c:ext xmlns:c16="http://schemas.microsoft.com/office/drawing/2014/chart" uri="{C3380CC4-5D6E-409C-BE32-E72D297353CC}">
              <c16:uniqueId val="{00000000-267D-4DD9-96FE-F37B800BF305}"/>
            </c:ext>
          </c:extLst>
        </c:ser>
        <c:ser>
          <c:idx val="2"/>
          <c:order val="1"/>
          <c:tx>
            <c:strRef>
              <c:f>'Q30.1'!$A$30</c:f>
              <c:strCache>
                <c:ptCount val="1"/>
                <c:pt idx="0">
                  <c:v>Often</c:v>
                </c:pt>
              </c:strCache>
            </c:strRef>
          </c:tx>
          <c:spPr>
            <a:solidFill>
              <a:srgbClr val="B65716"/>
            </a:solidFill>
            <a:ln>
              <a:noFill/>
            </a:ln>
            <a:effectLst/>
          </c:spPr>
          <c:invertIfNegative val="0"/>
          <c:cat>
            <c:strRef>
              <c:f>'Q30.1'!$B$27:$F$27</c:f>
              <c:strCache>
                <c:ptCount val="5"/>
                <c:pt idx="0">
                  <c:v>Limited distribution</c:v>
                </c:pt>
                <c:pt idx="1">
                  <c:v>Targeted distribution</c:v>
                </c:pt>
                <c:pt idx="2">
                  <c:v>Ministerial submission</c:v>
                </c:pt>
                <c:pt idx="3">
                  <c:v>Web publication</c:v>
                </c:pt>
                <c:pt idx="4">
                  <c:v>Other</c:v>
                </c:pt>
              </c:strCache>
            </c:strRef>
          </c:cat>
          <c:val>
            <c:numRef>
              <c:f>'Q30.1'!$B$30:$F$30</c:f>
              <c:numCache>
                <c:formatCode>0.00%</c:formatCode>
                <c:ptCount val="5"/>
                <c:pt idx="0">
                  <c:v>0.25</c:v>
                </c:pt>
                <c:pt idx="1">
                  <c:v>0.3125</c:v>
                </c:pt>
                <c:pt idx="2">
                  <c:v>0.19148936170212799</c:v>
                </c:pt>
                <c:pt idx="3">
                  <c:v>4.2553191489361701E-2</c:v>
                </c:pt>
                <c:pt idx="4">
                  <c:v>0.2</c:v>
                </c:pt>
              </c:numCache>
            </c:numRef>
          </c:val>
          <c:extLst>
            <c:ext xmlns:c16="http://schemas.microsoft.com/office/drawing/2014/chart" uri="{C3380CC4-5D6E-409C-BE32-E72D297353CC}">
              <c16:uniqueId val="{00000001-267D-4DD9-96FE-F37B800BF305}"/>
            </c:ext>
          </c:extLst>
        </c:ser>
        <c:ser>
          <c:idx val="4"/>
          <c:order val="2"/>
          <c:tx>
            <c:strRef>
              <c:f>'Q30.1'!$A$32</c:f>
              <c:strCache>
                <c:ptCount val="1"/>
                <c:pt idx="0">
                  <c:v>Sometimes</c:v>
                </c:pt>
              </c:strCache>
            </c:strRef>
          </c:tx>
          <c:spPr>
            <a:solidFill>
              <a:srgbClr val="6D7684"/>
            </a:solidFill>
            <a:ln>
              <a:noFill/>
            </a:ln>
            <a:effectLst/>
          </c:spPr>
          <c:invertIfNegative val="0"/>
          <c:cat>
            <c:strRef>
              <c:f>'Q30.1'!$B$27:$F$27</c:f>
              <c:strCache>
                <c:ptCount val="5"/>
                <c:pt idx="0">
                  <c:v>Limited distribution</c:v>
                </c:pt>
                <c:pt idx="1">
                  <c:v>Targeted distribution</c:v>
                </c:pt>
                <c:pt idx="2">
                  <c:v>Ministerial submission</c:v>
                </c:pt>
                <c:pt idx="3">
                  <c:v>Web publication</c:v>
                </c:pt>
                <c:pt idx="4">
                  <c:v>Other</c:v>
                </c:pt>
              </c:strCache>
            </c:strRef>
          </c:cat>
          <c:val>
            <c:numRef>
              <c:f>'Q30.1'!$B$32:$F$32</c:f>
              <c:numCache>
                <c:formatCode>0.00%</c:formatCode>
                <c:ptCount val="5"/>
                <c:pt idx="0">
                  <c:v>0.33333333333333298</c:v>
                </c:pt>
                <c:pt idx="1">
                  <c:v>0.33333333333333298</c:v>
                </c:pt>
                <c:pt idx="2">
                  <c:v>0.27659574468085102</c:v>
                </c:pt>
                <c:pt idx="3">
                  <c:v>0.27659574468085102</c:v>
                </c:pt>
                <c:pt idx="4">
                  <c:v>0</c:v>
                </c:pt>
              </c:numCache>
            </c:numRef>
          </c:val>
          <c:extLst>
            <c:ext xmlns:c16="http://schemas.microsoft.com/office/drawing/2014/chart" uri="{C3380CC4-5D6E-409C-BE32-E72D297353CC}">
              <c16:uniqueId val="{00000002-267D-4DD9-96FE-F37B800BF305}"/>
            </c:ext>
          </c:extLst>
        </c:ser>
        <c:ser>
          <c:idx val="3"/>
          <c:order val="3"/>
          <c:tx>
            <c:strRef>
              <c:f>'Q30.1'!$A$31</c:f>
              <c:strCache>
                <c:ptCount val="1"/>
                <c:pt idx="0">
                  <c:v>Rarely</c:v>
                </c:pt>
              </c:strCache>
            </c:strRef>
          </c:tx>
          <c:spPr>
            <a:solidFill>
              <a:srgbClr val="0364C3"/>
            </a:solidFill>
            <a:ln>
              <a:noFill/>
            </a:ln>
            <a:effectLst/>
          </c:spPr>
          <c:invertIfNegative val="0"/>
          <c:cat>
            <c:strRef>
              <c:f>'Q30.1'!$B$27:$F$27</c:f>
              <c:strCache>
                <c:ptCount val="5"/>
                <c:pt idx="0">
                  <c:v>Limited distribution</c:v>
                </c:pt>
                <c:pt idx="1">
                  <c:v>Targeted distribution</c:v>
                </c:pt>
                <c:pt idx="2">
                  <c:v>Ministerial submission</c:v>
                </c:pt>
                <c:pt idx="3">
                  <c:v>Web publication</c:v>
                </c:pt>
                <c:pt idx="4">
                  <c:v>Other</c:v>
                </c:pt>
              </c:strCache>
            </c:strRef>
          </c:cat>
          <c:val>
            <c:numRef>
              <c:f>'Q30.1'!$B$31:$F$31</c:f>
              <c:numCache>
                <c:formatCode>0.00%</c:formatCode>
                <c:ptCount val="5"/>
                <c:pt idx="0">
                  <c:v>0.125</c:v>
                </c:pt>
                <c:pt idx="1">
                  <c:v>0.125</c:v>
                </c:pt>
                <c:pt idx="2">
                  <c:v>0.21276595744680901</c:v>
                </c:pt>
                <c:pt idx="3">
                  <c:v>0.34042553191489394</c:v>
                </c:pt>
                <c:pt idx="4">
                  <c:v>0.2</c:v>
                </c:pt>
              </c:numCache>
            </c:numRef>
          </c:val>
          <c:extLst>
            <c:ext xmlns:c16="http://schemas.microsoft.com/office/drawing/2014/chart" uri="{C3380CC4-5D6E-409C-BE32-E72D297353CC}">
              <c16:uniqueId val="{00000003-267D-4DD9-96FE-F37B800BF305}"/>
            </c:ext>
          </c:extLst>
        </c:ser>
        <c:ser>
          <c:idx val="1"/>
          <c:order val="4"/>
          <c:tx>
            <c:strRef>
              <c:f>'Q30.1'!$A$29</c:f>
              <c:strCache>
                <c:ptCount val="1"/>
                <c:pt idx="0">
                  <c:v>Never</c:v>
                </c:pt>
              </c:strCache>
            </c:strRef>
          </c:tx>
          <c:spPr>
            <a:solidFill>
              <a:srgbClr val="213657"/>
            </a:solidFill>
            <a:ln>
              <a:noFill/>
            </a:ln>
            <a:effectLst/>
          </c:spPr>
          <c:invertIfNegative val="0"/>
          <c:cat>
            <c:strRef>
              <c:f>'Q30.1'!$B$27:$F$27</c:f>
              <c:strCache>
                <c:ptCount val="5"/>
                <c:pt idx="0">
                  <c:v>Limited distribution</c:v>
                </c:pt>
                <c:pt idx="1">
                  <c:v>Targeted distribution</c:v>
                </c:pt>
                <c:pt idx="2">
                  <c:v>Ministerial submission</c:v>
                </c:pt>
                <c:pt idx="3">
                  <c:v>Web publication</c:v>
                </c:pt>
                <c:pt idx="4">
                  <c:v>Other</c:v>
                </c:pt>
              </c:strCache>
            </c:strRef>
          </c:cat>
          <c:val>
            <c:numRef>
              <c:f>'Q30.1'!$B$29:$F$29</c:f>
              <c:numCache>
                <c:formatCode>0.00%</c:formatCode>
                <c:ptCount val="5"/>
                <c:pt idx="0">
                  <c:v>0.14583333333333301</c:v>
                </c:pt>
                <c:pt idx="1">
                  <c:v>0.16666666666666699</c:v>
                </c:pt>
                <c:pt idx="2">
                  <c:v>0.21276595744680901</c:v>
                </c:pt>
                <c:pt idx="3">
                  <c:v>0.319148936170213</c:v>
                </c:pt>
                <c:pt idx="4">
                  <c:v>0.6</c:v>
                </c:pt>
              </c:numCache>
            </c:numRef>
          </c:val>
          <c:extLst>
            <c:ext xmlns:c16="http://schemas.microsoft.com/office/drawing/2014/chart" uri="{C3380CC4-5D6E-409C-BE32-E72D297353CC}">
              <c16:uniqueId val="{00000004-267D-4DD9-96FE-F37B800BF305}"/>
            </c:ext>
          </c:extLst>
        </c:ser>
        <c:dLbls>
          <c:showLegendKey val="0"/>
          <c:showVal val="0"/>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tickMarkSkip val="1"/>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legend>
      <c:legendPos val="b"/>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2"/>
          <c:order val="0"/>
          <c:tx>
            <c:strRef>
              <c:f>'Q31'!$A$22</c:f>
              <c:strCache>
                <c:ptCount val="1"/>
                <c:pt idx="0">
                  <c:v>Yes</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'Q31'!$B$19:$F$19</c:f>
              <c:strCache>
                <c:ptCount val="5"/>
                <c:pt idx="0">
                  <c:v>Micro</c:v>
                </c:pt>
                <c:pt idx="1">
                  <c:v>Small</c:v>
                </c:pt>
                <c:pt idx="2">
                  <c:v>Medium</c:v>
                </c:pt>
                <c:pt idx="3">
                  <c:v>Large</c:v>
                </c:pt>
                <c:pt idx="4">
                  <c:v>Total</c:v>
                </c:pt>
              </c:strCache>
            </c:strRef>
          </c:cat>
          <c:val>
            <c:numRef>
              <c:f>'Q31'!$B$22:$F$22</c:f>
              <c:numCache>
                <c:formatCode>0.00%</c:formatCode>
                <c:ptCount val="5"/>
                <c:pt idx="0">
                  <c:v>0.28571428571428598</c:v>
                </c:pt>
                <c:pt idx="1">
                  <c:v>0.44444444444444398</c:v>
                </c:pt>
                <c:pt idx="2">
                  <c:v>0.375</c:v>
                </c:pt>
                <c:pt idx="3">
                  <c:v>0.24242424242424199</c:v>
                </c:pt>
                <c:pt idx="4">
                  <c:v>0.31818181818181801</c:v>
                </c:pt>
              </c:numCache>
            </c:numRef>
          </c:val>
          <c:extLst>
            <c:ext xmlns:c16="http://schemas.microsoft.com/office/drawing/2014/chart" uri="{C3380CC4-5D6E-409C-BE32-E72D297353CC}">
              <c16:uniqueId val="{00000000-FBB7-4127-B4CD-CA297F5C99CC}"/>
            </c:ext>
          </c:extLst>
        </c:ser>
        <c:ser>
          <c:idx val="1"/>
          <c:order val="1"/>
          <c:tx>
            <c:strRef>
              <c:f>'Q31'!$A$21</c:f>
              <c:strCache>
                <c:ptCount val="1"/>
                <c:pt idx="0">
                  <c:v>Unsure</c:v>
                </c:pt>
              </c:strCache>
            </c:strRef>
          </c:tx>
          <c:spPr>
            <a:solidFill>
              <a:srgbClr val="B65716"/>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FBB7-4127-B4CD-CA297F5C99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'Q31'!$B$19:$F$19</c:f>
              <c:strCache>
                <c:ptCount val="5"/>
                <c:pt idx="0">
                  <c:v>Micro</c:v>
                </c:pt>
                <c:pt idx="1">
                  <c:v>Small</c:v>
                </c:pt>
                <c:pt idx="2">
                  <c:v>Medium</c:v>
                </c:pt>
                <c:pt idx="3">
                  <c:v>Large</c:v>
                </c:pt>
                <c:pt idx="4">
                  <c:v>Total</c:v>
                </c:pt>
              </c:strCache>
            </c:strRef>
          </c:cat>
          <c:val>
            <c:numRef>
              <c:f>'Q31'!$B$21:$F$21</c:f>
              <c:numCache>
                <c:formatCode>0.00%</c:formatCode>
                <c:ptCount val="5"/>
                <c:pt idx="0">
                  <c:v>9.5238095238095205E-2</c:v>
                </c:pt>
                <c:pt idx="1">
                  <c:v>5.5555555555555601E-2</c:v>
                </c:pt>
                <c:pt idx="2" formatCode="0%">
                  <c:v>0</c:v>
                </c:pt>
                <c:pt idx="3">
                  <c:v>0.18181818181818199</c:v>
                </c:pt>
                <c:pt idx="4">
                  <c:v>0.102272727272727</c:v>
                </c:pt>
              </c:numCache>
            </c:numRef>
          </c:val>
          <c:extLst>
            <c:ext xmlns:c16="http://schemas.microsoft.com/office/drawing/2014/chart" uri="{C3380CC4-5D6E-409C-BE32-E72D297353CC}">
              <c16:uniqueId val="{00000001-FBB7-4127-B4CD-CA297F5C99CC}"/>
            </c:ext>
          </c:extLst>
        </c:ser>
        <c:ser>
          <c:idx val="0"/>
          <c:order val="2"/>
          <c:tx>
            <c:strRef>
              <c:f>'Q31'!$A$20</c:f>
              <c:strCache>
                <c:ptCount val="1"/>
                <c:pt idx="0">
                  <c:v>No</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'Q31'!$B$19:$F$19</c:f>
              <c:strCache>
                <c:ptCount val="5"/>
                <c:pt idx="0">
                  <c:v>Micro</c:v>
                </c:pt>
                <c:pt idx="1">
                  <c:v>Small</c:v>
                </c:pt>
                <c:pt idx="2">
                  <c:v>Medium</c:v>
                </c:pt>
                <c:pt idx="3">
                  <c:v>Large</c:v>
                </c:pt>
                <c:pt idx="4">
                  <c:v>Total</c:v>
                </c:pt>
              </c:strCache>
            </c:strRef>
          </c:cat>
          <c:val>
            <c:numRef>
              <c:f>'Q31'!$B$20:$F$20</c:f>
              <c:numCache>
                <c:formatCode>0%</c:formatCode>
                <c:ptCount val="5"/>
                <c:pt idx="0" formatCode="0.00%">
                  <c:v>0.61904761904761896</c:v>
                </c:pt>
                <c:pt idx="1">
                  <c:v>0.5</c:v>
                </c:pt>
                <c:pt idx="2" formatCode="0.00%">
                  <c:v>0.625</c:v>
                </c:pt>
                <c:pt idx="3" formatCode="0.00%">
                  <c:v>0.57575757575757602</c:v>
                </c:pt>
                <c:pt idx="4" formatCode="0.00%">
                  <c:v>0.57954545454545503</c:v>
                </c:pt>
              </c:numCache>
            </c:numRef>
          </c:val>
          <c:extLst>
            <c:ext xmlns:c16="http://schemas.microsoft.com/office/drawing/2014/chart" uri="{C3380CC4-5D6E-409C-BE32-E72D297353CC}">
              <c16:uniqueId val="{00000002-FBB7-4127-B4CD-CA297F5C99CC}"/>
            </c:ext>
          </c:extLst>
        </c:ser>
        <c:dLbls>
          <c:dLblPos val="ctr"/>
          <c:showLegendKey val="0"/>
          <c:showVal val="1"/>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9402777777777775E-2"/>
          <c:w val="0.98149946581196579"/>
          <c:h val="0.94555753968253964"/>
        </c:manualLayout>
      </c:layout>
      <c:barChart>
        <c:barDir val="bar"/>
        <c:grouping val="clustered"/>
        <c:varyColors val="0"/>
        <c:ser>
          <c:idx val="1"/>
          <c:order val="0"/>
          <c:tx>
            <c:strRef>
              <c:f>'Q32'!$E$17</c:f>
              <c:strCache>
                <c:ptCount val="1"/>
                <c:pt idx="0">
                  <c:v>Total</c:v>
                </c:pt>
              </c:strCache>
            </c:strRef>
          </c:tx>
          <c:spPr>
            <a:solidFill>
              <a:srgbClr val="213657"/>
            </a:solidFill>
            <a:ln>
              <a:noFill/>
            </a:ln>
            <a:effectLst/>
          </c:spPr>
          <c:invertIfNegative val="0"/>
          <c:cat>
            <c:strRef>
              <c:f>'Q32'!$F$2:$F$10</c:f>
              <c:strCache>
                <c:ptCount val="9"/>
                <c:pt idx="0">
                  <c:v>Internal CoP events</c:v>
                </c:pt>
                <c:pt idx="1">
                  <c:v>Evaluation coaching/mentoring</c:v>
                </c:pt>
                <c:pt idx="2">
                  <c:v>Capability through formal external partnerships</c:v>
                </c:pt>
                <c:pt idx="3">
                  <c:v>Internal training</c:v>
                </c:pt>
                <c:pt idx="4">
                  <c:v>External training</c:v>
                </c:pt>
                <c:pt idx="5">
                  <c:v>Commonwealth Evaluation CoP events</c:v>
                </c:pt>
                <c:pt idx="6">
                  <c:v>Practical learning</c:v>
                </c:pt>
                <c:pt idx="7">
                  <c:v>Written materials (e.g. guidance)</c:v>
                </c:pt>
                <c:pt idx="8">
                  <c:v>Inter-agency knowledge exchange</c:v>
                </c:pt>
              </c:strCache>
            </c:strRef>
          </c:cat>
          <c:val>
            <c:numRef>
              <c:f>'Q32'!$H$2:$H$10</c:f>
              <c:numCache>
                <c:formatCode>0.00%</c:formatCode>
                <c:ptCount val="9"/>
                <c:pt idx="0">
                  <c:v>0.14606741573033699</c:v>
                </c:pt>
                <c:pt idx="1">
                  <c:v>0.19101123595505601</c:v>
                </c:pt>
                <c:pt idx="2">
                  <c:v>0.224719101123595</c:v>
                </c:pt>
                <c:pt idx="3">
                  <c:v>0.28089887640449401</c:v>
                </c:pt>
                <c:pt idx="4">
                  <c:v>0.29213483146067398</c:v>
                </c:pt>
                <c:pt idx="5">
                  <c:v>0.30337078651685401</c:v>
                </c:pt>
                <c:pt idx="6">
                  <c:v>0.348314606741573</c:v>
                </c:pt>
                <c:pt idx="7">
                  <c:v>0.35955056179775302</c:v>
                </c:pt>
                <c:pt idx="8">
                  <c:v>0.47191011235955099</c:v>
                </c:pt>
              </c:numCache>
            </c:numRef>
          </c:val>
          <c:extLst>
            <c:ext xmlns:c16="http://schemas.microsoft.com/office/drawing/2014/chart" uri="{C3380CC4-5D6E-409C-BE32-E72D297353CC}">
              <c16:uniqueId val="{00000000-2396-4655-95E3-DE08DA69E75D}"/>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noMultiLvlLbl val="0"/>
      </c:catAx>
      <c:valAx>
        <c:axId val="1323234863"/>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1"/>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percentStacked"/>
        <c:varyColors val="0"/>
        <c:ser>
          <c:idx val="0"/>
          <c:order val="0"/>
          <c:tx>
            <c:strRef>
              <c:f>'Q33'!$A$21</c:f>
              <c:strCache>
                <c:ptCount val="1"/>
                <c:pt idx="0">
                  <c:v>Yes</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'Q33'!$B$18:$F$18</c:f>
              <c:strCache>
                <c:ptCount val="5"/>
                <c:pt idx="0">
                  <c:v>Micro</c:v>
                </c:pt>
                <c:pt idx="1">
                  <c:v>Small</c:v>
                </c:pt>
                <c:pt idx="2">
                  <c:v>Medium</c:v>
                </c:pt>
                <c:pt idx="3">
                  <c:v>Large</c:v>
                </c:pt>
                <c:pt idx="4">
                  <c:v>Total</c:v>
                </c:pt>
              </c:strCache>
            </c:strRef>
          </c:cat>
          <c:val>
            <c:numRef>
              <c:f>'Q33'!$B$21:$F$21</c:f>
              <c:numCache>
                <c:formatCode>0.00%</c:formatCode>
                <c:ptCount val="5"/>
                <c:pt idx="0">
                  <c:v>4.5454545454545497E-2</c:v>
                </c:pt>
                <c:pt idx="1">
                  <c:v>0.11764705882352899</c:v>
                </c:pt>
                <c:pt idx="2">
                  <c:v>6.25E-2</c:v>
                </c:pt>
                <c:pt idx="3">
                  <c:v>0.48484848484848497</c:v>
                </c:pt>
                <c:pt idx="4">
                  <c:v>0.21590909090909099</c:v>
                </c:pt>
              </c:numCache>
            </c:numRef>
          </c:val>
          <c:extLst>
            <c:ext xmlns:c16="http://schemas.microsoft.com/office/drawing/2014/chart" uri="{C3380CC4-5D6E-409C-BE32-E72D297353CC}">
              <c16:uniqueId val="{00000000-DE64-4948-825C-5589E63011B6}"/>
            </c:ext>
          </c:extLst>
        </c:ser>
        <c:ser>
          <c:idx val="1"/>
          <c:order val="1"/>
          <c:tx>
            <c:strRef>
              <c:f>'Q33'!$A$20</c:f>
              <c:strCache>
                <c:ptCount val="1"/>
                <c:pt idx="0">
                  <c:v>Unsure</c:v>
                </c:pt>
              </c:strCache>
            </c:strRef>
          </c:tx>
          <c:spPr>
            <a:solidFill>
              <a:srgbClr val="B6571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DE64-4948-825C-5589E63011B6}"/>
                </c:ext>
              </c:extLst>
            </c:dLbl>
            <c:dLbl>
              <c:idx val="1"/>
              <c:delete val="1"/>
              <c:extLst>
                <c:ext xmlns:c15="http://schemas.microsoft.com/office/drawing/2012/chart" uri="{CE6537A1-D6FC-4f65-9D91-7224C49458BB}"/>
                <c:ext xmlns:c16="http://schemas.microsoft.com/office/drawing/2014/chart" uri="{C3380CC4-5D6E-409C-BE32-E72D297353CC}">
                  <c16:uniqueId val="{00000003-DE64-4948-825C-5589E63011B6}"/>
                </c:ext>
              </c:extLst>
            </c:dLbl>
            <c:dLbl>
              <c:idx val="2"/>
              <c:layout>
                <c:manualLayout>
                  <c:x val="2.1709633649932156E-2"/>
                  <c:y val="0"/>
                </c:manualLayout>
              </c:layout>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DE64-4948-825C-5589E63011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'Q33'!$B$18:$F$18</c:f>
              <c:strCache>
                <c:ptCount val="5"/>
                <c:pt idx="0">
                  <c:v>Micro</c:v>
                </c:pt>
                <c:pt idx="1">
                  <c:v>Small</c:v>
                </c:pt>
                <c:pt idx="2">
                  <c:v>Medium</c:v>
                </c:pt>
                <c:pt idx="3">
                  <c:v>Large</c:v>
                </c:pt>
                <c:pt idx="4">
                  <c:v>Total</c:v>
                </c:pt>
              </c:strCache>
            </c:strRef>
          </c:cat>
          <c:val>
            <c:numRef>
              <c:f>'Q33'!$B$20:$F$20</c:f>
              <c:numCache>
                <c:formatCode>0%</c:formatCode>
                <c:ptCount val="5"/>
                <c:pt idx="0">
                  <c:v>0</c:v>
                </c:pt>
                <c:pt idx="1">
                  <c:v>0</c:v>
                </c:pt>
                <c:pt idx="2" formatCode="0.00%">
                  <c:v>6.25E-2</c:v>
                </c:pt>
                <c:pt idx="3" formatCode="0.00%">
                  <c:v>6.0606060606060601E-2</c:v>
                </c:pt>
                <c:pt idx="4" formatCode="0.00%">
                  <c:v>4.5454545454545497E-2</c:v>
                </c:pt>
              </c:numCache>
            </c:numRef>
          </c:val>
          <c:extLst>
            <c:ext xmlns:c16="http://schemas.microsoft.com/office/drawing/2014/chart" uri="{C3380CC4-5D6E-409C-BE32-E72D297353CC}">
              <c16:uniqueId val="{00000001-DE64-4948-825C-5589E63011B6}"/>
            </c:ext>
          </c:extLst>
        </c:ser>
        <c:ser>
          <c:idx val="2"/>
          <c:order val="2"/>
          <c:tx>
            <c:strRef>
              <c:f>'Q33'!$A$19</c:f>
              <c:strCache>
                <c:ptCount val="1"/>
                <c:pt idx="0">
                  <c:v>No</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'Q33'!$B$18:$F$18</c:f>
              <c:strCache>
                <c:ptCount val="5"/>
                <c:pt idx="0">
                  <c:v>Micro</c:v>
                </c:pt>
                <c:pt idx="1">
                  <c:v>Small</c:v>
                </c:pt>
                <c:pt idx="2">
                  <c:v>Medium</c:v>
                </c:pt>
                <c:pt idx="3">
                  <c:v>Large</c:v>
                </c:pt>
                <c:pt idx="4">
                  <c:v>Total</c:v>
                </c:pt>
              </c:strCache>
            </c:strRef>
          </c:cat>
          <c:val>
            <c:numRef>
              <c:f>'Q33'!$B$19:$F$19</c:f>
              <c:numCache>
                <c:formatCode>0.00%</c:formatCode>
                <c:ptCount val="5"/>
                <c:pt idx="0">
                  <c:v>0.95454545454545503</c:v>
                </c:pt>
                <c:pt idx="1">
                  <c:v>0.88235294117647101</c:v>
                </c:pt>
                <c:pt idx="2">
                  <c:v>0.875</c:v>
                </c:pt>
                <c:pt idx="3">
                  <c:v>0.45454545454545497</c:v>
                </c:pt>
                <c:pt idx="4">
                  <c:v>0.73863636363636398</c:v>
                </c:pt>
              </c:numCache>
            </c:numRef>
          </c:val>
          <c:extLst>
            <c:ext xmlns:c16="http://schemas.microsoft.com/office/drawing/2014/chart" uri="{C3380CC4-5D6E-409C-BE32-E72D297353CC}">
              <c16:uniqueId val="{00000002-DE64-4948-825C-5589E63011B6}"/>
            </c:ext>
          </c:extLst>
        </c:ser>
        <c:dLbls>
          <c:dLblPos val="ctr"/>
          <c:showLegendKey val="0"/>
          <c:showVal val="1"/>
          <c:showCatName val="0"/>
          <c:showSerName val="0"/>
          <c:showPercent val="0"/>
          <c:showBubbleSize val="0"/>
        </c:dLbls>
        <c:gapWidth val="50"/>
        <c:overlap val="100"/>
        <c:axId val="168476015"/>
        <c:axId val="168472175"/>
      </c:barChart>
      <c:catAx>
        <c:axId val="168476015"/>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2175"/>
        <c:crosses val="autoZero"/>
        <c:auto val="1"/>
        <c:lblAlgn val="ctr"/>
        <c:lblOffset val="100"/>
        <c:noMultiLvlLbl val="0"/>
      </c:catAx>
      <c:valAx>
        <c:axId val="168472175"/>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68476015"/>
        <c:crosses val="autoZero"/>
        <c:crossBetween val="between"/>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9402777777777775E-2"/>
          <c:w val="0.98149946581196579"/>
          <c:h val="0.94555753968253964"/>
        </c:manualLayout>
      </c:layout>
      <c:barChart>
        <c:barDir val="bar"/>
        <c:grouping val="clustered"/>
        <c:varyColors val="0"/>
        <c:ser>
          <c:idx val="1"/>
          <c:order val="0"/>
          <c:tx>
            <c:strRef>
              <c:f>'Q32'!$E$17</c:f>
              <c:strCache>
                <c:ptCount val="1"/>
                <c:pt idx="0">
                  <c:v>Total</c:v>
                </c:pt>
              </c:strCache>
            </c:strRef>
          </c:tx>
          <c:spPr>
            <a:solidFill>
              <a:srgbClr val="213657"/>
            </a:solidFill>
            <a:ln>
              <a:noFill/>
            </a:ln>
            <a:effectLst/>
          </c:spPr>
          <c:invertIfNegative val="0"/>
          <c:cat>
            <c:strRef>
              <c:f>'Q34'!$H$2:$H$6</c:f>
              <c:strCache>
                <c:ptCount val="5"/>
                <c:pt idx="0">
                  <c:v>Stronger legislative requirements</c:v>
                </c:pt>
                <c:pt idx="1">
                  <c:v>Mandatory evaluation requirements</c:v>
                </c:pt>
                <c:pt idx="2">
                  <c:v>Evaluation Maturity Model</c:v>
                </c:pt>
                <c:pt idx="3">
                  <c:v>Tailored information session</c:v>
                </c:pt>
                <c:pt idx="4">
                  <c:v>Enhanced guidance and tools</c:v>
                </c:pt>
              </c:strCache>
            </c:strRef>
          </c:cat>
          <c:val>
            <c:numRef>
              <c:f>'Q34'!$J$2:$J$6</c:f>
              <c:numCache>
                <c:formatCode>0.00%</c:formatCode>
                <c:ptCount val="5"/>
                <c:pt idx="0">
                  <c:v>0.12987012987013</c:v>
                </c:pt>
                <c:pt idx="1">
                  <c:v>0.32467532467532501</c:v>
                </c:pt>
                <c:pt idx="2">
                  <c:v>0.51948051948051899</c:v>
                </c:pt>
                <c:pt idx="3">
                  <c:v>0.53246753246753198</c:v>
                </c:pt>
                <c:pt idx="4">
                  <c:v>0.62337662337662303</c:v>
                </c:pt>
              </c:numCache>
            </c:numRef>
          </c:val>
          <c:extLst>
            <c:ext xmlns:c16="http://schemas.microsoft.com/office/drawing/2014/chart" uri="{C3380CC4-5D6E-409C-BE32-E72D297353CC}">
              <c16:uniqueId val="{00000000-1ADF-440F-9B9D-BC905FC9B29E}"/>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a:solidFill>
              <a:srgbClr val="01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tickMarkSkip val="1"/>
        <c:noMultiLvlLbl val="0"/>
      </c:catAx>
      <c:valAx>
        <c:axId val="1323234863"/>
        <c:scaling>
          <c:orientation val="minMax"/>
          <c:max val="0.70000000000000007"/>
          <c:min val="0"/>
        </c:scaling>
        <c:delete val="0"/>
        <c:axPos val="b"/>
        <c:majorGridlines>
          <c:spPr>
            <a:ln w="3175" cap="flat" cmpd="sng" algn="ctr">
              <a:solidFill>
                <a:srgbClr val="808080">
                  <a:alpha val="40000"/>
                </a:srgbClr>
              </a:solidFill>
              <a:prstDash val="solid"/>
              <a:round/>
              <a:headEnd type="none" w="med" len="med"/>
              <a:tailEnd type="none" w="med" len="med"/>
            </a:ln>
          </c:spPr>
        </c:majorGridlines>
        <c:numFmt formatCode="0%" sourceLinked="0"/>
        <c:majorTickMark val="in"/>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rgbClr val="010000"/>
                </a:solidFill>
                <a:prstDash val="solid"/>
                <a:roun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1"/>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6977430555555554E-2"/>
          <c:w val="0.98149946581196579"/>
          <c:h val="0.8703767361111111"/>
        </c:manualLayout>
      </c:layout>
      <c:barChart>
        <c:barDir val="bar"/>
        <c:grouping val="clustered"/>
        <c:varyColors val="0"/>
        <c:ser>
          <c:idx val="1"/>
          <c:order val="0"/>
          <c:tx>
            <c:strRef>
              <c:f>'Q32'!$E$17</c:f>
              <c:strCache>
                <c:ptCount val="1"/>
                <c:pt idx="0">
                  <c:v>Total</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'Q6.5'!$K$2:$K$6</c:f>
              <c:strCache>
                <c:ptCount val="5"/>
                <c:pt idx="0">
                  <c:v>Evidence synthesis and translation</c:v>
                </c:pt>
                <c:pt idx="1">
                  <c:v>Commissioning</c:v>
                </c:pt>
                <c:pt idx="2">
                  <c:v>Delivery</c:v>
                </c:pt>
                <c:pt idx="3">
                  <c:v>Capability building</c:v>
                </c:pt>
                <c:pt idx="4">
                  <c:v>Advisory and support</c:v>
                </c:pt>
              </c:strCache>
            </c:strRef>
          </c:cat>
          <c:val>
            <c:numRef>
              <c:f>'Q6.5'!$M$2:$M$6</c:f>
              <c:numCache>
                <c:formatCode>0.00%</c:formatCode>
                <c:ptCount val="5"/>
                <c:pt idx="0">
                  <c:v>0.64285714285714302</c:v>
                </c:pt>
                <c:pt idx="1">
                  <c:v>0.71428571428571397</c:v>
                </c:pt>
                <c:pt idx="2" formatCode="General">
                  <c:v>0.71428571428571397</c:v>
                </c:pt>
                <c:pt idx="3">
                  <c:v>0.82142857142857095</c:v>
                </c:pt>
                <c:pt idx="4">
                  <c:v>0.89285714285714302</c:v>
                </c:pt>
              </c:numCache>
            </c:numRef>
          </c:val>
          <c:extLst>
            <c:ext xmlns:c16="http://schemas.microsoft.com/office/drawing/2014/chart" uri="{C3380CC4-5D6E-409C-BE32-E72D297353CC}">
              <c16:uniqueId val="{00000000-E2FA-4EFA-9D81-4FFDFB478733}"/>
            </c:ext>
          </c:extLst>
        </c:ser>
        <c:ser>
          <c:idx val="0"/>
          <c:order val="1"/>
          <c:tx>
            <c:strRef>
              <c:f>'Q6.5'!$I$27</c:f>
              <c:strCache>
                <c:ptCount val="1"/>
              </c:strCache>
            </c:strRef>
          </c:tx>
          <c:spPr>
            <a:solidFill>
              <a:srgbClr val="213657"/>
            </a:solidFill>
            <a:ln>
              <a:noFill/>
            </a:ln>
            <a:effectLst/>
          </c:spPr>
          <c:invertIfNegative val="0"/>
          <c:dLbls>
            <c:dLbl>
              <c:idx val="0"/>
              <c:dLblPos val="inBase"/>
              <c:showLegendKey val="0"/>
              <c:showVal val="0"/>
              <c:showCatName val="1"/>
              <c:showSerName val="0"/>
              <c:showPercent val="0"/>
              <c:showBubbleSize val="0"/>
              <c:extLst>
                <c:ext xmlns:c15="http://schemas.microsoft.com/office/drawing/2012/chart" uri="{CE6537A1-D6FC-4f65-9D91-7224C49458BB}">
                  <c15:layout>
                    <c:manualLayout>
                      <c:w val="0.55449451887941537"/>
                      <c:h val="0.21786542923433871"/>
                    </c:manualLayout>
                  </c15:layout>
                </c:ext>
                <c:ext xmlns:c16="http://schemas.microsoft.com/office/drawing/2014/chart" uri="{C3380CC4-5D6E-409C-BE32-E72D297353CC}">
                  <c16:uniqueId val="{00000001-E2FA-4EFA-9D81-4FFDFB478733}"/>
                </c:ext>
              </c:extLst>
            </c:dLbl>
            <c:dLbl>
              <c:idx val="1"/>
              <c:dLblPos val="inBase"/>
              <c:showLegendKey val="0"/>
              <c:showVal val="0"/>
              <c:showCatName val="1"/>
              <c:showSerName val="0"/>
              <c:showPercent val="0"/>
              <c:showBubbleSize val="0"/>
              <c:extLst>
                <c:ext xmlns:c15="http://schemas.microsoft.com/office/drawing/2012/chart" uri="{CE6537A1-D6FC-4f65-9D91-7224C49458BB}">
                  <c15:layout>
                    <c:manualLayout>
                      <c:w val="0.38524959958567911"/>
                      <c:h val="8.1902552204176332E-2"/>
                    </c:manualLayout>
                  </c15:layout>
                </c:ext>
                <c:ext xmlns:c16="http://schemas.microsoft.com/office/drawing/2014/chart" uri="{C3380CC4-5D6E-409C-BE32-E72D297353CC}">
                  <c16:uniqueId val="{00000002-E2FA-4EFA-9D81-4FFDFB478733}"/>
                </c:ext>
              </c:extLst>
            </c:dLbl>
            <c:dLbl>
              <c:idx val="2"/>
              <c:dLblPos val="inBase"/>
              <c:showLegendKey val="0"/>
              <c:showVal val="0"/>
              <c:showCatName val="1"/>
              <c:showSerName val="0"/>
              <c:showPercent val="0"/>
              <c:showBubbleSize val="0"/>
              <c:extLst>
                <c:ext xmlns:c15="http://schemas.microsoft.com/office/drawing/2012/chart" uri="{CE6537A1-D6FC-4f65-9D91-7224C49458BB}">
                  <c15:layout>
                    <c:manualLayout>
                      <c:w val="0.3162363931061602"/>
                      <c:h val="8.1902552204176332E-2"/>
                    </c:manualLayout>
                  </c15:layout>
                </c:ext>
                <c:ext xmlns:c16="http://schemas.microsoft.com/office/drawing/2014/chart" uri="{C3380CC4-5D6E-409C-BE32-E72D297353CC}">
                  <c16:uniqueId val="{00000003-E2FA-4EFA-9D81-4FFDFB478733}"/>
                </c:ext>
              </c:extLst>
            </c:dLbl>
            <c:dLbl>
              <c:idx val="3"/>
              <c:dLblPos val="inBase"/>
              <c:showLegendKey val="0"/>
              <c:showVal val="0"/>
              <c:showCatName val="1"/>
              <c:showSerName val="0"/>
              <c:showPercent val="0"/>
              <c:showBubbleSize val="0"/>
              <c:extLst>
                <c:ext xmlns:c15="http://schemas.microsoft.com/office/drawing/2012/chart" uri="{CE6537A1-D6FC-4f65-9D91-7224C49458BB}">
                  <c15:layout>
                    <c:manualLayout>
                      <c:w val="0.34890367997544769"/>
                      <c:h val="0.14988399071925751"/>
                    </c:manualLayout>
                  </c15:layout>
                </c:ext>
                <c:ext xmlns:c16="http://schemas.microsoft.com/office/drawing/2014/chart" uri="{C3380CC4-5D6E-409C-BE32-E72D297353CC}">
                  <c16:uniqueId val="{00000004-E2FA-4EFA-9D81-4FFDFB478733}"/>
                </c:ext>
              </c:extLst>
            </c:dLbl>
            <c:dLbl>
              <c:idx val="4"/>
              <c:dLblPos val="inBase"/>
              <c:showLegendKey val="0"/>
              <c:showVal val="0"/>
              <c:showCatName val="1"/>
              <c:showSerName val="0"/>
              <c:showPercent val="0"/>
              <c:showBubbleSize val="0"/>
              <c:extLst>
                <c:ext xmlns:c15="http://schemas.microsoft.com/office/drawing/2012/chart" uri="{CE6537A1-D6FC-4f65-9D91-7224C49458BB}">
                  <c15:layout>
                    <c:manualLayout>
                      <c:w val="0.30986601705237515"/>
                      <c:h val="0.14988399071925751"/>
                    </c:manualLayout>
                  </c15:layout>
                </c:ext>
                <c:ext xmlns:c16="http://schemas.microsoft.com/office/drawing/2014/chart" uri="{C3380CC4-5D6E-409C-BE32-E72D297353CC}">
                  <c16:uniqueId val="{00000005-E2FA-4EFA-9D81-4FFDFB478733}"/>
                </c:ext>
              </c:extLst>
            </c:dLbl>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'Q6.5'!$K$2:$K$6</c:f>
              <c:strCache>
                <c:ptCount val="5"/>
                <c:pt idx="0">
                  <c:v>Evidence synthesis and translation</c:v>
                </c:pt>
                <c:pt idx="1">
                  <c:v>Commissioning</c:v>
                </c:pt>
                <c:pt idx="2">
                  <c:v>Delivery</c:v>
                </c:pt>
                <c:pt idx="3">
                  <c:v>Capability building</c:v>
                </c:pt>
                <c:pt idx="4">
                  <c:v>Advisory and support</c:v>
                </c:pt>
              </c:strCache>
            </c:strRef>
          </c:cat>
          <c:val>
            <c:numRef>
              <c:f>'Q6.5'!$M$2:$M$6</c:f>
              <c:numCache>
                <c:formatCode>0.00%</c:formatCode>
                <c:ptCount val="5"/>
                <c:pt idx="0">
                  <c:v>0.64285714285714302</c:v>
                </c:pt>
                <c:pt idx="1">
                  <c:v>0.71428571428571397</c:v>
                </c:pt>
                <c:pt idx="2" formatCode="General">
                  <c:v>0.71428571428571397</c:v>
                </c:pt>
                <c:pt idx="3">
                  <c:v>0.82142857142857095</c:v>
                </c:pt>
                <c:pt idx="4">
                  <c:v>0.89285714285714302</c:v>
                </c:pt>
              </c:numCache>
            </c:numRef>
          </c:val>
          <c:extLst>
            <c:ext xmlns:c16="http://schemas.microsoft.com/office/drawing/2014/chart" uri="{C3380CC4-5D6E-409C-BE32-E72D297353CC}">
              <c16:uniqueId val="{00000006-E2FA-4EFA-9D81-4FFDFB478733}"/>
            </c:ext>
          </c:extLst>
        </c:ser>
        <c:dLbls>
          <c:showLegendKey val="0"/>
          <c:showVal val="0"/>
          <c:showCatName val="0"/>
          <c:showSerName val="0"/>
          <c:showPercent val="0"/>
          <c:showBubbleSize val="0"/>
        </c:dLbls>
        <c:gapWidth val="50"/>
        <c:overlap val="100"/>
        <c:axId val="1323261263"/>
        <c:axId val="1323234863"/>
      </c:barChart>
      <c:catAx>
        <c:axId val="1323261263"/>
        <c:scaling>
          <c:orientation val="minMax"/>
        </c:scaling>
        <c:delete val="1"/>
        <c:axPos val="l"/>
        <c:numFmt formatCode="General" sourceLinked="1"/>
        <c:majorTickMark val="out"/>
        <c:minorTickMark val="none"/>
        <c:tickLblPos val="low"/>
        <c:crossAx val="1323234863"/>
        <c:crosses val="autoZero"/>
        <c:auto val="1"/>
        <c:lblAlgn val="ctr"/>
        <c:lblOffset val="100"/>
        <c:tickMarkSkip val="1"/>
        <c:noMultiLvlLbl val="0"/>
      </c:catAx>
      <c:valAx>
        <c:axId val="1323234863"/>
        <c:scaling>
          <c:orientation val="minMax"/>
        </c:scaling>
        <c:delete val="1"/>
        <c:axPos val="b"/>
        <c:numFmt formatCode="0.0" sourceLinked="0"/>
        <c:majorTickMark val="in"/>
        <c:minorTickMark val="none"/>
        <c:tickLblPos val="nextTo"/>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9402777777777775E-2"/>
          <c:w val="0.98149946581196579"/>
          <c:h val="0.94555753968253964"/>
        </c:manualLayout>
      </c:layout>
      <c:barChart>
        <c:barDir val="bar"/>
        <c:grouping val="clustered"/>
        <c:varyColors val="0"/>
        <c:ser>
          <c:idx val="2"/>
          <c:order val="0"/>
          <c:spPr>
            <a:solidFill>
              <a:srgbClr val="213657"/>
            </a:solidFill>
            <a:ln w="25400">
              <a:noFill/>
            </a:ln>
            <a:effectLst/>
          </c:spPr>
          <c:invertIfNegative val="0"/>
          <c:cat>
            <c:strRef>
              <c:f>'Q38'!$I$2:$I$12</c:f>
              <c:strCache>
                <c:ptCount val="11"/>
                <c:pt idx="0">
                  <c:v>External training provider panel</c:v>
                </c:pt>
                <c:pt idx="1">
                  <c:v>Technical support for impact evaluations </c:v>
                </c:pt>
                <c:pt idx="2">
                  <c:v>Centrally supported ethics review arrangements </c:v>
                </c:pt>
                <c:pt idx="3">
                  <c:v>Coordinated evaluation procurement arrangements</c:v>
                </c:pt>
                <c:pt idx="4">
                  <c:v>Dedicated centrally held evaluation funding</c:v>
                </c:pt>
                <c:pt idx="5">
                  <c:v>Train-the-trainer support</c:v>
                </c:pt>
                <c:pt idx="6">
                  <c:v>Commonwealth Evaluation Community of Practice Events </c:v>
                </c:pt>
                <c:pt idx="7">
                  <c:v>Evaluation coaching/mentoring</c:v>
                </c:pt>
                <c:pt idx="8">
                  <c:v>Expanded Commonwealth Evaluation Toolkit</c:v>
                </c:pt>
                <c:pt idx="9">
                  <c:v>Provision of training resources</c:v>
                </c:pt>
                <c:pt idx="10">
                  <c:v>Online training through APS Learn </c:v>
                </c:pt>
              </c:strCache>
            </c:strRef>
          </c:cat>
          <c:val>
            <c:numRef>
              <c:f>'Q38'!$K$2:$K$12</c:f>
              <c:numCache>
                <c:formatCode>0.00%</c:formatCode>
                <c:ptCount val="11"/>
                <c:pt idx="0">
                  <c:v>0.25333333333333302</c:v>
                </c:pt>
                <c:pt idx="1">
                  <c:v>0.37333333333333302</c:v>
                </c:pt>
                <c:pt idx="2">
                  <c:v>0.38666666666666699</c:v>
                </c:pt>
                <c:pt idx="3">
                  <c:v>0.413333333333333</c:v>
                </c:pt>
                <c:pt idx="4">
                  <c:v>0.413333333333333</c:v>
                </c:pt>
                <c:pt idx="5">
                  <c:v>0.42666666666666703</c:v>
                </c:pt>
                <c:pt idx="6" formatCode="0%">
                  <c:v>0.48</c:v>
                </c:pt>
                <c:pt idx="7" formatCode="0%">
                  <c:v>0.48</c:v>
                </c:pt>
                <c:pt idx="8" formatCode="0%">
                  <c:v>0.52</c:v>
                </c:pt>
                <c:pt idx="9">
                  <c:v>0.57333333333333303</c:v>
                </c:pt>
                <c:pt idx="10">
                  <c:v>0.61333333333333295</c:v>
                </c:pt>
              </c:numCache>
            </c:numRef>
          </c:val>
          <c:extLst>
            <c:ext xmlns:c16="http://schemas.microsoft.com/office/drawing/2014/chart" uri="{C3380CC4-5D6E-409C-BE32-E72D297353CC}">
              <c16:uniqueId val="{00000000-28D8-4B05-899B-239188E28FCA}"/>
            </c:ext>
          </c:extLst>
        </c:ser>
        <c:ser>
          <c:idx val="0"/>
          <c:order val="1"/>
          <c:tx>
            <c:v>DUMMY</c:v>
          </c:tx>
          <c:spPr>
            <a:solidFill>
              <a:schemeClr val="accent1"/>
            </a:solidFill>
            <a:ln>
              <a:noFill/>
            </a:ln>
            <a:effectLst/>
          </c:spPr>
          <c:invertIfNegative val="0"/>
          <c:cat>
            <c:strRef>
              <c:f>'Q38'!$I$2:$I$12</c:f>
              <c:strCache>
                <c:ptCount val="11"/>
                <c:pt idx="0">
                  <c:v>External training provider panel</c:v>
                </c:pt>
                <c:pt idx="1">
                  <c:v>Technical support for impact evaluations </c:v>
                </c:pt>
                <c:pt idx="2">
                  <c:v>Centrally supported ethics review arrangements </c:v>
                </c:pt>
                <c:pt idx="3">
                  <c:v>Coordinated evaluation procurement arrangements</c:v>
                </c:pt>
                <c:pt idx="4">
                  <c:v>Dedicated centrally held evaluation funding</c:v>
                </c:pt>
                <c:pt idx="5">
                  <c:v>Train-the-trainer support</c:v>
                </c:pt>
                <c:pt idx="6">
                  <c:v>Commonwealth Evaluation Community of Practice Events </c:v>
                </c:pt>
                <c:pt idx="7">
                  <c:v>Evaluation coaching/mentoring</c:v>
                </c:pt>
                <c:pt idx="8">
                  <c:v>Expanded Commonwealth Evaluation Toolkit</c:v>
                </c:pt>
                <c:pt idx="9">
                  <c:v>Provision of training resources</c:v>
                </c:pt>
                <c:pt idx="10">
                  <c:v>Online training through APS Learn </c:v>
                </c:pt>
              </c:strCache>
            </c:strRef>
          </c:cat>
          <c:extLst>
            <c:ext xmlns:c16="http://schemas.microsoft.com/office/drawing/2014/chart" uri="{C3380CC4-5D6E-409C-BE32-E72D297353CC}">
              <c16:uniqueId val="{00000001-28D8-4B05-899B-239188E28FCA}"/>
            </c:ext>
          </c:extLst>
        </c:ser>
        <c:dLbls>
          <c:showLegendKey val="0"/>
          <c:showVal val="0"/>
          <c:showCatName val="0"/>
          <c:showSerName val="0"/>
          <c:showPercent val="0"/>
          <c:showBubbleSize val="0"/>
        </c:dLbls>
        <c:gapWidth val="50"/>
        <c:axId val="1323261263"/>
        <c:axId val="1323234863"/>
      </c:barChart>
      <c:catAx>
        <c:axId val="1323261263"/>
        <c:scaling>
          <c:orientation val="minMax"/>
        </c:scaling>
        <c:delete val="0"/>
        <c:axPos val="l"/>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34863"/>
        <c:crosses val="autoZero"/>
        <c:auto val="1"/>
        <c:lblAlgn val="ctr"/>
        <c:lblOffset val="100"/>
        <c:noMultiLvlLbl val="0"/>
      </c:catAx>
      <c:valAx>
        <c:axId val="1323234863"/>
        <c:scaling>
          <c:orientation val="minMax"/>
        </c:scaling>
        <c:delete val="0"/>
        <c:axPos val="b"/>
        <c:majorGridlines>
          <c:spPr>
            <a:ln w="3175" cap="flat" cmpd="sng" algn="ctr">
              <a:solidFill>
                <a:srgbClr val="808080">
                  <a:alpha val="40000"/>
                </a:srgbClr>
              </a:solidFill>
              <a:prstDash val="solid"/>
              <a:round/>
              <a:headEnd type="none" w="med" len="med"/>
              <a:tailEnd type="none" w="med" len="med"/>
            </a:ln>
            <a:effectLst/>
          </c:spPr>
        </c:majorGridlines>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323261263"/>
        <c:crosses val="autoZero"/>
        <c:crossBetween val="between"/>
        <c:majorUnit val="0.2"/>
      </c:valAx>
      <c:spPr>
        <a:noFill/>
        <a:ln w="25400">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0854700854700855E-2"/>
          <c:y val="4.710972222222222E-2"/>
          <c:w val="0.9841995726495727"/>
          <c:h val="0.87430138888888875"/>
        </c:manualLayout>
      </c:layout>
      <c:barChart>
        <c:barDir val="col"/>
        <c:grouping val="stacked"/>
        <c:varyColors val="0"/>
        <c:ser>
          <c:idx val="0"/>
          <c:order val="0"/>
          <c:tx>
            <c:strRef>
              <c:f>'[SoE graphs with totals.xlsx]Q5'!$A$14</c:f>
              <c:strCache>
                <c:ptCount val="1"/>
                <c:pt idx="0">
                  <c:v>No</c:v>
                </c:pt>
              </c:strCache>
            </c:strRef>
          </c:tx>
          <c:spPr>
            <a:solidFill>
              <a:srgbClr val="2136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'[SoE graphs with totals.xlsx]Q5'!$B$13:$F$13</c:f>
              <c:strCache>
                <c:ptCount val="5"/>
                <c:pt idx="0">
                  <c:v>Micro</c:v>
                </c:pt>
                <c:pt idx="1">
                  <c:v>Small</c:v>
                </c:pt>
                <c:pt idx="2">
                  <c:v>Medium</c:v>
                </c:pt>
                <c:pt idx="3">
                  <c:v>Large</c:v>
                </c:pt>
                <c:pt idx="4">
                  <c:v>Total</c:v>
                </c:pt>
              </c:strCache>
            </c:strRef>
          </c:cat>
          <c:val>
            <c:numRef>
              <c:f>'[SoE graphs with totals.xlsx]Q5'!$B$14:$F$14</c:f>
              <c:numCache>
                <c:formatCode>General</c:formatCode>
                <c:ptCount val="5"/>
                <c:pt idx="0">
                  <c:v>75</c:v>
                </c:pt>
                <c:pt idx="1">
                  <c:v>77.7777777777778</c:v>
                </c:pt>
                <c:pt idx="2">
                  <c:v>75</c:v>
                </c:pt>
                <c:pt idx="3">
                  <c:v>47.058823529411796</c:v>
                </c:pt>
                <c:pt idx="4">
                  <c:v>65.2173913043478</c:v>
                </c:pt>
              </c:numCache>
            </c:numRef>
          </c:val>
          <c:extLst>
            <c:ext xmlns:c16="http://schemas.microsoft.com/office/drawing/2014/chart" uri="{C3380CC4-5D6E-409C-BE32-E72D297353CC}">
              <c16:uniqueId val="{00000000-8AC9-477B-8CE0-611A6275A619}"/>
            </c:ext>
          </c:extLst>
        </c:ser>
        <c:ser>
          <c:idx val="1"/>
          <c:order val="1"/>
          <c:tx>
            <c:strRef>
              <c:f>'[SoE graphs with totals.xlsx]Q5'!$A$15</c:f>
              <c:strCache>
                <c:ptCount val="1"/>
                <c:pt idx="0">
                  <c:v>Yes</c:v>
                </c:pt>
              </c:strCache>
            </c:strRef>
          </c:tx>
          <c:spPr>
            <a:solidFill>
              <a:srgbClr val="0284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'[SoE graphs with totals.xlsx]Q5'!$B$13:$F$13</c:f>
              <c:strCache>
                <c:ptCount val="5"/>
                <c:pt idx="0">
                  <c:v>Micro</c:v>
                </c:pt>
                <c:pt idx="1">
                  <c:v>Small</c:v>
                </c:pt>
                <c:pt idx="2">
                  <c:v>Medium</c:v>
                </c:pt>
                <c:pt idx="3">
                  <c:v>Large</c:v>
                </c:pt>
                <c:pt idx="4">
                  <c:v>Total</c:v>
                </c:pt>
              </c:strCache>
            </c:strRef>
          </c:cat>
          <c:val>
            <c:numRef>
              <c:f>'[SoE graphs with totals.xlsx]Q5'!$B$15:$F$15</c:f>
              <c:numCache>
                <c:formatCode>General</c:formatCode>
                <c:ptCount val="5"/>
                <c:pt idx="0">
                  <c:v>25</c:v>
                </c:pt>
                <c:pt idx="1">
                  <c:v>22.2222222222222</c:v>
                </c:pt>
                <c:pt idx="2">
                  <c:v>25</c:v>
                </c:pt>
                <c:pt idx="3">
                  <c:v>52.941176470588204</c:v>
                </c:pt>
                <c:pt idx="4">
                  <c:v>34.7826086956522</c:v>
                </c:pt>
              </c:numCache>
            </c:numRef>
          </c:val>
          <c:extLst>
            <c:ext xmlns:c16="http://schemas.microsoft.com/office/drawing/2014/chart" uri="{C3380CC4-5D6E-409C-BE32-E72D297353CC}">
              <c16:uniqueId val="{00000001-8AC9-477B-8CE0-611A6275A619}"/>
            </c:ext>
          </c:extLst>
        </c:ser>
        <c:dLbls>
          <c:showLegendKey val="0"/>
          <c:showVal val="0"/>
          <c:showCatName val="0"/>
          <c:showSerName val="0"/>
          <c:showPercent val="0"/>
          <c:showBubbleSize val="0"/>
        </c:dLbls>
        <c:gapWidth val="50"/>
        <c:overlap val="100"/>
        <c:axId val="1083130879"/>
        <c:axId val="1083144799"/>
      </c:barChart>
      <c:catAx>
        <c:axId val="1083130879"/>
        <c:scaling>
          <c:orientation val="minMax"/>
        </c:scaling>
        <c:delete val="0"/>
        <c:axPos val="b"/>
        <c:numFmt formatCode="General" sourceLinked="1"/>
        <c:majorTickMark val="out"/>
        <c:minorTickMark val="none"/>
        <c:tickLblPos val="low"/>
        <c:spPr>
          <a:noFill/>
          <a:ln w="9525" cap="flat" cmpd="sng" algn="ctr">
            <a:solidFill>
              <a:srgbClr val="01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083144799"/>
        <c:crosses val="autoZero"/>
        <c:auto val="1"/>
        <c:lblAlgn val="ctr"/>
        <c:lblOffset val="100"/>
        <c:noMultiLvlLbl val="0"/>
      </c:catAx>
      <c:valAx>
        <c:axId val="1083144799"/>
        <c:scaling>
          <c:orientation val="minMax"/>
          <c:max val="100"/>
        </c:scaling>
        <c:delete val="0"/>
        <c:axPos val="l"/>
        <c:majorGridlines>
          <c:spPr>
            <a:ln w="3175" cap="flat" cmpd="sng" algn="ctr">
              <a:solidFill>
                <a:srgbClr val="808080">
                  <a:alpha val="40000"/>
                </a:srgbClr>
              </a:solidFill>
              <a:prstDash val="solid"/>
              <a:round/>
              <a:headEnd type="none" w="med" len="med"/>
              <a:tailEnd type="none" w="med" len="med"/>
            </a:ln>
            <a:effectLst/>
          </c:spPr>
        </c:majorGridlines>
        <c:title>
          <c:tx>
            <c:rich>
              <a:bodyPr rot="0" spcFirstLastPara="1" vertOverflow="ellipsis" wrap="square" anchor="ctr" anchorCtr="1"/>
              <a:lstStyle/>
              <a:p>
                <a:pPr>
                  <a:defRPr sz="800" b="1" i="0" u="none" strike="noStrike" kern="1200" baseline="0">
                    <a:solidFill>
                      <a:srgbClr val="000000"/>
                    </a:solidFill>
                    <a:latin typeface="Arial"/>
                    <a:ea typeface="Arial"/>
                    <a:cs typeface="Arial"/>
                  </a:defRPr>
                </a:pPr>
                <a:r>
                  <a:rPr lang="en-AU"/>
                  <a:t>Per cent</a:t>
                </a:r>
              </a:p>
            </c:rich>
          </c:tx>
          <c:layout>
            <c:manualLayout>
              <c:xMode val="edge"/>
              <c:yMode val="edge"/>
              <c:x val="2.7136752136752138E-3"/>
              <c:y val="0"/>
            </c:manualLayout>
          </c:layout>
          <c:overlay val="0"/>
          <c:spPr>
            <a:noFill/>
            <a:ln>
              <a:noFill/>
            </a:ln>
            <a:effectLst/>
          </c:spPr>
          <c:txPr>
            <a:bodyPr rot="0" spcFirstLastPara="1" vertOverflow="ellipsis" wrap="square" anchor="ctr" anchorCtr="1"/>
            <a:lstStyle/>
            <a:p>
              <a:pPr>
                <a:defRPr sz="800" b="1"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9525">
            <a:noFill/>
            <a:prstDash val="solid"/>
          </a:ln>
          <a:effectLst/>
          <a:extLst>
            <a:ext uri="{91240B29-F687-4F45-9708-019B960494DF}">
              <a14:hiddenLine xmlns:a14="http://schemas.microsoft.com/office/drawing/2010/main" w="9525">
                <a:solidFill>
                  <a:srgbClr val="010000"/>
                </a:solidFill>
                <a:prstDash val="solid"/>
              </a14:hiddenLine>
            </a:ext>
          </a:ex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083130879"/>
        <c:crosses val="autoZero"/>
        <c:crossBetween val="between"/>
      </c:val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213657"/>
              </a:solidFill>
              <a:ln w="19050">
                <a:solidFill>
                  <a:schemeClr val="lt1"/>
                </a:solidFill>
              </a:ln>
              <a:effectLst/>
            </c:spPr>
            <c:extLst>
              <c:ext xmlns:c16="http://schemas.microsoft.com/office/drawing/2014/chart" uri="{C3380CC4-5D6E-409C-BE32-E72D297353CC}">
                <c16:uniqueId val="{00000001-8FEA-4B70-872A-BDD885A3FE29}"/>
              </c:ext>
            </c:extLst>
          </c:dPt>
          <c:dPt>
            <c:idx val="1"/>
            <c:bubble3D val="0"/>
            <c:spPr>
              <a:solidFill>
                <a:srgbClr val="B65716"/>
              </a:solidFill>
              <a:ln w="19050">
                <a:solidFill>
                  <a:schemeClr val="lt1"/>
                </a:solidFill>
              </a:ln>
              <a:effectLst/>
            </c:spPr>
            <c:extLst>
              <c:ext xmlns:c16="http://schemas.microsoft.com/office/drawing/2014/chart" uri="{C3380CC4-5D6E-409C-BE32-E72D297353CC}">
                <c16:uniqueId val="{00000003-8FEA-4B70-872A-BDD885A3FE29}"/>
              </c:ext>
            </c:extLst>
          </c:dPt>
          <c:dPt>
            <c:idx val="2"/>
            <c:bubble3D val="0"/>
            <c:spPr>
              <a:solidFill>
                <a:srgbClr val="02843D"/>
              </a:solidFill>
              <a:ln w="19050">
                <a:solidFill>
                  <a:schemeClr val="lt1"/>
                </a:solidFill>
              </a:ln>
              <a:effectLst/>
            </c:spPr>
            <c:extLst>
              <c:ext xmlns:c16="http://schemas.microsoft.com/office/drawing/2014/chart" uri="{C3380CC4-5D6E-409C-BE32-E72D297353CC}">
                <c16:uniqueId val="{00000005-8FEA-4B70-872A-BDD885A3FE29}"/>
              </c:ext>
            </c:extLst>
          </c:dPt>
          <c:dLbls>
            <c:dLbl>
              <c:idx val="0"/>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27354633145836482"/>
                      <c:h val="0.19180327868852459"/>
                    </c:manualLayout>
                  </c15:layout>
                </c:ext>
                <c:ext xmlns:c16="http://schemas.microsoft.com/office/drawing/2014/chart" uri="{C3380CC4-5D6E-409C-BE32-E72D297353CC}">
                  <c16:uniqueId val="{00000001-8FEA-4B70-872A-BDD885A3FE29}"/>
                </c:ext>
              </c:extLst>
            </c:dLbl>
            <c:dLbl>
              <c:idx val="1"/>
              <c:dLblPos val="ctr"/>
              <c:showLegendKey val="0"/>
              <c:showVal val="1"/>
              <c:showCatName val="1"/>
              <c:showSerName val="0"/>
              <c:showPercent val="0"/>
              <c:showBubbleSize val="0"/>
              <c:separator>
</c:separator>
              <c:extLst>
                <c:ext xmlns:c15="http://schemas.microsoft.com/office/drawing/2012/chart" uri="{CE6537A1-D6FC-4f65-9D91-7224C49458BB}">
                  <c15:layout>
                    <c:manualLayout>
                      <c:w val="0.27183183020590007"/>
                      <c:h val="0.20046307015512851"/>
                    </c:manualLayout>
                  </c15:layout>
                </c:ext>
                <c:ext xmlns:c16="http://schemas.microsoft.com/office/drawing/2014/chart" uri="{C3380CC4-5D6E-409C-BE32-E72D297353CC}">
                  <c16:uniqueId val="{00000003-8FEA-4B70-872A-BDD885A3FE29}"/>
                </c:ext>
              </c:extLst>
            </c:dLbl>
            <c:dLbl>
              <c:idx val="2"/>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EA-4B70-872A-BDD885A3FE2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'Q10'!$E$42:$E$44</c:f>
              <c:strCache>
                <c:ptCount val="3"/>
                <c:pt idx="0">
                  <c:v>Planning</c:v>
                </c:pt>
                <c:pt idx="1">
                  <c:v>No</c:v>
                </c:pt>
                <c:pt idx="2">
                  <c:v>Yes</c:v>
                </c:pt>
              </c:strCache>
            </c:strRef>
          </c:cat>
          <c:val>
            <c:numRef>
              <c:f>'Q10'!$F$42:$F$44</c:f>
              <c:numCache>
                <c:formatCode>0.00%</c:formatCode>
                <c:ptCount val="3"/>
                <c:pt idx="0">
                  <c:v>0.30769230769230765</c:v>
                </c:pt>
                <c:pt idx="1">
                  <c:v>0.43956043956043944</c:v>
                </c:pt>
                <c:pt idx="2">
                  <c:v>0.25274725274725302</c:v>
                </c:pt>
              </c:numCache>
            </c:numRef>
          </c:val>
          <c:extLst>
            <c:ext xmlns:c16="http://schemas.microsoft.com/office/drawing/2014/chart" uri="{C3380CC4-5D6E-409C-BE32-E72D297353CC}">
              <c16:uniqueId val="{00000006-8FEA-4B70-872A-BDD885A3FE29}"/>
            </c:ext>
          </c:extLst>
        </c:ser>
        <c:dLbls>
          <c:dLblPos val="ctr"/>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1.1379928315412187E-2"/>
          <c:y val="1.9242460317460318E-2"/>
          <c:w val="0.98862007168458776"/>
          <c:h val="0.96976190476190471"/>
        </c:manualLayout>
      </c:layout>
      <c:barChart>
        <c:barDir val="bar"/>
        <c:grouping val="clustered"/>
        <c:varyColors val="0"/>
        <c:ser>
          <c:idx val="1"/>
          <c:order val="0"/>
          <c:tx>
            <c:strRef>
              <c:f>'Q11'!$F$2</c:f>
              <c:strCache>
                <c:ptCount val="1"/>
                <c:pt idx="0">
                  <c:v>Total</c:v>
                </c:pt>
              </c:strCache>
            </c:strRef>
          </c:tx>
          <c:spPr>
            <a:solidFill>
              <a:srgbClr val="213657"/>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'Q11'!$G$2:$G$6</c:f>
              <c:strCache>
                <c:ptCount val="5"/>
                <c:pt idx="0">
                  <c:v>Evaluation evidence use</c:v>
                </c:pt>
                <c:pt idx="1">
                  <c:v>Management responses</c:v>
                </c:pt>
                <c:pt idx="2">
                  <c:v>Planned evaluations</c:v>
                </c:pt>
                <c:pt idx="3">
                  <c:v>Evaluations in progress</c:v>
                </c:pt>
                <c:pt idx="4">
                  <c:v>Completed evaluations</c:v>
                </c:pt>
              </c:strCache>
            </c:strRef>
          </c:cat>
          <c:val>
            <c:numRef>
              <c:f>'Q11'!$I$2:$I$6</c:f>
              <c:numCache>
                <c:formatCode>0.00%</c:formatCode>
                <c:ptCount val="5"/>
                <c:pt idx="0">
                  <c:v>0.42553191489361702</c:v>
                </c:pt>
                <c:pt idx="1">
                  <c:v>0.61702127659574502</c:v>
                </c:pt>
                <c:pt idx="2">
                  <c:v>0.70212765957446799</c:v>
                </c:pt>
                <c:pt idx="3">
                  <c:v>0.74468085106382997</c:v>
                </c:pt>
                <c:pt idx="4">
                  <c:v>0.85106382978723405</c:v>
                </c:pt>
              </c:numCache>
            </c:numRef>
          </c:val>
          <c:extLst>
            <c:ext xmlns:c16="http://schemas.microsoft.com/office/drawing/2014/chart" uri="{C3380CC4-5D6E-409C-BE32-E72D297353CC}">
              <c16:uniqueId val="{00000000-9773-4CAD-8A5E-4641EDA067BE}"/>
            </c:ext>
          </c:extLst>
        </c:ser>
        <c:dLbls>
          <c:showLegendKey val="0"/>
          <c:showVal val="0"/>
          <c:showCatName val="0"/>
          <c:showSerName val="0"/>
          <c:showPercent val="0"/>
          <c:showBubbleSize val="0"/>
        </c:dLbls>
        <c:gapWidth val="50"/>
        <c:overlap val="33"/>
        <c:axId val="1323261263"/>
        <c:axId val="1323234863"/>
      </c:barChart>
      <c:barChart>
        <c:barDir val="bar"/>
        <c:grouping val="clustered"/>
        <c:varyColors val="0"/>
        <c:ser>
          <c:idx val="0"/>
          <c:order val="1"/>
          <c:tx>
            <c:v>DUMMY</c:v>
          </c:tx>
          <c:spPr>
            <a:noFill/>
            <a:ln w="25400">
              <a:noFill/>
            </a:ln>
            <a:effectLst/>
          </c:spPr>
          <c:invertIfNegative val="0"/>
          <c:cat>
            <c:strRef>
              <c:f>'Q11'!$G$2:$G$6</c:f>
              <c:strCache>
                <c:ptCount val="5"/>
                <c:pt idx="0">
                  <c:v>Evaluation evidence use</c:v>
                </c:pt>
                <c:pt idx="1">
                  <c:v>Management responses</c:v>
                </c:pt>
                <c:pt idx="2">
                  <c:v>Planned evaluations</c:v>
                </c:pt>
                <c:pt idx="3">
                  <c:v>Evaluations in progress</c:v>
                </c:pt>
                <c:pt idx="4">
                  <c:v>Completed evaluations</c:v>
                </c:pt>
              </c:strCache>
            </c:strRef>
          </c:cat>
          <c:extLst>
            <c:ext xmlns:c16="http://schemas.microsoft.com/office/drawing/2014/chart" uri="{C3380CC4-5D6E-409C-BE32-E72D297353CC}">
              <c16:uniqueId val="{00000001-9773-4CAD-8A5E-4641EDA067BE}"/>
            </c:ext>
          </c:extLst>
        </c:ser>
        <c:ser>
          <c:idx val="2"/>
          <c:order val="2"/>
          <c:spPr>
            <a:noFill/>
            <a:ln>
              <a:noFill/>
            </a:ln>
            <a:effectLst/>
          </c:spPr>
          <c:invertIfNegative val="0"/>
          <c:dLbls>
            <c:dLbl>
              <c:idx val="0"/>
              <c:layout>
                <c:manualLayout>
                  <c:x val="-0.41841329666499094"/>
                  <c:y val="2.5201612903225621E-2"/>
                </c:manualLayout>
              </c:layout>
              <c:dLblPos val="outEnd"/>
              <c:showLegendKey val="0"/>
              <c:showVal val="0"/>
              <c:showCatName val="1"/>
              <c:showSerName val="0"/>
              <c:showPercent val="0"/>
              <c:showBubbleSize val="0"/>
              <c:extLst>
                <c:ext xmlns:c15="http://schemas.microsoft.com/office/drawing/2012/chart" uri="{CE6537A1-D6FC-4f65-9D91-7224C49458BB}">
                  <c15:layout>
                    <c:manualLayout>
                      <c:w val="0.33982018891544324"/>
                      <c:h val="0.12585685483870968"/>
                    </c:manualLayout>
                  </c15:layout>
                </c:ext>
                <c:ext xmlns:c16="http://schemas.microsoft.com/office/drawing/2014/chart" uri="{C3380CC4-5D6E-409C-BE32-E72D297353CC}">
                  <c16:uniqueId val="{00000002-9773-4CAD-8A5E-4641EDA067BE}"/>
                </c:ext>
              </c:extLst>
            </c:dLbl>
            <c:dLbl>
              <c:idx val="1"/>
              <c:layout>
                <c:manualLayout>
                  <c:x val="-0.47154950629464248"/>
                  <c:y val="1.5120967741935484E-2"/>
                </c:manualLayout>
              </c:layout>
              <c:dLblPos val="outEnd"/>
              <c:showLegendKey val="0"/>
              <c:showVal val="0"/>
              <c:showCatName val="1"/>
              <c:showSerName val="0"/>
              <c:showPercent val="0"/>
              <c:showBubbleSize val="0"/>
              <c:extLst>
                <c:ext xmlns:c15="http://schemas.microsoft.com/office/drawing/2012/chart" uri="{CE6537A1-D6FC-4f65-9D91-7224C49458BB}">
                  <c15:layout>
                    <c:manualLayout>
                      <c:w val="0.51024231394087005"/>
                      <c:h val="0.12585685483870968"/>
                    </c:manualLayout>
                  </c15:layout>
                </c:ext>
                <c:ext xmlns:c16="http://schemas.microsoft.com/office/drawing/2014/chart" uri="{C3380CC4-5D6E-409C-BE32-E72D297353CC}">
                  <c16:uniqueId val="{00000003-9773-4CAD-8A5E-4641EDA067BE}"/>
                </c:ext>
              </c:extLst>
            </c:dLbl>
            <c:dLbl>
              <c:idx val="2"/>
              <c:layout>
                <c:manualLayout>
                  <c:x val="-0.69413745610238464"/>
                  <c:y val="2.0161488760477429E-2"/>
                </c:manualLayout>
              </c:layout>
              <c:dLblPos val="outEnd"/>
              <c:showLegendKey val="0"/>
              <c:showVal val="0"/>
              <c:showCatName val="1"/>
              <c:showSerName val="0"/>
              <c:showPercent val="0"/>
              <c:showBubbleSize val="0"/>
              <c:extLst>
                <c:ext xmlns:c15="http://schemas.microsoft.com/office/drawing/2012/chart" uri="{CE6537A1-D6FC-4f65-9D91-7224C49458BB}">
                  <c15:layout>
                    <c:manualLayout>
                      <c:w val="0.27019460566746328"/>
                      <c:h val="0.16280241935483869"/>
                    </c:manualLayout>
                  </c15:layout>
                </c:ext>
                <c:ext xmlns:c16="http://schemas.microsoft.com/office/drawing/2014/chart" uri="{C3380CC4-5D6E-409C-BE32-E72D297353CC}">
                  <c16:uniqueId val="{00000004-9773-4CAD-8A5E-4641EDA067BE}"/>
                </c:ext>
              </c:extLst>
            </c:dLbl>
            <c:dLbl>
              <c:idx val="3"/>
              <c:layout>
                <c:manualLayout>
                  <c:x val="-0.68867708112109061"/>
                  <c:y val="2.0161290322580645E-2"/>
                </c:manualLayout>
              </c:layout>
              <c:dLblPos val="outEnd"/>
              <c:showLegendKey val="0"/>
              <c:showVal val="0"/>
              <c:showCatName val="1"/>
              <c:showSerName val="0"/>
              <c:showPercent val="0"/>
              <c:showBubbleSize val="0"/>
              <c:extLst>
                <c:ext xmlns:c15="http://schemas.microsoft.com/office/drawing/2012/chart" uri="{CE6537A1-D6FC-4f65-9D91-7224C49458BB}">
                  <c15:layout>
                    <c:manualLayout>
                      <c:w val="0.29311482872425171"/>
                      <c:h val="0.12585685483870968"/>
                    </c:manualLayout>
                  </c15:layout>
                </c:ext>
                <c:ext xmlns:c16="http://schemas.microsoft.com/office/drawing/2014/chart" uri="{C3380CC4-5D6E-409C-BE32-E72D297353CC}">
                  <c16:uniqueId val="{00000005-9773-4CAD-8A5E-4641EDA067BE}"/>
                </c:ext>
              </c:extLst>
            </c:dLbl>
            <c:dLbl>
              <c:idx val="4"/>
              <c:layout>
                <c:manualLayout>
                  <c:x val="-0.71313366471048412"/>
                  <c:y val="1.0080645161290322E-2"/>
                </c:manualLayout>
              </c:layout>
              <c:dLblPos val="outEnd"/>
              <c:showLegendKey val="0"/>
              <c:showVal val="0"/>
              <c:showCatName val="1"/>
              <c:showSerName val="0"/>
              <c:showPercent val="0"/>
              <c:showBubbleSize val="0"/>
              <c:extLst>
                <c:ext xmlns:c15="http://schemas.microsoft.com/office/drawing/2012/chart" uri="{CE6537A1-D6FC-4f65-9D91-7224C49458BB}">
                  <c15:layout>
                    <c:manualLayout>
                      <c:w val="0.26865815552502847"/>
                      <c:h val="0.12585685483870968"/>
                    </c:manualLayout>
                  </c15:layout>
                </c:ext>
                <c:ext xmlns:c16="http://schemas.microsoft.com/office/drawing/2014/chart" uri="{C3380CC4-5D6E-409C-BE32-E72D297353CC}">
                  <c16:uniqueId val="{00000006-9773-4CAD-8A5E-4641EDA067BE}"/>
                </c:ext>
              </c:extLst>
            </c:dLbl>
            <c:spPr>
              <a:noFill/>
              <a:ln>
                <a:noFill/>
              </a:ln>
              <a:effectLst/>
            </c:spPr>
            <c:txPr>
              <a:bodyPr rot="0" spcFirstLastPara="1" vertOverflow="ellipsis" vert="horz" wrap="square" lIns="38100" tIns="19050" rIns="38100" bIns="19050" anchor="ctr" anchorCtr="0">
                <a:spAutoFit/>
              </a:bodyPr>
              <a:lstStyle/>
              <a:p>
                <a:pPr algn="l">
                  <a:defRPr sz="12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'Q11'!$G$2:$G$6</c:f>
              <c:strCache>
                <c:ptCount val="5"/>
                <c:pt idx="0">
                  <c:v>Evaluation evidence use</c:v>
                </c:pt>
                <c:pt idx="1">
                  <c:v>Management responses</c:v>
                </c:pt>
                <c:pt idx="2">
                  <c:v>Planned evaluations</c:v>
                </c:pt>
                <c:pt idx="3">
                  <c:v>Evaluations in progress</c:v>
                </c:pt>
                <c:pt idx="4">
                  <c:v>Completed evaluations</c:v>
                </c:pt>
              </c:strCache>
            </c:strRef>
          </c:cat>
          <c:val>
            <c:numRef>
              <c:f>'Q11'!$I$2:$I$6</c:f>
              <c:numCache>
                <c:formatCode>0.00%</c:formatCode>
                <c:ptCount val="5"/>
                <c:pt idx="0">
                  <c:v>0.42553191489361702</c:v>
                </c:pt>
                <c:pt idx="1">
                  <c:v>0.61702127659574502</c:v>
                </c:pt>
                <c:pt idx="2">
                  <c:v>0.70212765957446799</c:v>
                </c:pt>
                <c:pt idx="3">
                  <c:v>0.74468085106382997</c:v>
                </c:pt>
                <c:pt idx="4">
                  <c:v>0.85106382978723405</c:v>
                </c:pt>
              </c:numCache>
            </c:numRef>
          </c:val>
          <c:extLst>
            <c:ext xmlns:c16="http://schemas.microsoft.com/office/drawing/2014/chart" uri="{C3380CC4-5D6E-409C-BE32-E72D297353CC}">
              <c16:uniqueId val="{00000007-9773-4CAD-8A5E-4641EDA067BE}"/>
            </c:ext>
          </c:extLst>
        </c:ser>
        <c:dLbls>
          <c:showLegendKey val="0"/>
          <c:showVal val="0"/>
          <c:showCatName val="0"/>
          <c:showSerName val="0"/>
          <c:showPercent val="0"/>
          <c:showBubbleSize val="0"/>
        </c:dLbls>
        <c:gapWidth val="182"/>
        <c:axId val="1665759119"/>
        <c:axId val="1665768719"/>
      </c:barChart>
      <c:catAx>
        <c:axId val="1323261263"/>
        <c:scaling>
          <c:orientation val="minMax"/>
        </c:scaling>
        <c:delete val="1"/>
        <c:axPos val="l"/>
        <c:numFmt formatCode="General" sourceLinked="1"/>
        <c:majorTickMark val="in"/>
        <c:minorTickMark val="none"/>
        <c:tickLblPos val="low"/>
        <c:crossAx val="1323234863"/>
        <c:crosses val="autoZero"/>
        <c:auto val="1"/>
        <c:lblAlgn val="ctr"/>
        <c:lblOffset val="100"/>
        <c:noMultiLvlLbl val="0"/>
      </c:catAx>
      <c:valAx>
        <c:axId val="1323234863"/>
        <c:scaling>
          <c:orientation val="minMax"/>
        </c:scaling>
        <c:delete val="1"/>
        <c:axPos val="b"/>
        <c:numFmt formatCode="0%" sourceLinked="0"/>
        <c:majorTickMark val="in"/>
        <c:minorTickMark val="none"/>
        <c:tickLblPos val="nextTo"/>
        <c:crossAx val="1323261263"/>
        <c:crosses val="autoZero"/>
        <c:crossBetween val="between"/>
        <c:majorUnit val="0.2"/>
      </c:valAx>
      <c:valAx>
        <c:axId val="1665768719"/>
        <c:scaling>
          <c:orientation val="minMax"/>
          <c:max val="1"/>
          <c:min val="0"/>
        </c:scaling>
        <c:delete val="1"/>
        <c:axPos val="t"/>
        <c:numFmt formatCode="0%" sourceLinked="0"/>
        <c:majorTickMark val="in"/>
        <c:minorTickMark val="none"/>
        <c:tickLblPos val="nextTo"/>
        <c:crossAx val="1665759119"/>
        <c:crosses val="max"/>
        <c:crossBetween val="between"/>
        <c:majorUnit val="0.2"/>
        <c:minorUnit val="0.04"/>
      </c:valAx>
      <c:catAx>
        <c:axId val="1665759119"/>
        <c:scaling>
          <c:orientation val="minMax"/>
        </c:scaling>
        <c:delete val="1"/>
        <c:axPos val="l"/>
        <c:numFmt formatCode="General" sourceLinked="1"/>
        <c:majorTickMark val="out"/>
        <c:minorTickMark val="none"/>
        <c:tickLblPos val="nextTo"/>
        <c:crossAx val="1665768719"/>
        <c:crosses val="autoZero"/>
        <c:auto val="1"/>
        <c:lblAlgn val="ctr"/>
        <c:lblOffset val="100"/>
        <c:noMultiLvlLbl val="0"/>
      </c:catAx>
      <c:spPr>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384AB-3B85-4ED6-9304-5D6E5C0AC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ACE A4 Report_navy_02.dotm</Template>
  <TotalTime>0</TotalTime>
  <Pages>64</Pages>
  <Words>10649</Words>
  <Characters>63153</Characters>
  <Application>Microsoft Office Word</Application>
  <DocSecurity>0</DocSecurity>
  <Lines>1857</Lines>
  <Paragraphs>1317</Paragraphs>
  <ScaleCrop>false</ScaleCrop>
  <HeadingPairs>
    <vt:vector size="2" baseType="variant">
      <vt:variant>
        <vt:lpstr>Title</vt:lpstr>
      </vt:variant>
      <vt:variant>
        <vt:i4>1</vt:i4>
      </vt:variant>
    </vt:vector>
  </HeadingPairs>
  <TitlesOfParts>
    <vt:vector size="1" baseType="lpstr">
      <vt:lpstr>State of Evaluation in the Australian Government 2025</vt:lpstr>
    </vt:vector>
  </TitlesOfParts>
  <Company/>
  <LinksUpToDate>false</LinksUpToDate>
  <CharactersWithSpaces>72485</CharactersWithSpaces>
  <SharedDoc>false</SharedDoc>
  <HLinks>
    <vt:vector size="234" baseType="variant">
      <vt:variant>
        <vt:i4>131103</vt:i4>
      </vt:variant>
      <vt:variant>
        <vt:i4>215</vt:i4>
      </vt:variant>
      <vt:variant>
        <vt:i4>0</vt:i4>
      </vt:variant>
      <vt:variant>
        <vt:i4>5</vt:i4>
      </vt:variant>
      <vt:variant>
        <vt:lpwstr>https://www.legislation.gov.au/Series/C2013A00123</vt:lpwstr>
      </vt:variant>
      <vt:variant>
        <vt:lpwstr/>
      </vt:variant>
      <vt:variant>
        <vt:i4>3473469</vt:i4>
      </vt:variant>
      <vt:variant>
        <vt:i4>213</vt:i4>
      </vt:variant>
      <vt:variant>
        <vt:i4>0</vt:i4>
      </vt:variant>
      <vt:variant>
        <vt:i4>5</vt:i4>
      </vt:variant>
      <vt:variant>
        <vt:lpwstr>https://www.legislation.gov.au/C2013A00123/latest/versions</vt:lpwstr>
      </vt:variant>
      <vt:variant>
        <vt:lpwstr/>
      </vt:variant>
      <vt:variant>
        <vt:i4>131103</vt:i4>
      </vt:variant>
      <vt:variant>
        <vt:i4>209</vt:i4>
      </vt:variant>
      <vt:variant>
        <vt:i4>0</vt:i4>
      </vt:variant>
      <vt:variant>
        <vt:i4>5</vt:i4>
      </vt:variant>
      <vt:variant>
        <vt:lpwstr>https://www.legislation.gov.au/Series/C2013A00123</vt:lpwstr>
      </vt:variant>
      <vt:variant>
        <vt:lpwstr/>
      </vt:variant>
      <vt:variant>
        <vt:i4>3473469</vt:i4>
      </vt:variant>
      <vt:variant>
        <vt:i4>207</vt:i4>
      </vt:variant>
      <vt:variant>
        <vt:i4>0</vt:i4>
      </vt:variant>
      <vt:variant>
        <vt:i4>5</vt:i4>
      </vt:variant>
      <vt:variant>
        <vt:lpwstr>https://www.legislation.gov.au/C2013A00123/latest/versions</vt:lpwstr>
      </vt:variant>
      <vt:variant>
        <vt:lpwstr/>
      </vt:variant>
      <vt:variant>
        <vt:i4>1245234</vt:i4>
      </vt:variant>
      <vt:variant>
        <vt:i4>200</vt:i4>
      </vt:variant>
      <vt:variant>
        <vt:i4>0</vt:i4>
      </vt:variant>
      <vt:variant>
        <vt:i4>5</vt:i4>
      </vt:variant>
      <vt:variant>
        <vt:lpwstr/>
      </vt:variant>
      <vt:variant>
        <vt:lpwstr>_Toc189820842</vt:lpwstr>
      </vt:variant>
      <vt:variant>
        <vt:i4>1245234</vt:i4>
      </vt:variant>
      <vt:variant>
        <vt:i4>194</vt:i4>
      </vt:variant>
      <vt:variant>
        <vt:i4>0</vt:i4>
      </vt:variant>
      <vt:variant>
        <vt:i4>5</vt:i4>
      </vt:variant>
      <vt:variant>
        <vt:lpwstr/>
      </vt:variant>
      <vt:variant>
        <vt:lpwstr>_Toc189820841</vt:lpwstr>
      </vt:variant>
      <vt:variant>
        <vt:i4>1245234</vt:i4>
      </vt:variant>
      <vt:variant>
        <vt:i4>188</vt:i4>
      </vt:variant>
      <vt:variant>
        <vt:i4>0</vt:i4>
      </vt:variant>
      <vt:variant>
        <vt:i4>5</vt:i4>
      </vt:variant>
      <vt:variant>
        <vt:lpwstr/>
      </vt:variant>
      <vt:variant>
        <vt:lpwstr>_Toc189820840</vt:lpwstr>
      </vt:variant>
      <vt:variant>
        <vt:i4>1310770</vt:i4>
      </vt:variant>
      <vt:variant>
        <vt:i4>182</vt:i4>
      </vt:variant>
      <vt:variant>
        <vt:i4>0</vt:i4>
      </vt:variant>
      <vt:variant>
        <vt:i4>5</vt:i4>
      </vt:variant>
      <vt:variant>
        <vt:lpwstr/>
      </vt:variant>
      <vt:variant>
        <vt:lpwstr>_Toc189820839</vt:lpwstr>
      </vt:variant>
      <vt:variant>
        <vt:i4>1310770</vt:i4>
      </vt:variant>
      <vt:variant>
        <vt:i4>176</vt:i4>
      </vt:variant>
      <vt:variant>
        <vt:i4>0</vt:i4>
      </vt:variant>
      <vt:variant>
        <vt:i4>5</vt:i4>
      </vt:variant>
      <vt:variant>
        <vt:lpwstr/>
      </vt:variant>
      <vt:variant>
        <vt:lpwstr>_Toc189820838</vt:lpwstr>
      </vt:variant>
      <vt:variant>
        <vt:i4>1310770</vt:i4>
      </vt:variant>
      <vt:variant>
        <vt:i4>170</vt:i4>
      </vt:variant>
      <vt:variant>
        <vt:i4>0</vt:i4>
      </vt:variant>
      <vt:variant>
        <vt:i4>5</vt:i4>
      </vt:variant>
      <vt:variant>
        <vt:lpwstr/>
      </vt:variant>
      <vt:variant>
        <vt:lpwstr>_Toc189820837</vt:lpwstr>
      </vt:variant>
      <vt:variant>
        <vt:i4>1310770</vt:i4>
      </vt:variant>
      <vt:variant>
        <vt:i4>164</vt:i4>
      </vt:variant>
      <vt:variant>
        <vt:i4>0</vt:i4>
      </vt:variant>
      <vt:variant>
        <vt:i4>5</vt:i4>
      </vt:variant>
      <vt:variant>
        <vt:lpwstr/>
      </vt:variant>
      <vt:variant>
        <vt:lpwstr>_Toc189820836</vt:lpwstr>
      </vt:variant>
      <vt:variant>
        <vt:i4>1310770</vt:i4>
      </vt:variant>
      <vt:variant>
        <vt:i4>158</vt:i4>
      </vt:variant>
      <vt:variant>
        <vt:i4>0</vt:i4>
      </vt:variant>
      <vt:variant>
        <vt:i4>5</vt:i4>
      </vt:variant>
      <vt:variant>
        <vt:lpwstr/>
      </vt:variant>
      <vt:variant>
        <vt:lpwstr>_Toc189820835</vt:lpwstr>
      </vt:variant>
      <vt:variant>
        <vt:i4>1310770</vt:i4>
      </vt:variant>
      <vt:variant>
        <vt:i4>152</vt:i4>
      </vt:variant>
      <vt:variant>
        <vt:i4>0</vt:i4>
      </vt:variant>
      <vt:variant>
        <vt:i4>5</vt:i4>
      </vt:variant>
      <vt:variant>
        <vt:lpwstr/>
      </vt:variant>
      <vt:variant>
        <vt:lpwstr>_Toc189820834</vt:lpwstr>
      </vt:variant>
      <vt:variant>
        <vt:i4>1310770</vt:i4>
      </vt:variant>
      <vt:variant>
        <vt:i4>146</vt:i4>
      </vt:variant>
      <vt:variant>
        <vt:i4>0</vt:i4>
      </vt:variant>
      <vt:variant>
        <vt:i4>5</vt:i4>
      </vt:variant>
      <vt:variant>
        <vt:lpwstr/>
      </vt:variant>
      <vt:variant>
        <vt:lpwstr>_Toc189820833</vt:lpwstr>
      </vt:variant>
      <vt:variant>
        <vt:i4>1310770</vt:i4>
      </vt:variant>
      <vt:variant>
        <vt:i4>140</vt:i4>
      </vt:variant>
      <vt:variant>
        <vt:i4>0</vt:i4>
      </vt:variant>
      <vt:variant>
        <vt:i4>5</vt:i4>
      </vt:variant>
      <vt:variant>
        <vt:lpwstr/>
      </vt:variant>
      <vt:variant>
        <vt:lpwstr>_Toc189820832</vt:lpwstr>
      </vt:variant>
      <vt:variant>
        <vt:i4>1310770</vt:i4>
      </vt:variant>
      <vt:variant>
        <vt:i4>134</vt:i4>
      </vt:variant>
      <vt:variant>
        <vt:i4>0</vt:i4>
      </vt:variant>
      <vt:variant>
        <vt:i4>5</vt:i4>
      </vt:variant>
      <vt:variant>
        <vt:lpwstr/>
      </vt:variant>
      <vt:variant>
        <vt:lpwstr>_Toc189820831</vt:lpwstr>
      </vt:variant>
      <vt:variant>
        <vt:i4>1310770</vt:i4>
      </vt:variant>
      <vt:variant>
        <vt:i4>128</vt:i4>
      </vt:variant>
      <vt:variant>
        <vt:i4>0</vt:i4>
      </vt:variant>
      <vt:variant>
        <vt:i4>5</vt:i4>
      </vt:variant>
      <vt:variant>
        <vt:lpwstr/>
      </vt:variant>
      <vt:variant>
        <vt:lpwstr>_Toc189820830</vt:lpwstr>
      </vt:variant>
      <vt:variant>
        <vt:i4>1376306</vt:i4>
      </vt:variant>
      <vt:variant>
        <vt:i4>122</vt:i4>
      </vt:variant>
      <vt:variant>
        <vt:i4>0</vt:i4>
      </vt:variant>
      <vt:variant>
        <vt:i4>5</vt:i4>
      </vt:variant>
      <vt:variant>
        <vt:lpwstr/>
      </vt:variant>
      <vt:variant>
        <vt:lpwstr>_Toc189820829</vt:lpwstr>
      </vt:variant>
      <vt:variant>
        <vt:i4>1376306</vt:i4>
      </vt:variant>
      <vt:variant>
        <vt:i4>116</vt:i4>
      </vt:variant>
      <vt:variant>
        <vt:i4>0</vt:i4>
      </vt:variant>
      <vt:variant>
        <vt:i4>5</vt:i4>
      </vt:variant>
      <vt:variant>
        <vt:lpwstr/>
      </vt:variant>
      <vt:variant>
        <vt:lpwstr>_Toc189820828</vt:lpwstr>
      </vt:variant>
      <vt:variant>
        <vt:i4>1376306</vt:i4>
      </vt:variant>
      <vt:variant>
        <vt:i4>110</vt:i4>
      </vt:variant>
      <vt:variant>
        <vt:i4>0</vt:i4>
      </vt:variant>
      <vt:variant>
        <vt:i4>5</vt:i4>
      </vt:variant>
      <vt:variant>
        <vt:lpwstr/>
      </vt:variant>
      <vt:variant>
        <vt:lpwstr>_Toc189820827</vt:lpwstr>
      </vt:variant>
      <vt:variant>
        <vt:i4>1376306</vt:i4>
      </vt:variant>
      <vt:variant>
        <vt:i4>104</vt:i4>
      </vt:variant>
      <vt:variant>
        <vt:i4>0</vt:i4>
      </vt:variant>
      <vt:variant>
        <vt:i4>5</vt:i4>
      </vt:variant>
      <vt:variant>
        <vt:lpwstr/>
      </vt:variant>
      <vt:variant>
        <vt:lpwstr>_Toc189820826</vt:lpwstr>
      </vt:variant>
      <vt:variant>
        <vt:i4>1376306</vt:i4>
      </vt:variant>
      <vt:variant>
        <vt:i4>98</vt:i4>
      </vt:variant>
      <vt:variant>
        <vt:i4>0</vt:i4>
      </vt:variant>
      <vt:variant>
        <vt:i4>5</vt:i4>
      </vt:variant>
      <vt:variant>
        <vt:lpwstr/>
      </vt:variant>
      <vt:variant>
        <vt:lpwstr>_Toc189820825</vt:lpwstr>
      </vt:variant>
      <vt:variant>
        <vt:i4>1376306</vt:i4>
      </vt:variant>
      <vt:variant>
        <vt:i4>92</vt:i4>
      </vt:variant>
      <vt:variant>
        <vt:i4>0</vt:i4>
      </vt:variant>
      <vt:variant>
        <vt:i4>5</vt:i4>
      </vt:variant>
      <vt:variant>
        <vt:lpwstr/>
      </vt:variant>
      <vt:variant>
        <vt:lpwstr>_Toc189820824</vt:lpwstr>
      </vt:variant>
      <vt:variant>
        <vt:i4>1376306</vt:i4>
      </vt:variant>
      <vt:variant>
        <vt:i4>86</vt:i4>
      </vt:variant>
      <vt:variant>
        <vt:i4>0</vt:i4>
      </vt:variant>
      <vt:variant>
        <vt:i4>5</vt:i4>
      </vt:variant>
      <vt:variant>
        <vt:lpwstr/>
      </vt:variant>
      <vt:variant>
        <vt:lpwstr>_Toc189820823</vt:lpwstr>
      </vt:variant>
      <vt:variant>
        <vt:i4>1376306</vt:i4>
      </vt:variant>
      <vt:variant>
        <vt:i4>80</vt:i4>
      </vt:variant>
      <vt:variant>
        <vt:i4>0</vt:i4>
      </vt:variant>
      <vt:variant>
        <vt:i4>5</vt:i4>
      </vt:variant>
      <vt:variant>
        <vt:lpwstr/>
      </vt:variant>
      <vt:variant>
        <vt:lpwstr>_Toc189820822</vt:lpwstr>
      </vt:variant>
      <vt:variant>
        <vt:i4>1376306</vt:i4>
      </vt:variant>
      <vt:variant>
        <vt:i4>74</vt:i4>
      </vt:variant>
      <vt:variant>
        <vt:i4>0</vt:i4>
      </vt:variant>
      <vt:variant>
        <vt:i4>5</vt:i4>
      </vt:variant>
      <vt:variant>
        <vt:lpwstr/>
      </vt:variant>
      <vt:variant>
        <vt:lpwstr>_Toc189820821</vt:lpwstr>
      </vt:variant>
      <vt:variant>
        <vt:i4>1376306</vt:i4>
      </vt:variant>
      <vt:variant>
        <vt:i4>68</vt:i4>
      </vt:variant>
      <vt:variant>
        <vt:i4>0</vt:i4>
      </vt:variant>
      <vt:variant>
        <vt:i4>5</vt:i4>
      </vt:variant>
      <vt:variant>
        <vt:lpwstr/>
      </vt:variant>
      <vt:variant>
        <vt:lpwstr>_Toc189820820</vt:lpwstr>
      </vt:variant>
      <vt:variant>
        <vt:i4>1441842</vt:i4>
      </vt:variant>
      <vt:variant>
        <vt:i4>62</vt:i4>
      </vt:variant>
      <vt:variant>
        <vt:i4>0</vt:i4>
      </vt:variant>
      <vt:variant>
        <vt:i4>5</vt:i4>
      </vt:variant>
      <vt:variant>
        <vt:lpwstr/>
      </vt:variant>
      <vt:variant>
        <vt:lpwstr>_Toc189820819</vt:lpwstr>
      </vt:variant>
      <vt:variant>
        <vt:i4>1441842</vt:i4>
      </vt:variant>
      <vt:variant>
        <vt:i4>56</vt:i4>
      </vt:variant>
      <vt:variant>
        <vt:i4>0</vt:i4>
      </vt:variant>
      <vt:variant>
        <vt:i4>5</vt:i4>
      </vt:variant>
      <vt:variant>
        <vt:lpwstr/>
      </vt:variant>
      <vt:variant>
        <vt:lpwstr>_Toc189820818</vt:lpwstr>
      </vt:variant>
      <vt:variant>
        <vt:i4>1441842</vt:i4>
      </vt:variant>
      <vt:variant>
        <vt:i4>50</vt:i4>
      </vt:variant>
      <vt:variant>
        <vt:i4>0</vt:i4>
      </vt:variant>
      <vt:variant>
        <vt:i4>5</vt:i4>
      </vt:variant>
      <vt:variant>
        <vt:lpwstr/>
      </vt:variant>
      <vt:variant>
        <vt:lpwstr>_Toc189820817</vt:lpwstr>
      </vt:variant>
      <vt:variant>
        <vt:i4>1441842</vt:i4>
      </vt:variant>
      <vt:variant>
        <vt:i4>44</vt:i4>
      </vt:variant>
      <vt:variant>
        <vt:i4>0</vt:i4>
      </vt:variant>
      <vt:variant>
        <vt:i4>5</vt:i4>
      </vt:variant>
      <vt:variant>
        <vt:lpwstr/>
      </vt:variant>
      <vt:variant>
        <vt:lpwstr>_Toc189820816</vt:lpwstr>
      </vt:variant>
      <vt:variant>
        <vt:i4>1441842</vt:i4>
      </vt:variant>
      <vt:variant>
        <vt:i4>38</vt:i4>
      </vt:variant>
      <vt:variant>
        <vt:i4>0</vt:i4>
      </vt:variant>
      <vt:variant>
        <vt:i4>5</vt:i4>
      </vt:variant>
      <vt:variant>
        <vt:lpwstr/>
      </vt:variant>
      <vt:variant>
        <vt:lpwstr>_Toc189820815</vt:lpwstr>
      </vt:variant>
      <vt:variant>
        <vt:i4>1441842</vt:i4>
      </vt:variant>
      <vt:variant>
        <vt:i4>32</vt:i4>
      </vt:variant>
      <vt:variant>
        <vt:i4>0</vt:i4>
      </vt:variant>
      <vt:variant>
        <vt:i4>5</vt:i4>
      </vt:variant>
      <vt:variant>
        <vt:lpwstr/>
      </vt:variant>
      <vt:variant>
        <vt:lpwstr>_Toc189820814</vt:lpwstr>
      </vt:variant>
      <vt:variant>
        <vt:i4>1441842</vt:i4>
      </vt:variant>
      <vt:variant>
        <vt:i4>26</vt:i4>
      </vt:variant>
      <vt:variant>
        <vt:i4>0</vt:i4>
      </vt:variant>
      <vt:variant>
        <vt:i4>5</vt:i4>
      </vt:variant>
      <vt:variant>
        <vt:lpwstr/>
      </vt:variant>
      <vt:variant>
        <vt:lpwstr>_Toc189820813</vt:lpwstr>
      </vt:variant>
      <vt:variant>
        <vt:i4>1441842</vt:i4>
      </vt:variant>
      <vt:variant>
        <vt:i4>20</vt:i4>
      </vt:variant>
      <vt:variant>
        <vt:i4>0</vt:i4>
      </vt:variant>
      <vt:variant>
        <vt:i4>5</vt:i4>
      </vt:variant>
      <vt:variant>
        <vt:lpwstr/>
      </vt:variant>
      <vt:variant>
        <vt:lpwstr>_Toc189820812</vt:lpwstr>
      </vt:variant>
      <vt:variant>
        <vt:i4>1441842</vt:i4>
      </vt:variant>
      <vt:variant>
        <vt:i4>14</vt:i4>
      </vt:variant>
      <vt:variant>
        <vt:i4>0</vt:i4>
      </vt:variant>
      <vt:variant>
        <vt:i4>5</vt:i4>
      </vt:variant>
      <vt:variant>
        <vt:lpwstr/>
      </vt:variant>
      <vt:variant>
        <vt:lpwstr>_Toc189820811</vt:lpwstr>
      </vt:variant>
      <vt:variant>
        <vt:i4>1441842</vt:i4>
      </vt:variant>
      <vt:variant>
        <vt:i4>8</vt:i4>
      </vt:variant>
      <vt:variant>
        <vt:i4>0</vt:i4>
      </vt:variant>
      <vt:variant>
        <vt:i4>5</vt:i4>
      </vt:variant>
      <vt:variant>
        <vt:lpwstr/>
      </vt:variant>
      <vt:variant>
        <vt:lpwstr>_Toc189820810</vt:lpwstr>
      </vt:variant>
      <vt:variant>
        <vt:i4>1507378</vt:i4>
      </vt:variant>
      <vt:variant>
        <vt:i4>2</vt:i4>
      </vt:variant>
      <vt:variant>
        <vt:i4>0</vt:i4>
      </vt:variant>
      <vt:variant>
        <vt:i4>5</vt:i4>
      </vt:variant>
      <vt:variant>
        <vt:lpwstr/>
      </vt:variant>
      <vt:variant>
        <vt:lpwstr>_Toc189820809</vt:lpwstr>
      </vt:variant>
      <vt:variant>
        <vt:i4>7077939</vt:i4>
      </vt:variant>
      <vt:variant>
        <vt:i4>0</vt:i4>
      </vt:variant>
      <vt:variant>
        <vt:i4>0</vt:i4>
      </vt:variant>
      <vt:variant>
        <vt:i4>5</vt:i4>
      </vt:variant>
      <vt:variant>
        <vt:lpwstr>https://www.apsc.gov.au/working-aps/information-aps-employment/aps-values/stewardship-guidance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Evaluation in the Australian Government 2025</dc:title>
  <dc:subject/>
  <dc:creator>Treasury</dc:creator>
  <cp:keywords/>
  <cp:lastModifiedBy/>
  <cp:revision>1</cp:revision>
  <dcterms:created xsi:type="dcterms:W3CDTF">2025-02-26T03:23:00Z</dcterms:created>
  <dcterms:modified xsi:type="dcterms:W3CDTF">2025-02-26T03:35:00Z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2025-02-26T03:25:31Z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29f631f5-331d-46f2-844f-2d87cb6e27e1</vt:lpwstr>
  </property>
  <property fmtid="{D5CDD505-2E9C-101B-9397-08002B2CF9AE}" pid="8" name="MSIP_Label_4f932d64-9ab1-4d9b-81d2-a3a8b82dd47d_ContentBits">
    <vt:lpwstr>0</vt:lpwstr>
  </property>
</Properties>
</file>