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9CACC4" w:themeColor="accent1" w:themeTint="66"/>
          <w:sz w:val="32"/>
          <w:szCs w:val="32"/>
        </w:rPr>
        <w:id w:val="-1442289537"/>
        <w:docPartObj>
          <w:docPartGallery w:val="Cover Pages"/>
          <w:docPartUnique/>
        </w:docPartObj>
      </w:sdtPr>
      <w:sdtEndPr/>
      <w:sdtContent>
        <w:p w14:paraId="32331036" w14:textId="48D957A9" w:rsidR="00A97160" w:rsidRPr="006D0240" w:rsidRDefault="00A97160" w:rsidP="006469CC">
          <w:pPr>
            <w:pStyle w:val="ListParagraph"/>
          </w:pPr>
          <w:r>
            <w:rPr>
              <w:noProof/>
            </w:rPr>
            <w:drawing>
              <wp:anchor distT="0" distB="0" distL="114300" distR="114300" simplePos="0" relativeHeight="251658240" behindDoc="1" locked="0" layoutInCell="1" allowOverlap="1" wp14:anchorId="6C37A3B5" wp14:editId="557F0198">
                <wp:simplePos x="0" y="0"/>
                <wp:positionH relativeFrom="margin">
                  <wp:posOffset>-900430</wp:posOffset>
                </wp:positionH>
                <wp:positionV relativeFrom="page">
                  <wp:posOffset>-17585</wp:posOffset>
                </wp:positionV>
                <wp:extent cx="7570799" cy="1070901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799" cy="107090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01AECC" w14:textId="77777777" w:rsidR="00A97160" w:rsidRPr="006D0240" w:rsidRDefault="00A97160" w:rsidP="006D41CA">
          <w:pPr>
            <w:pStyle w:val="Header"/>
            <w:spacing w:after="2160"/>
          </w:pPr>
        </w:p>
        <w:p w14:paraId="179BC505" w14:textId="1EB349E8" w:rsidR="00A97160" w:rsidRPr="006923DF" w:rsidRDefault="00AC325C" w:rsidP="002A7A31">
          <w:pPr>
            <w:pStyle w:val="Title"/>
            <w:tabs>
              <w:tab w:val="left" w:pos="6379"/>
            </w:tabs>
            <w:spacing w:after="120" w:line="720" w:lineRule="exact"/>
            <w:ind w:right="1982"/>
          </w:pPr>
          <w:r>
            <w:t xml:space="preserve">Australian Centre for Evaluation </w:t>
          </w:r>
          <w:r w:rsidR="00CD3684">
            <w:t>S</w:t>
          </w:r>
          <w:r>
            <w:t>trategy</w:t>
          </w:r>
        </w:p>
        <w:p w14:paraId="4DE1FC80" w14:textId="6BBE2C7F" w:rsidR="00A97160" w:rsidRPr="006923DF" w:rsidRDefault="00FA51F3" w:rsidP="00F86BDE">
          <w:pPr>
            <w:pStyle w:val="Subtitle"/>
            <w:spacing w:after="240"/>
          </w:pPr>
          <w:r>
            <w:t>Embedding a culture of evaluation</w:t>
          </w:r>
          <w:r w:rsidR="00DA76D9">
            <w:t xml:space="preserve"> across the Australian Government</w:t>
          </w:r>
        </w:p>
        <w:p w14:paraId="0197B976" w14:textId="21CB52C1" w:rsidR="00A97160" w:rsidRDefault="00DA76D9" w:rsidP="005338D2">
          <w:pPr>
            <w:pStyle w:val="ReportDate"/>
          </w:pPr>
          <w:r>
            <w:rPr>
              <w:rStyle w:val="ReportDateChar"/>
            </w:rPr>
            <w:t xml:space="preserve">August </w:t>
          </w:r>
          <w:r w:rsidR="00FA51F3">
            <w:rPr>
              <w:rStyle w:val="ReportDateChar"/>
            </w:rPr>
            <w:t>2024</w:t>
          </w:r>
          <w:r w:rsidR="00A97160">
            <w:br w:type="page"/>
          </w:r>
        </w:p>
      </w:sdtContent>
    </w:sdt>
    <w:p w14:paraId="0306AC25" w14:textId="29CD7E28" w:rsidR="006469CC" w:rsidRDefault="000E0B74" w:rsidP="005877AC">
      <w:pPr>
        <w:spacing w:before="0" w:after="160" w:line="259" w:lineRule="auto"/>
      </w:pPr>
      <w:r w:rsidRPr="00661BF0">
        <w:lastRenderedPageBreak/>
        <w:t xml:space="preserve">© Commonwealth of </w:t>
      </w:r>
      <w:r w:rsidRPr="009A3AD3">
        <w:t xml:space="preserve">Australia </w:t>
      </w:r>
      <w:r w:rsidRPr="00F0784B">
        <w:t>20</w:t>
      </w:r>
      <w:r w:rsidR="00D64CEC" w:rsidRPr="00F0784B">
        <w:t>2</w:t>
      </w:r>
      <w:r w:rsidR="00830BD9" w:rsidRPr="00F0784B">
        <w:t>4</w:t>
      </w:r>
    </w:p>
    <w:p w14:paraId="767904F0" w14:textId="314DCA2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F0784B">
        <w:t xml:space="preserve">. </w:t>
      </w:r>
      <w:r w:rsidRPr="002F1BC2">
        <w:t>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1BBF7116" w14:textId="77777777" w:rsidR="000E0B74" w:rsidRDefault="000E0B74" w:rsidP="000E0B74">
      <w:pPr>
        <w:pStyle w:val="ChartGraphic"/>
        <w:jc w:val="left"/>
      </w:pPr>
      <w:r w:rsidRPr="00E56DFB">
        <w:rPr>
          <w:noProof/>
        </w:rPr>
        <w:drawing>
          <wp:inline distT="0" distB="0" distL="0" distR="0" wp14:anchorId="61B4ECB0" wp14:editId="74E8FE9D">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A622340" w14:textId="762FDF5C"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41EF01F3" w14:textId="2598C5BC" w:rsidR="000E0B74" w:rsidRPr="006469CC" w:rsidRDefault="000E0B74" w:rsidP="006469CC">
      <w:pPr>
        <w:spacing w:before="240"/>
        <w:rPr>
          <w:b/>
        </w:rPr>
      </w:pPr>
      <w:r w:rsidRPr="006469CC">
        <w:rPr>
          <w:b/>
        </w:rPr>
        <w:t>Treasury material used ‘as supplied’</w:t>
      </w:r>
    </w:p>
    <w:p w14:paraId="092AADDC"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55C7796" w14:textId="6E76F100"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076484D8"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64913A8"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C83EEEC" w14:textId="4541D536" w:rsidR="000E0B74" w:rsidRPr="006627B4" w:rsidRDefault="000E0B74" w:rsidP="000E0B74">
      <w:pPr>
        <w:ind w:firstLine="720"/>
      </w:pPr>
      <w:r w:rsidRPr="002F1BC2">
        <w:rPr>
          <w:i/>
        </w:rPr>
        <w:t>Based on The Australian Government the Treasury data</w:t>
      </w:r>
      <w:r w:rsidRPr="006627B4">
        <w:t xml:space="preserve"> </w:t>
      </w:r>
    </w:p>
    <w:p w14:paraId="5C7193DF" w14:textId="77777777" w:rsidR="000E0B74" w:rsidRPr="006627B4" w:rsidRDefault="000E0B74" w:rsidP="000E0B74">
      <w:pPr>
        <w:spacing w:before="240"/>
        <w:rPr>
          <w:b/>
        </w:rPr>
      </w:pPr>
      <w:r w:rsidRPr="006627B4">
        <w:rPr>
          <w:b/>
        </w:rPr>
        <w:t>Use of the Coat of Arms</w:t>
      </w:r>
    </w:p>
    <w:p w14:paraId="0C42BE70" w14:textId="2DF80B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3" w:history="1">
        <w:r w:rsidR="00D64CEC">
          <w:rPr>
            <w:rStyle w:val="Hyperlink"/>
          </w:rPr>
          <w:t>https://www.pmc.gov.au/honours-and-symbols/commonwealth-coat-arms</w:t>
        </w:r>
      </w:hyperlink>
      <w:r w:rsidRPr="005C503A">
        <w:t>).</w:t>
      </w:r>
    </w:p>
    <w:p w14:paraId="77907BCB" w14:textId="77777777" w:rsidR="000E0B74" w:rsidRPr="006627B4" w:rsidRDefault="000E0B74" w:rsidP="000E0B74">
      <w:pPr>
        <w:spacing w:before="240"/>
        <w:rPr>
          <w:b/>
        </w:rPr>
      </w:pPr>
      <w:r>
        <w:rPr>
          <w:b/>
        </w:rPr>
        <w:t>Other u</w:t>
      </w:r>
      <w:r w:rsidRPr="006627B4">
        <w:rPr>
          <w:b/>
        </w:rPr>
        <w:t>ses</w:t>
      </w:r>
    </w:p>
    <w:p w14:paraId="7CEA01EB" w14:textId="77777777" w:rsidR="000E0B74" w:rsidRPr="006627B4" w:rsidRDefault="000E0B74" w:rsidP="000E0B74">
      <w:r>
        <w:t>E</w:t>
      </w:r>
      <w:r w:rsidRPr="006627B4">
        <w:t>nquiries regarding this licence and any other use of this document are welcome at:</w:t>
      </w:r>
    </w:p>
    <w:p w14:paraId="38589938" w14:textId="4CB4E230"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r w:rsidR="00867DB0" w:rsidRPr="006627B4">
        <w:t xml:space="preserve">Parkes </w:t>
      </w:r>
      <w:r w:rsidR="00867DB0">
        <w:t>ACT</w:t>
      </w:r>
      <w:r w:rsidRPr="006627B4">
        <w:t xml:space="preserve"> </w:t>
      </w:r>
      <w:r>
        <w:t xml:space="preserve"> </w:t>
      </w:r>
      <w:r w:rsidRPr="006627B4">
        <w:t>2600</w:t>
      </w:r>
      <w:r>
        <w:br/>
      </w:r>
      <w:r w:rsidRPr="006627B4">
        <w:t xml:space="preserve">Email: </w:t>
      </w:r>
      <w:hyperlink r:id="rId14" w:history="1">
        <w:r w:rsidR="00386297">
          <w:rPr>
            <w:rStyle w:val="Hyperlink"/>
          </w:rPr>
          <w:t>media@treasury.gov.au</w:t>
        </w:r>
      </w:hyperlink>
    </w:p>
    <w:p w14:paraId="39FAD522" w14:textId="77777777" w:rsidR="00F836F9" w:rsidRDefault="00F836F9" w:rsidP="000E0B74">
      <w:pPr>
        <w:pStyle w:val="Heading1"/>
        <w:sectPr w:rsidR="00F836F9" w:rsidSect="00A97160">
          <w:pgSz w:w="11906" w:h="16838" w:code="9"/>
          <w:pgMar w:top="1843" w:right="1418" w:bottom="1418" w:left="1418" w:header="709" w:footer="709" w:gutter="0"/>
          <w:pgNumType w:fmt="lowerRoman" w:start="0"/>
          <w:cols w:space="708"/>
          <w:titlePg/>
          <w:docGrid w:linePitch="360"/>
        </w:sectPr>
      </w:pPr>
    </w:p>
    <w:p w14:paraId="1D5733B1" w14:textId="071F9ED5" w:rsidR="00D46833" w:rsidRDefault="000E0B74">
      <w:pPr>
        <w:pStyle w:val="TOC1"/>
        <w:rPr>
          <w:rFonts w:asciiTheme="minorHAnsi" w:eastAsiaTheme="minorEastAsia" w:hAnsiTheme="minorHAnsi" w:cstheme="minorBidi"/>
          <w:b w:val="0"/>
          <w:color w:val="auto"/>
          <w:kern w:val="2"/>
          <w14:ligatures w14:val="standardContextual"/>
        </w:rPr>
      </w:pPr>
      <w:r>
        <w:rPr>
          <w:rFonts w:ascii="Calibri" w:hAnsi="Calibri" w:cs="Arial"/>
          <w:color w:val="004A7F"/>
          <w:kern w:val="32"/>
          <w:sz w:val="44"/>
        </w:rPr>
        <w:lastRenderedPageBreak/>
        <w:fldChar w:fldCharType="begin"/>
      </w:r>
      <w:r w:rsidRPr="0025652F">
        <w:instrText xml:space="preserve"> TOC \o "1-3" \h \z \u </w:instrText>
      </w:r>
      <w:r>
        <w:rPr>
          <w:rFonts w:ascii="Calibri" w:hAnsi="Calibri" w:cs="Arial"/>
          <w:color w:val="004A7F"/>
          <w:kern w:val="32"/>
          <w:sz w:val="44"/>
        </w:rPr>
        <w:fldChar w:fldCharType="separate"/>
      </w:r>
      <w:hyperlink w:anchor="_Toc175056181" w:history="1">
        <w:r w:rsidR="00D46833" w:rsidRPr="00785D35">
          <w:rPr>
            <w:rStyle w:val="Hyperlink"/>
          </w:rPr>
          <w:t>Foreword</w:t>
        </w:r>
        <w:r w:rsidR="00D46833">
          <w:rPr>
            <w:webHidden/>
          </w:rPr>
          <w:tab/>
        </w:r>
        <w:r w:rsidR="00D46833">
          <w:rPr>
            <w:webHidden/>
          </w:rPr>
          <w:fldChar w:fldCharType="begin"/>
        </w:r>
        <w:r w:rsidR="00D46833">
          <w:rPr>
            <w:webHidden/>
          </w:rPr>
          <w:instrText xml:space="preserve"> PAGEREF _Toc175056181 \h </w:instrText>
        </w:r>
        <w:r w:rsidR="00D46833">
          <w:rPr>
            <w:webHidden/>
          </w:rPr>
        </w:r>
        <w:r w:rsidR="00D46833">
          <w:rPr>
            <w:webHidden/>
          </w:rPr>
          <w:fldChar w:fldCharType="separate"/>
        </w:r>
        <w:r w:rsidR="00D46833">
          <w:rPr>
            <w:webHidden/>
          </w:rPr>
          <w:t>4</w:t>
        </w:r>
        <w:r w:rsidR="00D46833">
          <w:rPr>
            <w:webHidden/>
          </w:rPr>
          <w:fldChar w:fldCharType="end"/>
        </w:r>
      </w:hyperlink>
    </w:p>
    <w:p w14:paraId="3566D648" w14:textId="3BAA9AF6" w:rsidR="00D46833" w:rsidRDefault="002F40A1">
      <w:pPr>
        <w:pStyle w:val="TOC1"/>
        <w:rPr>
          <w:rFonts w:asciiTheme="minorHAnsi" w:eastAsiaTheme="minorEastAsia" w:hAnsiTheme="minorHAnsi" w:cstheme="minorBidi"/>
          <w:b w:val="0"/>
          <w:color w:val="auto"/>
          <w:kern w:val="2"/>
          <w14:ligatures w14:val="standardContextual"/>
        </w:rPr>
      </w:pPr>
      <w:hyperlink w:anchor="_Toc175056182" w:history="1">
        <w:r w:rsidR="00D46833" w:rsidRPr="00785D35">
          <w:rPr>
            <w:rStyle w:val="Hyperlink"/>
          </w:rPr>
          <w:t>Introduction</w:t>
        </w:r>
        <w:r w:rsidR="00D46833">
          <w:rPr>
            <w:webHidden/>
          </w:rPr>
          <w:tab/>
        </w:r>
        <w:r w:rsidR="00D46833">
          <w:rPr>
            <w:webHidden/>
          </w:rPr>
          <w:fldChar w:fldCharType="begin"/>
        </w:r>
        <w:r w:rsidR="00D46833">
          <w:rPr>
            <w:webHidden/>
          </w:rPr>
          <w:instrText xml:space="preserve"> PAGEREF _Toc175056182 \h </w:instrText>
        </w:r>
        <w:r w:rsidR="00D46833">
          <w:rPr>
            <w:webHidden/>
          </w:rPr>
        </w:r>
        <w:r w:rsidR="00D46833">
          <w:rPr>
            <w:webHidden/>
          </w:rPr>
          <w:fldChar w:fldCharType="separate"/>
        </w:r>
        <w:r w:rsidR="00D46833">
          <w:rPr>
            <w:webHidden/>
          </w:rPr>
          <w:t>5</w:t>
        </w:r>
        <w:r w:rsidR="00D46833">
          <w:rPr>
            <w:webHidden/>
          </w:rPr>
          <w:fldChar w:fldCharType="end"/>
        </w:r>
      </w:hyperlink>
    </w:p>
    <w:p w14:paraId="45375ED9" w14:textId="686AD2ED"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183" w:history="1">
        <w:r w:rsidR="00D46833" w:rsidRPr="00785D35">
          <w:rPr>
            <w:rStyle w:val="Hyperlink"/>
          </w:rPr>
          <w:t>About this strategy</w:t>
        </w:r>
        <w:r w:rsidR="00D46833">
          <w:rPr>
            <w:webHidden/>
          </w:rPr>
          <w:tab/>
        </w:r>
        <w:r w:rsidR="00D46833">
          <w:rPr>
            <w:webHidden/>
          </w:rPr>
          <w:fldChar w:fldCharType="begin"/>
        </w:r>
        <w:r w:rsidR="00D46833">
          <w:rPr>
            <w:webHidden/>
          </w:rPr>
          <w:instrText xml:space="preserve"> PAGEREF _Toc175056183 \h </w:instrText>
        </w:r>
        <w:r w:rsidR="00D46833">
          <w:rPr>
            <w:webHidden/>
          </w:rPr>
        </w:r>
        <w:r w:rsidR="00D46833">
          <w:rPr>
            <w:webHidden/>
          </w:rPr>
          <w:fldChar w:fldCharType="separate"/>
        </w:r>
        <w:r w:rsidR="00D46833">
          <w:rPr>
            <w:webHidden/>
          </w:rPr>
          <w:t>5</w:t>
        </w:r>
        <w:r w:rsidR="00D46833">
          <w:rPr>
            <w:webHidden/>
          </w:rPr>
          <w:fldChar w:fldCharType="end"/>
        </w:r>
      </w:hyperlink>
    </w:p>
    <w:p w14:paraId="783E8ABD" w14:textId="0C44EF79"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184" w:history="1">
        <w:r w:rsidR="00D46833" w:rsidRPr="00785D35">
          <w:rPr>
            <w:rStyle w:val="Hyperlink"/>
          </w:rPr>
          <w:t>Where we are today</w:t>
        </w:r>
        <w:r w:rsidR="00D46833">
          <w:rPr>
            <w:webHidden/>
          </w:rPr>
          <w:tab/>
        </w:r>
        <w:r w:rsidR="00D46833">
          <w:rPr>
            <w:webHidden/>
          </w:rPr>
          <w:fldChar w:fldCharType="begin"/>
        </w:r>
        <w:r w:rsidR="00D46833">
          <w:rPr>
            <w:webHidden/>
          </w:rPr>
          <w:instrText xml:space="preserve"> PAGEREF _Toc175056184 \h </w:instrText>
        </w:r>
        <w:r w:rsidR="00D46833">
          <w:rPr>
            <w:webHidden/>
          </w:rPr>
        </w:r>
        <w:r w:rsidR="00D46833">
          <w:rPr>
            <w:webHidden/>
          </w:rPr>
          <w:fldChar w:fldCharType="separate"/>
        </w:r>
        <w:r w:rsidR="00D46833">
          <w:rPr>
            <w:webHidden/>
          </w:rPr>
          <w:t>6</w:t>
        </w:r>
        <w:r w:rsidR="00D46833">
          <w:rPr>
            <w:webHidden/>
          </w:rPr>
          <w:fldChar w:fldCharType="end"/>
        </w:r>
      </w:hyperlink>
    </w:p>
    <w:p w14:paraId="125D61AF" w14:textId="700D35AF" w:rsidR="00D46833" w:rsidRDefault="002F40A1">
      <w:pPr>
        <w:pStyle w:val="TOC3"/>
        <w:rPr>
          <w:rFonts w:asciiTheme="minorHAnsi" w:eastAsiaTheme="minorEastAsia" w:hAnsiTheme="minorHAnsi" w:cstheme="minorBidi"/>
          <w:kern w:val="2"/>
          <w:szCs w:val="22"/>
          <w14:ligatures w14:val="standardContextual"/>
        </w:rPr>
      </w:pPr>
      <w:hyperlink w:anchor="_Toc175056185" w:history="1">
        <w:r w:rsidR="00D46833" w:rsidRPr="00785D35">
          <w:rPr>
            <w:rStyle w:val="Hyperlink"/>
          </w:rPr>
          <w:t>Evaluation in the Australian Government</w:t>
        </w:r>
        <w:r w:rsidR="00D46833">
          <w:rPr>
            <w:webHidden/>
          </w:rPr>
          <w:tab/>
        </w:r>
        <w:r w:rsidR="00D46833">
          <w:rPr>
            <w:webHidden/>
          </w:rPr>
          <w:fldChar w:fldCharType="begin"/>
        </w:r>
        <w:r w:rsidR="00D46833">
          <w:rPr>
            <w:webHidden/>
          </w:rPr>
          <w:instrText xml:space="preserve"> PAGEREF _Toc175056185 \h </w:instrText>
        </w:r>
        <w:r w:rsidR="00D46833">
          <w:rPr>
            <w:webHidden/>
          </w:rPr>
        </w:r>
        <w:r w:rsidR="00D46833">
          <w:rPr>
            <w:webHidden/>
          </w:rPr>
          <w:fldChar w:fldCharType="separate"/>
        </w:r>
        <w:r w:rsidR="00D46833">
          <w:rPr>
            <w:webHidden/>
          </w:rPr>
          <w:t>6</w:t>
        </w:r>
        <w:r w:rsidR="00D46833">
          <w:rPr>
            <w:webHidden/>
          </w:rPr>
          <w:fldChar w:fldCharType="end"/>
        </w:r>
      </w:hyperlink>
    </w:p>
    <w:p w14:paraId="23793524" w14:textId="3EC40A18" w:rsidR="00D46833" w:rsidRDefault="002F40A1">
      <w:pPr>
        <w:pStyle w:val="TOC3"/>
        <w:rPr>
          <w:rFonts w:asciiTheme="minorHAnsi" w:eastAsiaTheme="minorEastAsia" w:hAnsiTheme="minorHAnsi" w:cstheme="minorBidi"/>
          <w:kern w:val="2"/>
          <w:szCs w:val="22"/>
          <w14:ligatures w14:val="standardContextual"/>
        </w:rPr>
      </w:pPr>
      <w:hyperlink w:anchor="_Toc175056186" w:history="1">
        <w:r w:rsidR="00D46833" w:rsidRPr="00785D35">
          <w:rPr>
            <w:rStyle w:val="Hyperlink"/>
          </w:rPr>
          <w:t>Evaluation Reform Timeline</w:t>
        </w:r>
        <w:r w:rsidR="00D46833">
          <w:rPr>
            <w:webHidden/>
          </w:rPr>
          <w:tab/>
        </w:r>
        <w:r w:rsidR="00D46833">
          <w:rPr>
            <w:webHidden/>
          </w:rPr>
          <w:fldChar w:fldCharType="begin"/>
        </w:r>
        <w:r w:rsidR="00D46833">
          <w:rPr>
            <w:webHidden/>
          </w:rPr>
          <w:instrText xml:space="preserve"> PAGEREF _Toc175056186 \h </w:instrText>
        </w:r>
        <w:r w:rsidR="00D46833">
          <w:rPr>
            <w:webHidden/>
          </w:rPr>
        </w:r>
        <w:r w:rsidR="00D46833">
          <w:rPr>
            <w:webHidden/>
          </w:rPr>
          <w:fldChar w:fldCharType="separate"/>
        </w:r>
        <w:r w:rsidR="00D46833">
          <w:rPr>
            <w:webHidden/>
          </w:rPr>
          <w:t>7</w:t>
        </w:r>
        <w:r w:rsidR="00D46833">
          <w:rPr>
            <w:webHidden/>
          </w:rPr>
          <w:fldChar w:fldCharType="end"/>
        </w:r>
      </w:hyperlink>
    </w:p>
    <w:p w14:paraId="7BF87340" w14:textId="3F338C4F"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187" w:history="1">
        <w:r w:rsidR="00D46833" w:rsidRPr="00785D35">
          <w:rPr>
            <w:rStyle w:val="Hyperlink"/>
          </w:rPr>
          <w:t>System drivers and enablers for change</w:t>
        </w:r>
        <w:r w:rsidR="00D46833">
          <w:rPr>
            <w:webHidden/>
          </w:rPr>
          <w:tab/>
        </w:r>
        <w:r w:rsidR="00D46833">
          <w:rPr>
            <w:webHidden/>
          </w:rPr>
          <w:fldChar w:fldCharType="begin"/>
        </w:r>
        <w:r w:rsidR="00D46833">
          <w:rPr>
            <w:webHidden/>
          </w:rPr>
          <w:instrText xml:space="preserve"> PAGEREF _Toc175056187 \h </w:instrText>
        </w:r>
        <w:r w:rsidR="00D46833">
          <w:rPr>
            <w:webHidden/>
          </w:rPr>
        </w:r>
        <w:r w:rsidR="00D46833">
          <w:rPr>
            <w:webHidden/>
          </w:rPr>
          <w:fldChar w:fldCharType="separate"/>
        </w:r>
        <w:r w:rsidR="00D46833">
          <w:rPr>
            <w:webHidden/>
          </w:rPr>
          <w:t>8</w:t>
        </w:r>
        <w:r w:rsidR="00D46833">
          <w:rPr>
            <w:webHidden/>
          </w:rPr>
          <w:fldChar w:fldCharType="end"/>
        </w:r>
      </w:hyperlink>
    </w:p>
    <w:p w14:paraId="056A61E7" w14:textId="46710F61" w:rsidR="00D46833" w:rsidRDefault="002F40A1">
      <w:pPr>
        <w:pStyle w:val="TOC3"/>
        <w:rPr>
          <w:rFonts w:asciiTheme="minorHAnsi" w:eastAsiaTheme="minorEastAsia" w:hAnsiTheme="minorHAnsi" w:cstheme="minorBidi"/>
          <w:kern w:val="2"/>
          <w:szCs w:val="22"/>
          <w14:ligatures w14:val="standardContextual"/>
        </w:rPr>
      </w:pPr>
      <w:hyperlink w:anchor="_Toc175056188" w:history="1">
        <w:r w:rsidR="00D46833" w:rsidRPr="00785D35">
          <w:rPr>
            <w:rStyle w:val="Hyperlink"/>
          </w:rPr>
          <w:t>Requirements</w:t>
        </w:r>
        <w:r w:rsidR="00D46833">
          <w:rPr>
            <w:webHidden/>
          </w:rPr>
          <w:tab/>
        </w:r>
        <w:r w:rsidR="00D46833">
          <w:rPr>
            <w:webHidden/>
          </w:rPr>
          <w:fldChar w:fldCharType="begin"/>
        </w:r>
        <w:r w:rsidR="00D46833">
          <w:rPr>
            <w:webHidden/>
          </w:rPr>
          <w:instrText xml:space="preserve"> PAGEREF _Toc175056188 \h </w:instrText>
        </w:r>
        <w:r w:rsidR="00D46833">
          <w:rPr>
            <w:webHidden/>
          </w:rPr>
        </w:r>
        <w:r w:rsidR="00D46833">
          <w:rPr>
            <w:webHidden/>
          </w:rPr>
          <w:fldChar w:fldCharType="separate"/>
        </w:r>
        <w:r w:rsidR="00D46833">
          <w:rPr>
            <w:webHidden/>
          </w:rPr>
          <w:t>8</w:t>
        </w:r>
        <w:r w:rsidR="00D46833">
          <w:rPr>
            <w:webHidden/>
          </w:rPr>
          <w:fldChar w:fldCharType="end"/>
        </w:r>
      </w:hyperlink>
    </w:p>
    <w:p w14:paraId="5D3A93F0" w14:textId="27437A65" w:rsidR="00D46833" w:rsidRDefault="002F40A1">
      <w:pPr>
        <w:pStyle w:val="TOC3"/>
        <w:rPr>
          <w:rFonts w:asciiTheme="minorHAnsi" w:eastAsiaTheme="minorEastAsia" w:hAnsiTheme="minorHAnsi" w:cstheme="minorBidi"/>
          <w:kern w:val="2"/>
          <w:szCs w:val="22"/>
          <w14:ligatures w14:val="standardContextual"/>
        </w:rPr>
      </w:pPr>
      <w:hyperlink w:anchor="_Toc175056189" w:history="1">
        <w:r w:rsidR="00D46833" w:rsidRPr="00785D35">
          <w:rPr>
            <w:rStyle w:val="Hyperlink"/>
          </w:rPr>
          <w:t>Guidance</w:t>
        </w:r>
        <w:r w:rsidR="00D46833">
          <w:rPr>
            <w:webHidden/>
          </w:rPr>
          <w:tab/>
        </w:r>
        <w:r w:rsidR="00D46833">
          <w:rPr>
            <w:webHidden/>
          </w:rPr>
          <w:fldChar w:fldCharType="begin"/>
        </w:r>
        <w:r w:rsidR="00D46833">
          <w:rPr>
            <w:webHidden/>
          </w:rPr>
          <w:instrText xml:space="preserve"> PAGEREF _Toc175056189 \h </w:instrText>
        </w:r>
        <w:r w:rsidR="00D46833">
          <w:rPr>
            <w:webHidden/>
          </w:rPr>
        </w:r>
        <w:r w:rsidR="00D46833">
          <w:rPr>
            <w:webHidden/>
          </w:rPr>
          <w:fldChar w:fldCharType="separate"/>
        </w:r>
        <w:r w:rsidR="00D46833">
          <w:rPr>
            <w:webHidden/>
          </w:rPr>
          <w:t>8</w:t>
        </w:r>
        <w:r w:rsidR="00D46833">
          <w:rPr>
            <w:webHidden/>
          </w:rPr>
          <w:fldChar w:fldCharType="end"/>
        </w:r>
      </w:hyperlink>
    </w:p>
    <w:p w14:paraId="2B4A40CB" w14:textId="329434FE" w:rsidR="00D46833" w:rsidRDefault="002F40A1">
      <w:pPr>
        <w:pStyle w:val="TOC3"/>
        <w:rPr>
          <w:rFonts w:asciiTheme="minorHAnsi" w:eastAsiaTheme="minorEastAsia" w:hAnsiTheme="minorHAnsi" w:cstheme="minorBidi"/>
          <w:kern w:val="2"/>
          <w:szCs w:val="22"/>
          <w14:ligatures w14:val="standardContextual"/>
        </w:rPr>
      </w:pPr>
      <w:hyperlink w:anchor="_Toc175056190" w:history="1">
        <w:r w:rsidR="00D46833" w:rsidRPr="00785D35">
          <w:rPr>
            <w:rStyle w:val="Hyperlink"/>
          </w:rPr>
          <w:t>Professional networks and support</w:t>
        </w:r>
        <w:r w:rsidR="00D46833">
          <w:rPr>
            <w:webHidden/>
          </w:rPr>
          <w:tab/>
        </w:r>
        <w:r w:rsidR="00D46833">
          <w:rPr>
            <w:webHidden/>
          </w:rPr>
          <w:fldChar w:fldCharType="begin"/>
        </w:r>
        <w:r w:rsidR="00D46833">
          <w:rPr>
            <w:webHidden/>
          </w:rPr>
          <w:instrText xml:space="preserve"> PAGEREF _Toc175056190 \h </w:instrText>
        </w:r>
        <w:r w:rsidR="00D46833">
          <w:rPr>
            <w:webHidden/>
          </w:rPr>
        </w:r>
        <w:r w:rsidR="00D46833">
          <w:rPr>
            <w:webHidden/>
          </w:rPr>
          <w:fldChar w:fldCharType="separate"/>
        </w:r>
        <w:r w:rsidR="00D46833">
          <w:rPr>
            <w:webHidden/>
          </w:rPr>
          <w:t>9</w:t>
        </w:r>
        <w:r w:rsidR="00D46833">
          <w:rPr>
            <w:webHidden/>
          </w:rPr>
          <w:fldChar w:fldCharType="end"/>
        </w:r>
      </w:hyperlink>
    </w:p>
    <w:p w14:paraId="5AA48715" w14:textId="07023261" w:rsidR="00D46833" w:rsidRDefault="002F40A1">
      <w:pPr>
        <w:pStyle w:val="TOC1"/>
        <w:rPr>
          <w:rFonts w:asciiTheme="minorHAnsi" w:eastAsiaTheme="minorEastAsia" w:hAnsiTheme="minorHAnsi" w:cstheme="minorBidi"/>
          <w:b w:val="0"/>
          <w:color w:val="auto"/>
          <w:kern w:val="2"/>
          <w14:ligatures w14:val="standardContextual"/>
        </w:rPr>
      </w:pPr>
      <w:hyperlink w:anchor="_Toc175056191" w:history="1">
        <w:r w:rsidR="00D46833" w:rsidRPr="00785D35">
          <w:rPr>
            <w:rStyle w:val="Hyperlink"/>
          </w:rPr>
          <w:t>Our strategy</w:t>
        </w:r>
        <w:r w:rsidR="00D46833">
          <w:rPr>
            <w:webHidden/>
          </w:rPr>
          <w:tab/>
        </w:r>
        <w:r w:rsidR="00D46833">
          <w:rPr>
            <w:webHidden/>
          </w:rPr>
          <w:fldChar w:fldCharType="begin"/>
        </w:r>
        <w:r w:rsidR="00D46833">
          <w:rPr>
            <w:webHidden/>
          </w:rPr>
          <w:instrText xml:space="preserve"> PAGEREF _Toc175056191 \h </w:instrText>
        </w:r>
        <w:r w:rsidR="00D46833">
          <w:rPr>
            <w:webHidden/>
          </w:rPr>
        </w:r>
        <w:r w:rsidR="00D46833">
          <w:rPr>
            <w:webHidden/>
          </w:rPr>
          <w:fldChar w:fldCharType="separate"/>
        </w:r>
        <w:r w:rsidR="00D46833">
          <w:rPr>
            <w:webHidden/>
          </w:rPr>
          <w:t>10</w:t>
        </w:r>
        <w:r w:rsidR="00D46833">
          <w:rPr>
            <w:webHidden/>
          </w:rPr>
          <w:fldChar w:fldCharType="end"/>
        </w:r>
      </w:hyperlink>
    </w:p>
    <w:p w14:paraId="74DF1A93" w14:textId="7C3C3897"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192" w:history="1">
        <w:r w:rsidR="00D46833" w:rsidRPr="00785D35">
          <w:rPr>
            <w:rStyle w:val="Hyperlink"/>
          </w:rPr>
          <w:t>Our vision</w:t>
        </w:r>
        <w:r w:rsidR="00D46833">
          <w:rPr>
            <w:webHidden/>
          </w:rPr>
          <w:tab/>
        </w:r>
        <w:r w:rsidR="00D46833">
          <w:rPr>
            <w:webHidden/>
          </w:rPr>
          <w:fldChar w:fldCharType="begin"/>
        </w:r>
        <w:r w:rsidR="00D46833">
          <w:rPr>
            <w:webHidden/>
          </w:rPr>
          <w:instrText xml:space="preserve"> PAGEREF _Toc175056192 \h </w:instrText>
        </w:r>
        <w:r w:rsidR="00D46833">
          <w:rPr>
            <w:webHidden/>
          </w:rPr>
        </w:r>
        <w:r w:rsidR="00D46833">
          <w:rPr>
            <w:webHidden/>
          </w:rPr>
          <w:fldChar w:fldCharType="separate"/>
        </w:r>
        <w:r w:rsidR="00D46833">
          <w:rPr>
            <w:webHidden/>
          </w:rPr>
          <w:t>10</w:t>
        </w:r>
        <w:r w:rsidR="00D46833">
          <w:rPr>
            <w:webHidden/>
          </w:rPr>
          <w:fldChar w:fldCharType="end"/>
        </w:r>
      </w:hyperlink>
    </w:p>
    <w:p w14:paraId="2E0B7376" w14:textId="426D2883"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193" w:history="1">
        <w:r w:rsidR="00D46833" w:rsidRPr="00785D35">
          <w:rPr>
            <w:rStyle w:val="Hyperlink"/>
          </w:rPr>
          <w:t>Our mission</w:t>
        </w:r>
        <w:r w:rsidR="00D46833">
          <w:rPr>
            <w:webHidden/>
          </w:rPr>
          <w:tab/>
        </w:r>
        <w:r w:rsidR="00D46833">
          <w:rPr>
            <w:webHidden/>
          </w:rPr>
          <w:fldChar w:fldCharType="begin"/>
        </w:r>
        <w:r w:rsidR="00D46833">
          <w:rPr>
            <w:webHidden/>
          </w:rPr>
          <w:instrText xml:space="preserve"> PAGEREF _Toc175056193 \h </w:instrText>
        </w:r>
        <w:r w:rsidR="00D46833">
          <w:rPr>
            <w:webHidden/>
          </w:rPr>
        </w:r>
        <w:r w:rsidR="00D46833">
          <w:rPr>
            <w:webHidden/>
          </w:rPr>
          <w:fldChar w:fldCharType="separate"/>
        </w:r>
        <w:r w:rsidR="00D46833">
          <w:rPr>
            <w:webHidden/>
          </w:rPr>
          <w:t>10</w:t>
        </w:r>
        <w:r w:rsidR="00D46833">
          <w:rPr>
            <w:webHidden/>
          </w:rPr>
          <w:fldChar w:fldCharType="end"/>
        </w:r>
      </w:hyperlink>
    </w:p>
    <w:p w14:paraId="08594BAA" w14:textId="36907B36"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194" w:history="1">
        <w:r w:rsidR="00D46833" w:rsidRPr="00785D35">
          <w:rPr>
            <w:rStyle w:val="Hyperlink"/>
          </w:rPr>
          <w:t>How we will achieve our key outcomes</w:t>
        </w:r>
        <w:r w:rsidR="00D46833">
          <w:rPr>
            <w:webHidden/>
          </w:rPr>
          <w:tab/>
        </w:r>
        <w:r w:rsidR="00D46833">
          <w:rPr>
            <w:webHidden/>
          </w:rPr>
          <w:fldChar w:fldCharType="begin"/>
        </w:r>
        <w:r w:rsidR="00D46833">
          <w:rPr>
            <w:webHidden/>
          </w:rPr>
          <w:instrText xml:space="preserve"> PAGEREF _Toc175056194 \h </w:instrText>
        </w:r>
        <w:r w:rsidR="00D46833">
          <w:rPr>
            <w:webHidden/>
          </w:rPr>
        </w:r>
        <w:r w:rsidR="00D46833">
          <w:rPr>
            <w:webHidden/>
          </w:rPr>
          <w:fldChar w:fldCharType="separate"/>
        </w:r>
        <w:r w:rsidR="00D46833">
          <w:rPr>
            <w:webHidden/>
          </w:rPr>
          <w:t>10</w:t>
        </w:r>
        <w:r w:rsidR="00D46833">
          <w:rPr>
            <w:webHidden/>
          </w:rPr>
          <w:fldChar w:fldCharType="end"/>
        </w:r>
      </w:hyperlink>
    </w:p>
    <w:p w14:paraId="64B86B68" w14:textId="1F5FEF8A" w:rsidR="00D46833" w:rsidRDefault="002F40A1">
      <w:pPr>
        <w:pStyle w:val="TOC3"/>
        <w:rPr>
          <w:rFonts w:asciiTheme="minorHAnsi" w:eastAsiaTheme="minorEastAsia" w:hAnsiTheme="minorHAnsi" w:cstheme="minorBidi"/>
          <w:kern w:val="2"/>
          <w:szCs w:val="22"/>
          <w14:ligatures w14:val="standardContextual"/>
        </w:rPr>
      </w:pPr>
      <w:hyperlink w:anchor="_Toc175056195" w:history="1">
        <w:r w:rsidR="00D46833" w:rsidRPr="00785D35">
          <w:rPr>
            <w:rStyle w:val="Hyperlink"/>
          </w:rPr>
          <w:t>Stream 1: Evaluation leadership and promotion</w:t>
        </w:r>
        <w:r w:rsidR="00D46833" w:rsidRPr="00785D35">
          <w:rPr>
            <w:rStyle w:val="Hyperlink"/>
            <w:lang w:val="en-US"/>
          </w:rPr>
          <w:t>​</w:t>
        </w:r>
        <w:r w:rsidR="00D46833">
          <w:rPr>
            <w:webHidden/>
          </w:rPr>
          <w:tab/>
        </w:r>
        <w:r w:rsidR="00D46833">
          <w:rPr>
            <w:webHidden/>
          </w:rPr>
          <w:fldChar w:fldCharType="begin"/>
        </w:r>
        <w:r w:rsidR="00D46833">
          <w:rPr>
            <w:webHidden/>
          </w:rPr>
          <w:instrText xml:space="preserve"> PAGEREF _Toc175056195 \h </w:instrText>
        </w:r>
        <w:r w:rsidR="00D46833">
          <w:rPr>
            <w:webHidden/>
          </w:rPr>
        </w:r>
        <w:r w:rsidR="00D46833">
          <w:rPr>
            <w:webHidden/>
          </w:rPr>
          <w:fldChar w:fldCharType="separate"/>
        </w:r>
        <w:r w:rsidR="00D46833">
          <w:rPr>
            <w:webHidden/>
          </w:rPr>
          <w:t>11</w:t>
        </w:r>
        <w:r w:rsidR="00D46833">
          <w:rPr>
            <w:webHidden/>
          </w:rPr>
          <w:fldChar w:fldCharType="end"/>
        </w:r>
      </w:hyperlink>
    </w:p>
    <w:p w14:paraId="11FD6CE5" w14:textId="7899074D" w:rsidR="00D46833" w:rsidRDefault="002F40A1">
      <w:pPr>
        <w:pStyle w:val="TOC3"/>
        <w:rPr>
          <w:rFonts w:asciiTheme="minorHAnsi" w:eastAsiaTheme="minorEastAsia" w:hAnsiTheme="minorHAnsi" w:cstheme="minorBidi"/>
          <w:kern w:val="2"/>
          <w:szCs w:val="22"/>
          <w14:ligatures w14:val="standardContextual"/>
        </w:rPr>
      </w:pPr>
      <w:hyperlink w:anchor="_Toc175056196" w:history="1">
        <w:r w:rsidR="00D46833" w:rsidRPr="00785D35">
          <w:rPr>
            <w:rStyle w:val="Hyperlink"/>
          </w:rPr>
          <w:t>Stream 2: Impact evaluation delivery</w:t>
        </w:r>
        <w:r w:rsidR="00D46833" w:rsidRPr="00785D35">
          <w:rPr>
            <w:rStyle w:val="Hyperlink"/>
            <w:lang w:val="en-US"/>
          </w:rPr>
          <w:t xml:space="preserve"> and advice</w:t>
        </w:r>
        <w:r w:rsidR="00D46833">
          <w:rPr>
            <w:webHidden/>
          </w:rPr>
          <w:tab/>
        </w:r>
        <w:r w:rsidR="00D46833">
          <w:rPr>
            <w:webHidden/>
          </w:rPr>
          <w:fldChar w:fldCharType="begin"/>
        </w:r>
        <w:r w:rsidR="00D46833">
          <w:rPr>
            <w:webHidden/>
          </w:rPr>
          <w:instrText xml:space="preserve"> PAGEREF _Toc175056196 \h </w:instrText>
        </w:r>
        <w:r w:rsidR="00D46833">
          <w:rPr>
            <w:webHidden/>
          </w:rPr>
        </w:r>
        <w:r w:rsidR="00D46833">
          <w:rPr>
            <w:webHidden/>
          </w:rPr>
          <w:fldChar w:fldCharType="separate"/>
        </w:r>
        <w:r w:rsidR="00D46833">
          <w:rPr>
            <w:webHidden/>
          </w:rPr>
          <w:t>12</w:t>
        </w:r>
        <w:r w:rsidR="00D46833">
          <w:rPr>
            <w:webHidden/>
          </w:rPr>
          <w:fldChar w:fldCharType="end"/>
        </w:r>
      </w:hyperlink>
    </w:p>
    <w:p w14:paraId="42474730" w14:textId="5869B8D8" w:rsidR="00D46833" w:rsidRDefault="002F40A1">
      <w:pPr>
        <w:pStyle w:val="TOC3"/>
        <w:rPr>
          <w:rFonts w:asciiTheme="minorHAnsi" w:eastAsiaTheme="minorEastAsia" w:hAnsiTheme="minorHAnsi" w:cstheme="minorBidi"/>
          <w:kern w:val="2"/>
          <w:szCs w:val="22"/>
          <w14:ligatures w14:val="standardContextual"/>
        </w:rPr>
      </w:pPr>
      <w:hyperlink w:anchor="_Toc175056197" w:history="1">
        <w:r w:rsidR="00D46833" w:rsidRPr="00785D35">
          <w:rPr>
            <w:rStyle w:val="Hyperlink"/>
          </w:rPr>
          <w:t>Stream 3: Evaluation</w:t>
        </w:r>
        <w:r w:rsidR="00D46833" w:rsidRPr="00785D35">
          <w:rPr>
            <w:rStyle w:val="Hyperlink"/>
            <w:lang w:val="en-US"/>
          </w:rPr>
          <w:t xml:space="preserve"> planning and use</w:t>
        </w:r>
        <w:r w:rsidR="00D46833">
          <w:rPr>
            <w:webHidden/>
          </w:rPr>
          <w:tab/>
        </w:r>
        <w:r w:rsidR="00D46833">
          <w:rPr>
            <w:webHidden/>
          </w:rPr>
          <w:fldChar w:fldCharType="begin"/>
        </w:r>
        <w:r w:rsidR="00D46833">
          <w:rPr>
            <w:webHidden/>
          </w:rPr>
          <w:instrText xml:space="preserve"> PAGEREF _Toc175056197 \h </w:instrText>
        </w:r>
        <w:r w:rsidR="00D46833">
          <w:rPr>
            <w:webHidden/>
          </w:rPr>
        </w:r>
        <w:r w:rsidR="00D46833">
          <w:rPr>
            <w:webHidden/>
          </w:rPr>
          <w:fldChar w:fldCharType="separate"/>
        </w:r>
        <w:r w:rsidR="00D46833">
          <w:rPr>
            <w:webHidden/>
          </w:rPr>
          <w:t>12</w:t>
        </w:r>
        <w:r w:rsidR="00D46833">
          <w:rPr>
            <w:webHidden/>
          </w:rPr>
          <w:fldChar w:fldCharType="end"/>
        </w:r>
      </w:hyperlink>
    </w:p>
    <w:p w14:paraId="4382C68B" w14:textId="14C2C9FD" w:rsidR="00D46833" w:rsidRDefault="002F40A1">
      <w:pPr>
        <w:pStyle w:val="TOC3"/>
        <w:rPr>
          <w:rFonts w:asciiTheme="minorHAnsi" w:eastAsiaTheme="minorEastAsia" w:hAnsiTheme="minorHAnsi" w:cstheme="minorBidi"/>
          <w:kern w:val="2"/>
          <w:szCs w:val="22"/>
          <w14:ligatures w14:val="standardContextual"/>
        </w:rPr>
      </w:pPr>
      <w:hyperlink w:anchor="_Toc175056198" w:history="1">
        <w:r w:rsidR="00D46833" w:rsidRPr="00785D35">
          <w:rPr>
            <w:rStyle w:val="Hyperlink"/>
          </w:rPr>
          <w:t>Stream 4: Evaluation</w:t>
        </w:r>
        <w:r w:rsidR="00D46833" w:rsidRPr="00785D35">
          <w:rPr>
            <w:rStyle w:val="Hyperlink"/>
            <w:lang w:val="en-US"/>
          </w:rPr>
          <w:t xml:space="preserve"> capability building</w:t>
        </w:r>
        <w:r w:rsidR="00D46833">
          <w:rPr>
            <w:webHidden/>
          </w:rPr>
          <w:tab/>
        </w:r>
        <w:r w:rsidR="00D46833">
          <w:rPr>
            <w:webHidden/>
          </w:rPr>
          <w:fldChar w:fldCharType="begin"/>
        </w:r>
        <w:r w:rsidR="00D46833">
          <w:rPr>
            <w:webHidden/>
          </w:rPr>
          <w:instrText xml:space="preserve"> PAGEREF _Toc175056198 \h </w:instrText>
        </w:r>
        <w:r w:rsidR="00D46833">
          <w:rPr>
            <w:webHidden/>
          </w:rPr>
        </w:r>
        <w:r w:rsidR="00D46833">
          <w:rPr>
            <w:webHidden/>
          </w:rPr>
          <w:fldChar w:fldCharType="separate"/>
        </w:r>
        <w:r w:rsidR="00D46833">
          <w:rPr>
            <w:webHidden/>
          </w:rPr>
          <w:t>12</w:t>
        </w:r>
        <w:r w:rsidR="00D46833">
          <w:rPr>
            <w:webHidden/>
          </w:rPr>
          <w:fldChar w:fldCharType="end"/>
        </w:r>
      </w:hyperlink>
    </w:p>
    <w:p w14:paraId="0B078EA0" w14:textId="7695B3CD" w:rsidR="00D46833" w:rsidRDefault="002F40A1">
      <w:pPr>
        <w:pStyle w:val="TOC3"/>
        <w:rPr>
          <w:rFonts w:asciiTheme="minorHAnsi" w:eastAsiaTheme="minorEastAsia" w:hAnsiTheme="minorHAnsi" w:cstheme="minorBidi"/>
          <w:kern w:val="2"/>
          <w:szCs w:val="22"/>
          <w14:ligatures w14:val="standardContextual"/>
        </w:rPr>
      </w:pPr>
      <w:hyperlink w:anchor="_Toc175056199" w:history="1">
        <w:r w:rsidR="00D46833" w:rsidRPr="00785D35">
          <w:rPr>
            <w:rStyle w:val="Hyperlink"/>
          </w:rPr>
          <w:t>Our service offering</w:t>
        </w:r>
        <w:r w:rsidR="00D46833">
          <w:rPr>
            <w:webHidden/>
          </w:rPr>
          <w:tab/>
        </w:r>
        <w:r w:rsidR="00D46833">
          <w:rPr>
            <w:webHidden/>
          </w:rPr>
          <w:fldChar w:fldCharType="begin"/>
        </w:r>
        <w:r w:rsidR="00D46833">
          <w:rPr>
            <w:webHidden/>
          </w:rPr>
          <w:instrText xml:space="preserve"> PAGEREF _Toc175056199 \h </w:instrText>
        </w:r>
        <w:r w:rsidR="00D46833">
          <w:rPr>
            <w:webHidden/>
          </w:rPr>
        </w:r>
        <w:r w:rsidR="00D46833">
          <w:rPr>
            <w:webHidden/>
          </w:rPr>
          <w:fldChar w:fldCharType="separate"/>
        </w:r>
        <w:r w:rsidR="00D46833">
          <w:rPr>
            <w:webHidden/>
          </w:rPr>
          <w:t>13</w:t>
        </w:r>
        <w:r w:rsidR="00D46833">
          <w:rPr>
            <w:webHidden/>
          </w:rPr>
          <w:fldChar w:fldCharType="end"/>
        </w:r>
      </w:hyperlink>
    </w:p>
    <w:p w14:paraId="3BF75895" w14:textId="7BD32099"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200" w:history="1">
        <w:r w:rsidR="00D46833" w:rsidRPr="00785D35">
          <w:rPr>
            <w:rStyle w:val="Hyperlink"/>
          </w:rPr>
          <w:t>How will we know we are achieving our aims?</w:t>
        </w:r>
        <w:r w:rsidR="00D46833">
          <w:rPr>
            <w:webHidden/>
          </w:rPr>
          <w:tab/>
        </w:r>
        <w:r w:rsidR="00D46833">
          <w:rPr>
            <w:webHidden/>
          </w:rPr>
          <w:fldChar w:fldCharType="begin"/>
        </w:r>
        <w:r w:rsidR="00D46833">
          <w:rPr>
            <w:webHidden/>
          </w:rPr>
          <w:instrText xml:space="preserve"> PAGEREF _Toc175056200 \h </w:instrText>
        </w:r>
        <w:r w:rsidR="00D46833">
          <w:rPr>
            <w:webHidden/>
          </w:rPr>
        </w:r>
        <w:r w:rsidR="00D46833">
          <w:rPr>
            <w:webHidden/>
          </w:rPr>
          <w:fldChar w:fldCharType="separate"/>
        </w:r>
        <w:r w:rsidR="00D46833">
          <w:rPr>
            <w:webHidden/>
          </w:rPr>
          <w:t>14</w:t>
        </w:r>
        <w:r w:rsidR="00D46833">
          <w:rPr>
            <w:webHidden/>
          </w:rPr>
          <w:fldChar w:fldCharType="end"/>
        </w:r>
      </w:hyperlink>
    </w:p>
    <w:p w14:paraId="1B0E1869" w14:textId="43A40B0B" w:rsidR="00D46833" w:rsidRDefault="002F40A1">
      <w:pPr>
        <w:pStyle w:val="TOC3"/>
        <w:rPr>
          <w:rFonts w:asciiTheme="minorHAnsi" w:eastAsiaTheme="minorEastAsia" w:hAnsiTheme="minorHAnsi" w:cstheme="minorBidi"/>
          <w:kern w:val="2"/>
          <w:szCs w:val="22"/>
          <w14:ligatures w14:val="standardContextual"/>
        </w:rPr>
      </w:pPr>
      <w:hyperlink w:anchor="_Toc175056201" w:history="1">
        <w:r w:rsidR="00D46833" w:rsidRPr="00785D35">
          <w:rPr>
            <w:rStyle w:val="Hyperlink"/>
          </w:rPr>
          <w:t>Our outcomes</w:t>
        </w:r>
        <w:r w:rsidR="00D46833">
          <w:rPr>
            <w:webHidden/>
          </w:rPr>
          <w:tab/>
        </w:r>
        <w:r w:rsidR="00D46833">
          <w:rPr>
            <w:webHidden/>
          </w:rPr>
          <w:fldChar w:fldCharType="begin"/>
        </w:r>
        <w:r w:rsidR="00D46833">
          <w:rPr>
            <w:webHidden/>
          </w:rPr>
          <w:instrText xml:space="preserve"> PAGEREF _Toc175056201 \h </w:instrText>
        </w:r>
        <w:r w:rsidR="00D46833">
          <w:rPr>
            <w:webHidden/>
          </w:rPr>
        </w:r>
        <w:r w:rsidR="00D46833">
          <w:rPr>
            <w:webHidden/>
          </w:rPr>
          <w:fldChar w:fldCharType="separate"/>
        </w:r>
        <w:r w:rsidR="00D46833">
          <w:rPr>
            <w:webHidden/>
          </w:rPr>
          <w:t>15</w:t>
        </w:r>
        <w:r w:rsidR="00D46833">
          <w:rPr>
            <w:webHidden/>
          </w:rPr>
          <w:fldChar w:fldCharType="end"/>
        </w:r>
      </w:hyperlink>
    </w:p>
    <w:p w14:paraId="06CB242D" w14:textId="1A9E3BB8" w:rsidR="00D46833" w:rsidRDefault="002F40A1">
      <w:pPr>
        <w:pStyle w:val="TOC1"/>
        <w:rPr>
          <w:rFonts w:asciiTheme="minorHAnsi" w:eastAsiaTheme="minorEastAsia" w:hAnsiTheme="minorHAnsi" w:cstheme="minorBidi"/>
          <w:b w:val="0"/>
          <w:color w:val="auto"/>
          <w:kern w:val="2"/>
          <w14:ligatures w14:val="standardContextual"/>
        </w:rPr>
      </w:pPr>
      <w:hyperlink w:anchor="_Toc175056202" w:history="1">
        <w:r w:rsidR="00D46833" w:rsidRPr="00785D35">
          <w:rPr>
            <w:rStyle w:val="Hyperlink"/>
          </w:rPr>
          <w:t>Appendix A: The ACE theory of change</w:t>
        </w:r>
        <w:r w:rsidR="00D46833">
          <w:rPr>
            <w:webHidden/>
          </w:rPr>
          <w:tab/>
        </w:r>
        <w:r w:rsidR="00D46833">
          <w:rPr>
            <w:webHidden/>
          </w:rPr>
          <w:fldChar w:fldCharType="begin"/>
        </w:r>
        <w:r w:rsidR="00D46833">
          <w:rPr>
            <w:webHidden/>
          </w:rPr>
          <w:instrText xml:space="preserve"> PAGEREF _Toc175056202 \h </w:instrText>
        </w:r>
        <w:r w:rsidR="00D46833">
          <w:rPr>
            <w:webHidden/>
          </w:rPr>
        </w:r>
        <w:r w:rsidR="00D46833">
          <w:rPr>
            <w:webHidden/>
          </w:rPr>
          <w:fldChar w:fldCharType="separate"/>
        </w:r>
        <w:r w:rsidR="00D46833">
          <w:rPr>
            <w:webHidden/>
          </w:rPr>
          <w:t>17</w:t>
        </w:r>
        <w:r w:rsidR="00D46833">
          <w:rPr>
            <w:webHidden/>
          </w:rPr>
          <w:fldChar w:fldCharType="end"/>
        </w:r>
      </w:hyperlink>
    </w:p>
    <w:p w14:paraId="3A379662" w14:textId="331E7179" w:rsidR="00D46833" w:rsidRDefault="002F40A1">
      <w:pPr>
        <w:pStyle w:val="TOC1"/>
        <w:rPr>
          <w:rFonts w:asciiTheme="minorHAnsi" w:eastAsiaTheme="minorEastAsia" w:hAnsiTheme="minorHAnsi" w:cstheme="minorBidi"/>
          <w:b w:val="0"/>
          <w:color w:val="auto"/>
          <w:kern w:val="2"/>
          <w14:ligatures w14:val="standardContextual"/>
        </w:rPr>
      </w:pPr>
      <w:hyperlink w:anchor="_Toc175056203" w:history="1">
        <w:r w:rsidR="00D46833" w:rsidRPr="00785D35">
          <w:rPr>
            <w:rStyle w:val="Hyperlink"/>
          </w:rPr>
          <w:t>Appendix B: The ACE service offering</w:t>
        </w:r>
        <w:r w:rsidR="00D46833">
          <w:rPr>
            <w:webHidden/>
          </w:rPr>
          <w:tab/>
        </w:r>
        <w:r w:rsidR="00D46833">
          <w:rPr>
            <w:webHidden/>
          </w:rPr>
          <w:fldChar w:fldCharType="begin"/>
        </w:r>
        <w:r w:rsidR="00D46833">
          <w:rPr>
            <w:webHidden/>
          </w:rPr>
          <w:instrText xml:space="preserve"> PAGEREF _Toc175056203 \h </w:instrText>
        </w:r>
        <w:r w:rsidR="00D46833">
          <w:rPr>
            <w:webHidden/>
          </w:rPr>
        </w:r>
        <w:r w:rsidR="00D46833">
          <w:rPr>
            <w:webHidden/>
          </w:rPr>
          <w:fldChar w:fldCharType="separate"/>
        </w:r>
        <w:r w:rsidR="00D46833">
          <w:rPr>
            <w:webHidden/>
          </w:rPr>
          <w:t>18</w:t>
        </w:r>
        <w:r w:rsidR="00D46833">
          <w:rPr>
            <w:webHidden/>
          </w:rPr>
          <w:fldChar w:fldCharType="end"/>
        </w:r>
      </w:hyperlink>
    </w:p>
    <w:p w14:paraId="019104BF" w14:textId="4D784FF1"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204" w:history="1">
        <w:r w:rsidR="00D46833" w:rsidRPr="00785D35">
          <w:rPr>
            <w:rStyle w:val="Hyperlink"/>
            <w:rFonts w:cs="Calibri"/>
          </w:rPr>
          <w:t>Services for Commonwealth entities</w:t>
        </w:r>
        <w:r w:rsidR="00D46833">
          <w:rPr>
            <w:webHidden/>
          </w:rPr>
          <w:tab/>
        </w:r>
        <w:r w:rsidR="00D46833">
          <w:rPr>
            <w:webHidden/>
          </w:rPr>
          <w:fldChar w:fldCharType="begin"/>
        </w:r>
        <w:r w:rsidR="00D46833">
          <w:rPr>
            <w:webHidden/>
          </w:rPr>
          <w:instrText xml:space="preserve"> PAGEREF _Toc175056204 \h </w:instrText>
        </w:r>
        <w:r w:rsidR="00D46833">
          <w:rPr>
            <w:webHidden/>
          </w:rPr>
        </w:r>
        <w:r w:rsidR="00D46833">
          <w:rPr>
            <w:webHidden/>
          </w:rPr>
          <w:fldChar w:fldCharType="separate"/>
        </w:r>
        <w:r w:rsidR="00D46833">
          <w:rPr>
            <w:webHidden/>
          </w:rPr>
          <w:t>18</w:t>
        </w:r>
        <w:r w:rsidR="00D46833">
          <w:rPr>
            <w:webHidden/>
          </w:rPr>
          <w:fldChar w:fldCharType="end"/>
        </w:r>
      </w:hyperlink>
    </w:p>
    <w:p w14:paraId="336FD061" w14:textId="756808C4" w:rsidR="00D46833" w:rsidRDefault="002F40A1">
      <w:pPr>
        <w:pStyle w:val="TOC3"/>
        <w:rPr>
          <w:rFonts w:asciiTheme="minorHAnsi" w:eastAsiaTheme="minorEastAsia" w:hAnsiTheme="minorHAnsi" w:cstheme="minorBidi"/>
          <w:kern w:val="2"/>
          <w:szCs w:val="22"/>
          <w14:ligatures w14:val="standardContextual"/>
        </w:rPr>
      </w:pPr>
      <w:hyperlink w:anchor="_Toc175056205" w:history="1">
        <w:r w:rsidR="00D46833" w:rsidRPr="00785D35">
          <w:rPr>
            <w:rStyle w:val="Hyperlink"/>
          </w:rPr>
          <w:t>Impact evaluation partnerships</w:t>
        </w:r>
        <w:r w:rsidR="00D46833">
          <w:rPr>
            <w:webHidden/>
          </w:rPr>
          <w:tab/>
        </w:r>
        <w:r w:rsidR="00D46833">
          <w:rPr>
            <w:webHidden/>
          </w:rPr>
          <w:fldChar w:fldCharType="begin"/>
        </w:r>
        <w:r w:rsidR="00D46833">
          <w:rPr>
            <w:webHidden/>
          </w:rPr>
          <w:instrText xml:space="preserve"> PAGEREF _Toc175056205 \h </w:instrText>
        </w:r>
        <w:r w:rsidR="00D46833">
          <w:rPr>
            <w:webHidden/>
          </w:rPr>
        </w:r>
        <w:r w:rsidR="00D46833">
          <w:rPr>
            <w:webHidden/>
          </w:rPr>
          <w:fldChar w:fldCharType="separate"/>
        </w:r>
        <w:r w:rsidR="00D46833">
          <w:rPr>
            <w:webHidden/>
          </w:rPr>
          <w:t>18</w:t>
        </w:r>
        <w:r w:rsidR="00D46833">
          <w:rPr>
            <w:webHidden/>
          </w:rPr>
          <w:fldChar w:fldCharType="end"/>
        </w:r>
      </w:hyperlink>
    </w:p>
    <w:p w14:paraId="6399ED88" w14:textId="61FDDD5C" w:rsidR="00D46833" w:rsidRDefault="002F40A1">
      <w:pPr>
        <w:pStyle w:val="TOC3"/>
        <w:rPr>
          <w:rFonts w:asciiTheme="minorHAnsi" w:eastAsiaTheme="minorEastAsia" w:hAnsiTheme="minorHAnsi" w:cstheme="minorBidi"/>
          <w:kern w:val="2"/>
          <w:szCs w:val="22"/>
          <w14:ligatures w14:val="standardContextual"/>
        </w:rPr>
      </w:pPr>
      <w:hyperlink w:anchor="_Toc175056206" w:history="1">
        <w:r w:rsidR="00D46833" w:rsidRPr="00785D35">
          <w:rPr>
            <w:rStyle w:val="Hyperlink"/>
          </w:rPr>
          <w:t>Consulting support for evaluation planning and use</w:t>
        </w:r>
        <w:r w:rsidR="00D46833">
          <w:rPr>
            <w:webHidden/>
          </w:rPr>
          <w:tab/>
        </w:r>
        <w:r w:rsidR="00D46833">
          <w:rPr>
            <w:webHidden/>
          </w:rPr>
          <w:fldChar w:fldCharType="begin"/>
        </w:r>
        <w:r w:rsidR="00D46833">
          <w:rPr>
            <w:webHidden/>
          </w:rPr>
          <w:instrText xml:space="preserve"> PAGEREF _Toc175056206 \h </w:instrText>
        </w:r>
        <w:r w:rsidR="00D46833">
          <w:rPr>
            <w:webHidden/>
          </w:rPr>
        </w:r>
        <w:r w:rsidR="00D46833">
          <w:rPr>
            <w:webHidden/>
          </w:rPr>
          <w:fldChar w:fldCharType="separate"/>
        </w:r>
        <w:r w:rsidR="00D46833">
          <w:rPr>
            <w:webHidden/>
          </w:rPr>
          <w:t>19</w:t>
        </w:r>
        <w:r w:rsidR="00D46833">
          <w:rPr>
            <w:webHidden/>
          </w:rPr>
          <w:fldChar w:fldCharType="end"/>
        </w:r>
      </w:hyperlink>
    </w:p>
    <w:p w14:paraId="233A6D03" w14:textId="5525BE95"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207" w:history="1">
        <w:r w:rsidR="00D46833" w:rsidRPr="00785D35">
          <w:rPr>
            <w:rStyle w:val="Hyperlink"/>
            <w:rFonts w:cs="Calibri"/>
          </w:rPr>
          <w:t>Services for APS staff</w:t>
        </w:r>
        <w:r w:rsidR="00D46833">
          <w:rPr>
            <w:webHidden/>
          </w:rPr>
          <w:tab/>
        </w:r>
        <w:r w:rsidR="00D46833">
          <w:rPr>
            <w:webHidden/>
          </w:rPr>
          <w:fldChar w:fldCharType="begin"/>
        </w:r>
        <w:r w:rsidR="00D46833">
          <w:rPr>
            <w:webHidden/>
          </w:rPr>
          <w:instrText xml:space="preserve"> PAGEREF _Toc175056207 \h </w:instrText>
        </w:r>
        <w:r w:rsidR="00D46833">
          <w:rPr>
            <w:webHidden/>
          </w:rPr>
        </w:r>
        <w:r w:rsidR="00D46833">
          <w:rPr>
            <w:webHidden/>
          </w:rPr>
          <w:fldChar w:fldCharType="separate"/>
        </w:r>
        <w:r w:rsidR="00D46833">
          <w:rPr>
            <w:webHidden/>
          </w:rPr>
          <w:t>19</w:t>
        </w:r>
        <w:r w:rsidR="00D46833">
          <w:rPr>
            <w:webHidden/>
          </w:rPr>
          <w:fldChar w:fldCharType="end"/>
        </w:r>
      </w:hyperlink>
    </w:p>
    <w:p w14:paraId="1374CBC8" w14:textId="51A3E807" w:rsidR="00D46833" w:rsidRDefault="002F40A1">
      <w:pPr>
        <w:pStyle w:val="TOC3"/>
        <w:rPr>
          <w:rFonts w:asciiTheme="minorHAnsi" w:eastAsiaTheme="minorEastAsia" w:hAnsiTheme="minorHAnsi" w:cstheme="minorBidi"/>
          <w:kern w:val="2"/>
          <w:szCs w:val="22"/>
          <w14:ligatures w14:val="standardContextual"/>
        </w:rPr>
      </w:pPr>
      <w:hyperlink w:anchor="_Toc175056208" w:history="1">
        <w:r w:rsidR="00D46833" w:rsidRPr="00785D35">
          <w:rPr>
            <w:rStyle w:val="Hyperlink"/>
          </w:rPr>
          <w:t>Evaluation leadership and promotion</w:t>
        </w:r>
        <w:r w:rsidR="00D46833">
          <w:rPr>
            <w:webHidden/>
          </w:rPr>
          <w:tab/>
        </w:r>
        <w:r w:rsidR="00D46833">
          <w:rPr>
            <w:webHidden/>
          </w:rPr>
          <w:fldChar w:fldCharType="begin"/>
        </w:r>
        <w:r w:rsidR="00D46833">
          <w:rPr>
            <w:webHidden/>
          </w:rPr>
          <w:instrText xml:space="preserve"> PAGEREF _Toc175056208 \h </w:instrText>
        </w:r>
        <w:r w:rsidR="00D46833">
          <w:rPr>
            <w:webHidden/>
          </w:rPr>
        </w:r>
        <w:r w:rsidR="00D46833">
          <w:rPr>
            <w:webHidden/>
          </w:rPr>
          <w:fldChar w:fldCharType="separate"/>
        </w:r>
        <w:r w:rsidR="00D46833">
          <w:rPr>
            <w:webHidden/>
          </w:rPr>
          <w:t>19</w:t>
        </w:r>
        <w:r w:rsidR="00D46833">
          <w:rPr>
            <w:webHidden/>
          </w:rPr>
          <w:fldChar w:fldCharType="end"/>
        </w:r>
      </w:hyperlink>
    </w:p>
    <w:p w14:paraId="02BA7A46" w14:textId="268227E4" w:rsidR="00D46833" w:rsidRDefault="002F40A1">
      <w:pPr>
        <w:pStyle w:val="TOC3"/>
        <w:rPr>
          <w:rFonts w:asciiTheme="minorHAnsi" w:eastAsiaTheme="minorEastAsia" w:hAnsiTheme="minorHAnsi" w:cstheme="minorBidi"/>
          <w:kern w:val="2"/>
          <w:szCs w:val="22"/>
          <w14:ligatures w14:val="standardContextual"/>
        </w:rPr>
      </w:pPr>
      <w:hyperlink w:anchor="_Toc175056209" w:history="1">
        <w:r w:rsidR="00D46833" w:rsidRPr="00785D35">
          <w:rPr>
            <w:rStyle w:val="Hyperlink"/>
          </w:rPr>
          <w:t>Capacity Building</w:t>
        </w:r>
        <w:r w:rsidR="00D46833">
          <w:rPr>
            <w:webHidden/>
          </w:rPr>
          <w:tab/>
        </w:r>
        <w:r w:rsidR="00D46833">
          <w:rPr>
            <w:webHidden/>
          </w:rPr>
          <w:fldChar w:fldCharType="begin"/>
        </w:r>
        <w:r w:rsidR="00D46833">
          <w:rPr>
            <w:webHidden/>
          </w:rPr>
          <w:instrText xml:space="preserve"> PAGEREF _Toc175056209 \h </w:instrText>
        </w:r>
        <w:r w:rsidR="00D46833">
          <w:rPr>
            <w:webHidden/>
          </w:rPr>
        </w:r>
        <w:r w:rsidR="00D46833">
          <w:rPr>
            <w:webHidden/>
          </w:rPr>
          <w:fldChar w:fldCharType="separate"/>
        </w:r>
        <w:r w:rsidR="00D46833">
          <w:rPr>
            <w:webHidden/>
          </w:rPr>
          <w:t>19</w:t>
        </w:r>
        <w:r w:rsidR="00D46833">
          <w:rPr>
            <w:webHidden/>
          </w:rPr>
          <w:fldChar w:fldCharType="end"/>
        </w:r>
      </w:hyperlink>
    </w:p>
    <w:p w14:paraId="46F16EE6" w14:textId="260ABA64" w:rsidR="00D46833" w:rsidRDefault="002F40A1">
      <w:pPr>
        <w:pStyle w:val="TOC2"/>
        <w:rPr>
          <w:rFonts w:asciiTheme="minorHAnsi" w:eastAsiaTheme="minorEastAsia" w:hAnsiTheme="minorHAnsi" w:cstheme="minorBidi"/>
          <w:color w:val="auto"/>
          <w:kern w:val="2"/>
          <w:szCs w:val="22"/>
          <w14:ligatures w14:val="standardContextual"/>
        </w:rPr>
      </w:pPr>
      <w:hyperlink w:anchor="_Toc175056210" w:history="1">
        <w:r w:rsidR="00D46833" w:rsidRPr="00785D35">
          <w:rPr>
            <w:rStyle w:val="Hyperlink"/>
            <w:rFonts w:cs="Calibri"/>
          </w:rPr>
          <w:t>How to access our services</w:t>
        </w:r>
        <w:r w:rsidR="00D46833">
          <w:rPr>
            <w:webHidden/>
          </w:rPr>
          <w:tab/>
        </w:r>
        <w:r w:rsidR="00D46833">
          <w:rPr>
            <w:webHidden/>
          </w:rPr>
          <w:fldChar w:fldCharType="begin"/>
        </w:r>
        <w:r w:rsidR="00D46833">
          <w:rPr>
            <w:webHidden/>
          </w:rPr>
          <w:instrText xml:space="preserve"> PAGEREF _Toc175056210 \h </w:instrText>
        </w:r>
        <w:r w:rsidR="00D46833">
          <w:rPr>
            <w:webHidden/>
          </w:rPr>
        </w:r>
        <w:r w:rsidR="00D46833">
          <w:rPr>
            <w:webHidden/>
          </w:rPr>
          <w:fldChar w:fldCharType="separate"/>
        </w:r>
        <w:r w:rsidR="00D46833">
          <w:rPr>
            <w:webHidden/>
          </w:rPr>
          <w:t>20</w:t>
        </w:r>
        <w:r w:rsidR="00D46833">
          <w:rPr>
            <w:webHidden/>
          </w:rPr>
          <w:fldChar w:fldCharType="end"/>
        </w:r>
      </w:hyperlink>
    </w:p>
    <w:p w14:paraId="3738527C" w14:textId="6488D6E6" w:rsidR="00D46833" w:rsidRDefault="002F40A1">
      <w:pPr>
        <w:pStyle w:val="TOC1"/>
        <w:rPr>
          <w:rFonts w:asciiTheme="minorHAnsi" w:eastAsiaTheme="minorEastAsia" w:hAnsiTheme="minorHAnsi" w:cstheme="minorBidi"/>
          <w:b w:val="0"/>
          <w:color w:val="auto"/>
          <w:kern w:val="2"/>
          <w14:ligatures w14:val="standardContextual"/>
        </w:rPr>
      </w:pPr>
      <w:hyperlink w:anchor="_Toc175056211" w:history="1">
        <w:r w:rsidR="00D46833" w:rsidRPr="00785D35">
          <w:rPr>
            <w:rStyle w:val="Hyperlink"/>
          </w:rPr>
          <w:t>Appendix C: Outputs &amp; targets</w:t>
        </w:r>
        <w:r w:rsidR="00D46833">
          <w:rPr>
            <w:webHidden/>
          </w:rPr>
          <w:tab/>
        </w:r>
        <w:r w:rsidR="00D46833">
          <w:rPr>
            <w:webHidden/>
          </w:rPr>
          <w:fldChar w:fldCharType="begin"/>
        </w:r>
        <w:r w:rsidR="00D46833">
          <w:rPr>
            <w:webHidden/>
          </w:rPr>
          <w:instrText xml:space="preserve"> PAGEREF _Toc175056211 \h </w:instrText>
        </w:r>
        <w:r w:rsidR="00D46833">
          <w:rPr>
            <w:webHidden/>
          </w:rPr>
        </w:r>
        <w:r w:rsidR="00D46833">
          <w:rPr>
            <w:webHidden/>
          </w:rPr>
          <w:fldChar w:fldCharType="separate"/>
        </w:r>
        <w:r w:rsidR="00D46833">
          <w:rPr>
            <w:webHidden/>
          </w:rPr>
          <w:t>21</w:t>
        </w:r>
        <w:r w:rsidR="00D46833">
          <w:rPr>
            <w:webHidden/>
          </w:rPr>
          <w:fldChar w:fldCharType="end"/>
        </w:r>
      </w:hyperlink>
    </w:p>
    <w:p w14:paraId="4C6E5BDA" w14:textId="06C1433B" w:rsidR="00B775EE" w:rsidRPr="00DE6B7F" w:rsidRDefault="000E0B74" w:rsidP="0056582C">
      <w:pPr>
        <w:pStyle w:val="SingleParagraph"/>
        <w:ind w:right="-2"/>
        <w:sectPr w:rsidR="00B775EE" w:rsidRPr="00DE6B7F" w:rsidSect="000D5ACF">
          <w:headerReference w:type="even" r:id="rId15"/>
          <w:headerReference w:type="default" r:id="rId16"/>
          <w:footerReference w:type="even" r:id="rId17"/>
          <w:footerReference w:type="default" r:id="rId18"/>
          <w:headerReference w:type="first" r:id="rId19"/>
          <w:footerReference w:type="first" r:id="rId20"/>
          <w:pgSz w:w="11906" w:h="16838" w:code="9"/>
          <w:pgMar w:top="1843" w:right="1418" w:bottom="1418" w:left="1418" w:header="709" w:footer="709" w:gutter="0"/>
          <w:pgNumType w:fmt="lowerRoman" w:start="3"/>
          <w:cols w:space="708"/>
          <w:titlePg/>
          <w:docGrid w:linePitch="360"/>
        </w:sectPr>
      </w:pPr>
      <w:r>
        <w:fldChar w:fldCharType="end"/>
      </w:r>
      <w:bookmarkStart w:id="0" w:name="_Toc432067103"/>
      <w:bookmarkStart w:id="1" w:name="_Toc452635030"/>
    </w:p>
    <w:p w14:paraId="40C69143" w14:textId="3180FE6A" w:rsidR="00475085" w:rsidRPr="00F045E0" w:rsidRDefault="00475085" w:rsidP="00F045E0">
      <w:pPr>
        <w:pStyle w:val="Heading1"/>
      </w:pPr>
      <w:bookmarkStart w:id="2" w:name="_Toc175056181"/>
      <w:r w:rsidRPr="00F045E0">
        <w:t>Foreword</w:t>
      </w:r>
      <w:bookmarkEnd w:id="0"/>
      <w:bookmarkEnd w:id="1"/>
      <w:bookmarkEnd w:id="2"/>
    </w:p>
    <w:p w14:paraId="63358230" w14:textId="43A6689B" w:rsidR="005D1EC8" w:rsidRDefault="005D1EC8">
      <w:pPr>
        <w:spacing w:before="0" w:after="160" w:line="259" w:lineRule="auto"/>
      </w:pPr>
      <w:bookmarkStart w:id="3" w:name="_Toc432067104"/>
      <w:bookmarkStart w:id="4" w:name="_Toc452635031"/>
    </w:p>
    <w:p w14:paraId="3D431979" w14:textId="7E4C5527" w:rsidR="007B44B8" w:rsidRDefault="007B44B8" w:rsidP="007B44B8">
      <w:r>
        <w:t xml:space="preserve">Evidence-informed policy can help </w:t>
      </w:r>
      <w:r w:rsidR="00DB7394">
        <w:t>drive better</w:t>
      </w:r>
      <w:r>
        <w:t xml:space="preserve"> outcomes for individuals, communities, and society.</w:t>
      </w:r>
      <w:r w:rsidRPr="007B44B8">
        <w:t xml:space="preserve"> </w:t>
      </w:r>
      <w:r>
        <w:t xml:space="preserve">In the face of major </w:t>
      </w:r>
      <w:r w:rsidR="000E70FE">
        <w:t>structural</w:t>
      </w:r>
      <w:r>
        <w:t xml:space="preserve"> challenges, evidence-informed policy making </w:t>
      </w:r>
      <w:r w:rsidR="00E40A80">
        <w:t>is</w:t>
      </w:r>
      <w:r>
        <w:t xml:space="preserve"> critical to maintaining trust in government and our democratic</w:t>
      </w:r>
      <w:r w:rsidR="000A1189">
        <w:t xml:space="preserve"> capitalist</w:t>
      </w:r>
      <w:r>
        <w:t xml:space="preserve"> institutions. </w:t>
      </w:r>
    </w:p>
    <w:p w14:paraId="00FB6D17" w14:textId="6BBED850" w:rsidR="007B44B8" w:rsidRDefault="007B44B8" w:rsidP="007B44B8">
      <w:r>
        <w:t>Evaluation is a critical input</w:t>
      </w:r>
      <w:r w:rsidR="004B3CB6">
        <w:t xml:space="preserve"> to evidence-informed policy</w:t>
      </w:r>
      <w:r>
        <w:t xml:space="preserve">. Understanding what works, why and for whom can help enhance the effectiveness, efficiency, and equity of </w:t>
      </w:r>
      <w:r w:rsidR="008C7208">
        <w:t>government</w:t>
      </w:r>
      <w:r>
        <w:t xml:space="preserve"> interventions. </w:t>
      </w:r>
    </w:p>
    <w:p w14:paraId="0FDA54AC" w14:textId="0D4DF751" w:rsidR="008C7208" w:rsidRDefault="008C7208" w:rsidP="008C7208">
      <w:pPr>
        <w:ind w:right="-188"/>
        <w:rPr>
          <w:szCs w:val="22"/>
        </w:rPr>
      </w:pPr>
      <w:r>
        <w:rPr>
          <w:szCs w:val="22"/>
        </w:rPr>
        <w:t>The Australian Centre of Evaluation (ACE) in Treasury was founded to help ensure evaluation evidence is at the heart of government decision making</w:t>
      </w:r>
      <w:r w:rsidR="00E40A80">
        <w:rPr>
          <w:szCs w:val="22"/>
        </w:rPr>
        <w:t xml:space="preserve"> </w:t>
      </w:r>
      <w:r w:rsidR="000E70FE">
        <w:rPr>
          <w:szCs w:val="22"/>
        </w:rPr>
        <w:t>- t</w:t>
      </w:r>
      <w:r>
        <w:rPr>
          <w:szCs w:val="22"/>
        </w:rPr>
        <w:t xml:space="preserve">o help embed a </w:t>
      </w:r>
      <w:r w:rsidRPr="005E2B36">
        <w:rPr>
          <w:szCs w:val="22"/>
        </w:rPr>
        <w:t xml:space="preserve">strong </w:t>
      </w:r>
      <w:r>
        <w:rPr>
          <w:szCs w:val="22"/>
        </w:rPr>
        <w:t xml:space="preserve">culture of continual learning across the Australian Public Service. </w:t>
      </w:r>
    </w:p>
    <w:p w14:paraId="086A94BB" w14:textId="43BFF78B" w:rsidR="008C7208" w:rsidRDefault="008C7208" w:rsidP="008C7208">
      <w:pPr>
        <w:rPr>
          <w:szCs w:val="22"/>
        </w:rPr>
      </w:pPr>
      <w:r>
        <w:rPr>
          <w:szCs w:val="22"/>
        </w:rPr>
        <w:t xml:space="preserve">The ACE provides support across government to enhance the quality and depth of evidence available to support decision-making. </w:t>
      </w:r>
      <w:r w:rsidR="000E70FE">
        <w:rPr>
          <w:szCs w:val="22"/>
        </w:rPr>
        <w:t>It</w:t>
      </w:r>
      <w:r>
        <w:rPr>
          <w:szCs w:val="22"/>
        </w:rPr>
        <w:t xml:space="preserve"> aims to support this by helping foster</w:t>
      </w:r>
      <w:r w:rsidR="004B3CB6">
        <w:rPr>
          <w:szCs w:val="22"/>
        </w:rPr>
        <w:t xml:space="preserve"> a public service with</w:t>
      </w:r>
      <w:r>
        <w:rPr>
          <w:szCs w:val="22"/>
        </w:rPr>
        <w:t>:</w:t>
      </w:r>
    </w:p>
    <w:p w14:paraId="42E64E42" w14:textId="77777777" w:rsidR="004B3CB6" w:rsidRDefault="004B3CB6" w:rsidP="004B3CB6">
      <w:pPr>
        <w:pStyle w:val="Bullet"/>
      </w:pPr>
      <w:r w:rsidRPr="000E70FE">
        <w:rPr>
          <w:i/>
          <w:iCs/>
        </w:rPr>
        <w:t>people</w:t>
      </w:r>
      <w:r>
        <w:t xml:space="preserve"> who are curious </w:t>
      </w:r>
    </w:p>
    <w:p w14:paraId="36C7AF71" w14:textId="77777777" w:rsidR="004B3CB6" w:rsidRDefault="004B3CB6" w:rsidP="004B3CB6">
      <w:pPr>
        <w:pStyle w:val="Bullet"/>
      </w:pPr>
      <w:r w:rsidRPr="000E70FE">
        <w:rPr>
          <w:i/>
          <w:iCs/>
        </w:rPr>
        <w:t>organisations</w:t>
      </w:r>
      <w:r>
        <w:t xml:space="preserve"> that value experimentation and learning, and </w:t>
      </w:r>
    </w:p>
    <w:p w14:paraId="1926D1E2" w14:textId="7AA898CD" w:rsidR="0044752B" w:rsidRPr="0044752B" w:rsidRDefault="004B3CB6" w:rsidP="0044752B">
      <w:pPr>
        <w:pStyle w:val="Bullet"/>
      </w:pPr>
      <w:r w:rsidRPr="000E70FE">
        <w:rPr>
          <w:i/>
          <w:iCs/>
        </w:rPr>
        <w:t>support systems</w:t>
      </w:r>
      <w:r>
        <w:t xml:space="preserve"> that ensure evaluation, monitoring, and expert analysis</w:t>
      </w:r>
      <w:r w:rsidR="0044752B">
        <w:t xml:space="preserve"> are embedded into </w:t>
      </w:r>
      <w:r w:rsidR="004E32F3">
        <w:t>everyday</w:t>
      </w:r>
      <w:r w:rsidR="0044752B">
        <w:t xml:space="preserve"> practice. </w:t>
      </w:r>
    </w:p>
    <w:p w14:paraId="58B1ACD4" w14:textId="006F4C8D" w:rsidR="0044752B" w:rsidRDefault="00127F92" w:rsidP="0044752B">
      <w:pPr>
        <w:ind w:right="-188"/>
        <w:rPr>
          <w:szCs w:val="22"/>
        </w:rPr>
      </w:pPr>
      <w:r>
        <w:t xml:space="preserve">The Australian Centre for Evaluation strategy sets out an ambitious agenda for </w:t>
      </w:r>
      <w:r w:rsidR="0044752B">
        <w:t xml:space="preserve">improving the </w:t>
      </w:r>
      <w:r w:rsidR="0044752B">
        <w:rPr>
          <w:szCs w:val="22"/>
        </w:rPr>
        <w:t>quality and depth of evidence and its use by</w:t>
      </w:r>
      <w:r w:rsidR="005328BD">
        <w:rPr>
          <w:szCs w:val="22"/>
        </w:rPr>
        <w:t xml:space="preserve">: providing leadership across the APS; </w:t>
      </w:r>
      <w:r w:rsidR="0044752B">
        <w:rPr>
          <w:szCs w:val="22"/>
        </w:rPr>
        <w:t>working with partners to deliver impactful evaluations</w:t>
      </w:r>
      <w:r w:rsidR="005328BD">
        <w:rPr>
          <w:szCs w:val="22"/>
        </w:rPr>
        <w:t>;</w:t>
      </w:r>
      <w:r w:rsidR="0044752B">
        <w:rPr>
          <w:szCs w:val="22"/>
        </w:rPr>
        <w:t xml:space="preserve"> supporting agencies wit</w:t>
      </w:r>
      <w:r w:rsidR="005328BD">
        <w:rPr>
          <w:szCs w:val="22"/>
        </w:rPr>
        <w:t>h</w:t>
      </w:r>
      <w:r w:rsidR="0044752B">
        <w:rPr>
          <w:szCs w:val="22"/>
        </w:rPr>
        <w:t xml:space="preserve"> evaluation planning and use</w:t>
      </w:r>
      <w:r w:rsidR="000E70FE">
        <w:rPr>
          <w:szCs w:val="22"/>
        </w:rPr>
        <w:t>;</w:t>
      </w:r>
      <w:r w:rsidR="0044752B">
        <w:rPr>
          <w:szCs w:val="22"/>
        </w:rPr>
        <w:t xml:space="preserve"> and </w:t>
      </w:r>
      <w:r w:rsidR="005328BD">
        <w:rPr>
          <w:szCs w:val="22"/>
        </w:rPr>
        <w:t>building</w:t>
      </w:r>
      <w:r w:rsidR="0044752B">
        <w:rPr>
          <w:szCs w:val="22"/>
        </w:rPr>
        <w:t xml:space="preserve"> </w:t>
      </w:r>
      <w:r w:rsidR="005328BD">
        <w:rPr>
          <w:szCs w:val="22"/>
        </w:rPr>
        <w:t>evaluation capability</w:t>
      </w:r>
      <w:r w:rsidR="0044752B">
        <w:rPr>
          <w:szCs w:val="22"/>
        </w:rPr>
        <w:t xml:space="preserve"> acro</w:t>
      </w:r>
      <w:r w:rsidR="005328BD">
        <w:rPr>
          <w:szCs w:val="22"/>
        </w:rPr>
        <w:t>ss</w:t>
      </w:r>
      <w:r w:rsidR="0044752B">
        <w:rPr>
          <w:szCs w:val="22"/>
        </w:rPr>
        <w:t xml:space="preserve"> the service. </w:t>
      </w:r>
    </w:p>
    <w:p w14:paraId="079F05BC" w14:textId="740FFAF2" w:rsidR="0044752B" w:rsidRDefault="005328BD" w:rsidP="0044752B">
      <w:pPr>
        <w:ind w:right="-188"/>
        <w:rPr>
          <w:szCs w:val="22"/>
        </w:rPr>
      </w:pPr>
      <w:r>
        <w:t xml:space="preserve">In achieving this agenda, the ACE is supported by </w:t>
      </w:r>
      <w:r w:rsidR="005124AA">
        <w:t>the</w:t>
      </w:r>
      <w:r>
        <w:t xml:space="preserve"> </w:t>
      </w:r>
      <w:r w:rsidR="00127F92">
        <w:t xml:space="preserve">vibrant </w:t>
      </w:r>
      <w:r w:rsidR="005124AA">
        <w:t>Commonwealth E</w:t>
      </w:r>
      <w:r w:rsidR="00127F92">
        <w:t xml:space="preserve">valuation </w:t>
      </w:r>
      <w:r w:rsidR="005124AA">
        <w:t>C</w:t>
      </w:r>
      <w:r w:rsidR="00127F92">
        <w:t xml:space="preserve">ommunity of </w:t>
      </w:r>
      <w:r w:rsidR="005124AA">
        <w:t>P</w:t>
      </w:r>
      <w:r w:rsidR="00127F92">
        <w:t>ractice</w:t>
      </w:r>
      <w:r>
        <w:t xml:space="preserve">. </w:t>
      </w:r>
      <w:r w:rsidR="00127F92">
        <w:t xml:space="preserve">I encourage </w:t>
      </w:r>
      <w:r w:rsidR="005124AA">
        <w:t xml:space="preserve">all </w:t>
      </w:r>
      <w:r w:rsidR="00127F92">
        <w:t>staff across the Australian Public Service to familiarise yourself with th</w:t>
      </w:r>
      <w:r>
        <w:t>is</w:t>
      </w:r>
      <w:r w:rsidR="00127F92">
        <w:t xml:space="preserve"> strategy and take the opportunity to contribute to its goals by embracing evaluation in </w:t>
      </w:r>
      <w:r>
        <w:t xml:space="preserve">all </w:t>
      </w:r>
      <w:r w:rsidR="00127F92">
        <w:t>the work you do.</w:t>
      </w:r>
    </w:p>
    <w:p w14:paraId="4E598E13" w14:textId="61AA2291" w:rsidR="0044752B" w:rsidRDefault="00127F92" w:rsidP="0044752B">
      <w:pPr>
        <w:ind w:right="-188"/>
        <w:rPr>
          <w:szCs w:val="22"/>
        </w:rPr>
      </w:pPr>
      <w:r>
        <w:t>A strong evidence base will enable us to provide Government with the best possible advice for improving outcomes for all Australians.</w:t>
      </w:r>
      <w:r w:rsidRPr="00C0026D" w:rsidDel="004B3CB6">
        <w:t xml:space="preserve"> </w:t>
      </w:r>
    </w:p>
    <w:p w14:paraId="420250A4" w14:textId="7D5A55D5" w:rsidR="00267B0E" w:rsidRDefault="00127F92" w:rsidP="00267B0E">
      <w:pPr>
        <w:spacing w:before="0" w:after="160" w:line="259" w:lineRule="auto"/>
      </w:pPr>
      <w:r>
        <w:rPr>
          <w:b/>
          <w:bCs/>
        </w:rPr>
        <w:br/>
      </w:r>
      <w:r w:rsidR="00324CF6">
        <w:rPr>
          <w:b/>
          <w:bCs/>
        </w:rPr>
        <w:br/>
      </w:r>
      <w:r w:rsidR="00324CF6">
        <w:rPr>
          <w:b/>
          <w:bCs/>
        </w:rPr>
        <w:br/>
      </w:r>
      <w:r w:rsidR="00324CF6">
        <w:rPr>
          <w:b/>
          <w:bCs/>
        </w:rPr>
        <w:br/>
      </w:r>
      <w:r w:rsidR="00324CF6">
        <w:rPr>
          <w:b/>
          <w:bCs/>
        </w:rPr>
        <w:br/>
      </w:r>
      <w:r w:rsidR="0028533E">
        <w:rPr>
          <w:b/>
          <w:bCs/>
        </w:rPr>
        <w:br/>
      </w:r>
      <w:r w:rsidR="00267B0E" w:rsidRPr="00480A3C">
        <w:rPr>
          <w:b/>
          <w:bCs/>
        </w:rPr>
        <w:t xml:space="preserve">Dr Steven Kennedy PSM </w:t>
      </w:r>
      <w:r w:rsidR="00267B0E" w:rsidRPr="00480A3C">
        <w:rPr>
          <w:b/>
          <w:bCs/>
        </w:rPr>
        <w:br/>
      </w:r>
      <w:r w:rsidR="00267B0E">
        <w:t>Secretary</w:t>
      </w:r>
      <w:r w:rsidR="000A1189">
        <w:br/>
      </w:r>
      <w:r w:rsidR="000A1189">
        <w:br/>
        <w:t>September 2024</w:t>
      </w:r>
    </w:p>
    <w:p w14:paraId="2377E324" w14:textId="77777777" w:rsidR="008C7208" w:rsidRDefault="008C7208">
      <w:pPr>
        <w:spacing w:before="0" w:after="160" w:line="259" w:lineRule="auto"/>
        <w:rPr>
          <w:rFonts w:ascii="Calibri" w:hAnsi="Calibri" w:cs="Arial"/>
          <w:b/>
          <w:color w:val="5D779D" w:themeColor="accent3"/>
          <w:kern w:val="32"/>
          <w:sz w:val="44"/>
          <w:szCs w:val="36"/>
        </w:rPr>
      </w:pPr>
      <w:bookmarkStart w:id="5" w:name="_Toc175056182"/>
      <w:bookmarkEnd w:id="3"/>
      <w:bookmarkEnd w:id="4"/>
      <w:r>
        <w:br w:type="page"/>
      </w:r>
    </w:p>
    <w:p w14:paraId="11716B32" w14:textId="5E63531A" w:rsidR="006C5B73" w:rsidRDefault="00B05BE0" w:rsidP="006C5B73">
      <w:pPr>
        <w:pStyle w:val="Heading1"/>
      </w:pPr>
      <w:r>
        <w:t>Introduction</w:t>
      </w:r>
      <w:bookmarkEnd w:id="5"/>
    </w:p>
    <w:p w14:paraId="03237E1B" w14:textId="6EE44468" w:rsidR="00114DB4" w:rsidRDefault="00114DB4" w:rsidP="00114DB4">
      <w:r>
        <w:t xml:space="preserve">High-quality evaluation </w:t>
      </w:r>
      <w:r w:rsidR="005124AA">
        <w:t xml:space="preserve">helps ensure government actions deliver better outcomes for Australians. Evaluation is </w:t>
      </w:r>
      <w:r>
        <w:t xml:space="preserve">essential for generating actionable evidence that informs government policies and decisions, promoting a culture of learning, innovation, and continuous improvement. </w:t>
      </w:r>
      <w:r w:rsidR="00DD281B">
        <w:t>It is also central to Commonwealth entities and companies demonstrating value for money and meeting the requirements of the Public Governance, Performance and Accountability Act 2013 (PGPA Act).</w:t>
      </w:r>
    </w:p>
    <w:p w14:paraId="451417EF" w14:textId="10FF141B" w:rsidR="00C95B9C" w:rsidRDefault="004A6E05" w:rsidP="00AC07F4">
      <w:pPr>
        <w:ind w:right="-426"/>
      </w:pPr>
      <w:r w:rsidRPr="001575D8">
        <w:t>The ACE was established in the Australian Treasury in July 2023</w:t>
      </w:r>
      <w:r w:rsidR="00AC07F4">
        <w:t xml:space="preserve"> and became fully operational in early 2024. </w:t>
      </w:r>
    </w:p>
    <w:p w14:paraId="44F2B56C" w14:textId="445E50E4" w:rsidR="004A6E05" w:rsidRPr="001575D8" w:rsidRDefault="006F299F" w:rsidP="00AC07F4">
      <w:pPr>
        <w:ind w:right="-426"/>
      </w:pPr>
      <w:r>
        <w:t xml:space="preserve">The ACE’s </w:t>
      </w:r>
      <w:r w:rsidR="00AC07F4">
        <w:t>mission is</w:t>
      </w:r>
      <w:r w:rsidR="004A6E05" w:rsidRPr="001575D8">
        <w:t xml:space="preserve"> to help put evaluation evidence at the heart of policy design and decision-making. We do this by:</w:t>
      </w:r>
    </w:p>
    <w:p w14:paraId="2E26D098" w14:textId="1947B830" w:rsidR="004A6E05" w:rsidRPr="001575D8" w:rsidRDefault="004A6E05" w:rsidP="004A6E05">
      <w:pPr>
        <w:pStyle w:val="Bullet"/>
        <w:rPr>
          <w:rFonts w:eastAsiaTheme="minorEastAsia"/>
        </w:rPr>
      </w:pPr>
      <w:r w:rsidRPr="001575D8">
        <w:rPr>
          <w:rFonts w:eastAsiaTheme="minorEastAsia"/>
        </w:rPr>
        <w:t>improv</w:t>
      </w:r>
      <w:r w:rsidR="00D7736E">
        <w:rPr>
          <w:rFonts w:eastAsiaTheme="minorEastAsia"/>
        </w:rPr>
        <w:t>ing</w:t>
      </w:r>
      <w:r w:rsidRPr="001575D8">
        <w:rPr>
          <w:rFonts w:eastAsiaTheme="minorEastAsia"/>
        </w:rPr>
        <w:t xml:space="preserve"> the volume, quality, and use of evaluation evidence</w:t>
      </w:r>
    </w:p>
    <w:p w14:paraId="221D2153" w14:textId="5CDED36C" w:rsidR="004A6E05" w:rsidRPr="001575D8" w:rsidRDefault="004A6E05" w:rsidP="004A6E05">
      <w:pPr>
        <w:pStyle w:val="Bullet"/>
        <w:rPr>
          <w:rFonts w:eastAsiaTheme="minorEastAsia"/>
        </w:rPr>
      </w:pPr>
      <w:r w:rsidRPr="001575D8">
        <w:rPr>
          <w:rFonts w:eastAsiaTheme="minorEastAsia"/>
        </w:rPr>
        <w:t>embed</w:t>
      </w:r>
      <w:r w:rsidR="00D7736E">
        <w:rPr>
          <w:rFonts w:eastAsiaTheme="minorEastAsia"/>
        </w:rPr>
        <w:t>ding</w:t>
      </w:r>
      <w:r w:rsidRPr="001575D8">
        <w:rPr>
          <w:rFonts w:eastAsiaTheme="minorEastAsia"/>
        </w:rPr>
        <w:t xml:space="preserve"> a culture of evaluation across the Australian government. </w:t>
      </w:r>
    </w:p>
    <w:p w14:paraId="3049FCDF" w14:textId="5A255831" w:rsidR="00160F81" w:rsidRDefault="00B650B1" w:rsidP="00A1574B">
      <w:r>
        <w:t>O</w:t>
      </w:r>
      <w:r w:rsidR="002F7E7F">
        <w:t xml:space="preserve">ur strategy is </w:t>
      </w:r>
      <w:r w:rsidR="005270AD">
        <w:t xml:space="preserve">organised </w:t>
      </w:r>
      <w:r w:rsidR="005735CD">
        <w:t>around four</w:t>
      </w:r>
      <w:r w:rsidR="00530F86">
        <w:t xml:space="preserve"> interconnected</w:t>
      </w:r>
      <w:r w:rsidR="005735CD">
        <w:t xml:space="preserve"> streams</w:t>
      </w:r>
      <w:r w:rsidR="005270AD">
        <w:t xml:space="preserve"> of work</w:t>
      </w:r>
      <w:r w:rsidR="005735CD">
        <w:t xml:space="preserve">: </w:t>
      </w:r>
    </w:p>
    <w:p w14:paraId="2031A77C" w14:textId="77777777" w:rsidR="00234944" w:rsidRPr="00781B33" w:rsidRDefault="005735CD" w:rsidP="00234944">
      <w:pPr>
        <w:pStyle w:val="Bullet"/>
        <w:numPr>
          <w:ilvl w:val="0"/>
          <w:numId w:val="49"/>
        </w:numPr>
      </w:pPr>
      <w:r>
        <w:t>Evaluation Leadership and Promotion</w:t>
      </w:r>
    </w:p>
    <w:p w14:paraId="3445598B" w14:textId="77777777" w:rsidR="00234944" w:rsidRPr="00781B33" w:rsidRDefault="005735CD" w:rsidP="00234944">
      <w:pPr>
        <w:pStyle w:val="Bullet"/>
        <w:numPr>
          <w:ilvl w:val="0"/>
          <w:numId w:val="49"/>
        </w:numPr>
      </w:pPr>
      <w:r>
        <w:t>Impact Evaluation Delivery and Advice</w:t>
      </w:r>
    </w:p>
    <w:p w14:paraId="09F747CF" w14:textId="77777777" w:rsidR="00234944" w:rsidRPr="00781B33" w:rsidRDefault="005735CD" w:rsidP="00234944">
      <w:pPr>
        <w:pStyle w:val="Bullet"/>
        <w:numPr>
          <w:ilvl w:val="0"/>
          <w:numId w:val="49"/>
        </w:numPr>
      </w:pPr>
      <w:r>
        <w:t xml:space="preserve">Evaluation Planning and Use, and </w:t>
      </w:r>
    </w:p>
    <w:p w14:paraId="1E60D36C" w14:textId="77777777" w:rsidR="00234944" w:rsidRPr="00781B33" w:rsidRDefault="005735CD" w:rsidP="00234944">
      <w:pPr>
        <w:pStyle w:val="Bullet"/>
        <w:numPr>
          <w:ilvl w:val="0"/>
          <w:numId w:val="49"/>
        </w:numPr>
      </w:pPr>
      <w:r>
        <w:t xml:space="preserve">Evaluation Capability Building. </w:t>
      </w:r>
    </w:p>
    <w:p w14:paraId="15253D09" w14:textId="1210AF4F" w:rsidR="00234944" w:rsidRPr="001575D8" w:rsidRDefault="008F14D8" w:rsidP="00234944">
      <w:pPr>
        <w:ind w:right="-426"/>
      </w:pPr>
      <w:r>
        <w:t>In delivering our strategy, we</w:t>
      </w:r>
      <w:r w:rsidR="00EE378E">
        <w:t xml:space="preserve"> collaborate</w:t>
      </w:r>
      <w:r>
        <w:t xml:space="preserve"> </w:t>
      </w:r>
      <w:r w:rsidR="00EE378E">
        <w:t xml:space="preserve">with a diverse array of </w:t>
      </w:r>
      <w:r w:rsidR="00A25A53">
        <w:t>partners</w:t>
      </w:r>
      <w:r w:rsidR="00EE378E">
        <w:t xml:space="preserve">, including </w:t>
      </w:r>
      <w:r w:rsidR="00F70121">
        <w:t xml:space="preserve">evaluation </w:t>
      </w:r>
      <w:r w:rsidR="00EE378E">
        <w:t>units</w:t>
      </w:r>
      <w:r w:rsidR="00077F4F">
        <w:t xml:space="preserve"> from across the Australian </w:t>
      </w:r>
      <w:r w:rsidR="00CE2AAC">
        <w:t>Government</w:t>
      </w:r>
      <w:r w:rsidR="00EE378E">
        <w:t>, central agencies, state and territory counterparts, international partners, and non-government organizations</w:t>
      </w:r>
      <w:r w:rsidR="00234944">
        <w:t>.</w:t>
      </w:r>
    </w:p>
    <w:p w14:paraId="6AA30990" w14:textId="6DB07550" w:rsidR="00A1574B" w:rsidRPr="001575D8" w:rsidRDefault="00EE378E" w:rsidP="00234944">
      <w:pPr>
        <w:pStyle w:val="Bullet"/>
        <w:numPr>
          <w:ilvl w:val="0"/>
          <w:numId w:val="0"/>
        </w:numPr>
      </w:pPr>
      <w:r>
        <w:t>We offer</w:t>
      </w:r>
      <w:r w:rsidR="00A1574B" w:rsidRPr="001575D8">
        <w:t xml:space="preserve"> a range of services to Commonwealth entities </w:t>
      </w:r>
      <w:r w:rsidR="00077F4F">
        <w:t xml:space="preserve">and companies </w:t>
      </w:r>
      <w:r w:rsidR="00A1574B" w:rsidRPr="001575D8">
        <w:t>includ</w:t>
      </w:r>
      <w:r w:rsidR="00C62884">
        <w:t>ing</w:t>
      </w:r>
      <w:r w:rsidR="00A1574B" w:rsidRPr="001575D8">
        <w:t xml:space="preserve">: </w:t>
      </w:r>
    </w:p>
    <w:p w14:paraId="0BB2D7CC" w14:textId="62F97805" w:rsidR="00A1574B" w:rsidRPr="001575D8" w:rsidRDefault="002D3FC8" w:rsidP="00A1574B">
      <w:pPr>
        <w:pStyle w:val="Bullet"/>
      </w:pPr>
      <w:r>
        <w:t>p</w:t>
      </w:r>
      <w:r w:rsidR="00A1574B" w:rsidRPr="001575D8">
        <w:t>rovision of guidance and support</w:t>
      </w:r>
      <w:r>
        <w:t xml:space="preserve"> to </w:t>
      </w:r>
      <w:r w:rsidR="00947916">
        <w:t>embed</w:t>
      </w:r>
      <w:r>
        <w:t xml:space="preserve"> the Commonwealth Evaluation Policy</w:t>
      </w:r>
      <w:r w:rsidR="00A1574B" w:rsidRPr="001575D8">
        <w:t xml:space="preserve">, including </w:t>
      </w:r>
      <w:r w:rsidR="00582E89">
        <w:t xml:space="preserve">through </w:t>
      </w:r>
      <w:r>
        <w:t xml:space="preserve">a maturing set of resources on </w:t>
      </w:r>
      <w:r w:rsidR="00A1574B" w:rsidRPr="001575D8">
        <w:t xml:space="preserve">the Commonwealth Evaluation Toolkit </w:t>
      </w:r>
    </w:p>
    <w:p w14:paraId="670D5199" w14:textId="77777777" w:rsidR="00A1574B" w:rsidRPr="001575D8" w:rsidRDefault="00A1574B" w:rsidP="00A1574B">
      <w:pPr>
        <w:pStyle w:val="Bullet"/>
      </w:pPr>
      <w:r w:rsidRPr="001575D8">
        <w:t>provision of technical advice and support for the design and delivery of impact evaluations using randomised controlled trials (RCTs) and quasi-experimental methods</w:t>
      </w:r>
    </w:p>
    <w:p w14:paraId="5C11A37D" w14:textId="77777777" w:rsidR="00A15097" w:rsidRDefault="00A1574B" w:rsidP="00EE3C56">
      <w:pPr>
        <w:pStyle w:val="Bullet"/>
      </w:pPr>
      <w:r w:rsidRPr="001575D8">
        <w:t>development of evaluation training resources and delivery of targeted evaluation training</w:t>
      </w:r>
    </w:p>
    <w:p w14:paraId="16FA7281" w14:textId="7964CFB4" w:rsidR="00EE3C56" w:rsidRDefault="00A15097" w:rsidP="00EE3C56">
      <w:pPr>
        <w:pStyle w:val="Bullet"/>
      </w:pPr>
      <w:r>
        <w:t>support for</w:t>
      </w:r>
      <w:r w:rsidR="008C69BC">
        <w:t xml:space="preserve"> professional networking and community of practice events </w:t>
      </w:r>
      <w:r w:rsidR="009A01C0">
        <w:t xml:space="preserve">that promote </w:t>
      </w:r>
      <w:r w:rsidR="00D61038">
        <w:t>good practice evaluation and knowledge sharing</w:t>
      </w:r>
      <w:r w:rsidR="008C69BC">
        <w:t>.</w:t>
      </w:r>
      <w:r w:rsidR="00A1574B">
        <w:t xml:space="preserve"> </w:t>
      </w:r>
    </w:p>
    <w:p w14:paraId="766378F8" w14:textId="77777777" w:rsidR="00FE175E" w:rsidRDefault="00FE175E">
      <w:pPr>
        <w:spacing w:before="0" w:after="160" w:line="259" w:lineRule="auto"/>
        <w:rPr>
          <w:rFonts w:ascii="Calibri" w:hAnsi="Calibri" w:cs="Arial"/>
          <w:iCs/>
          <w:color w:val="2C384A" w:themeColor="accent1"/>
          <w:kern w:val="32"/>
          <w:sz w:val="36"/>
          <w:szCs w:val="28"/>
        </w:rPr>
      </w:pPr>
      <w:bookmarkStart w:id="6" w:name="_Toc175056183"/>
      <w:r>
        <w:br w:type="page"/>
      </w:r>
    </w:p>
    <w:p w14:paraId="6AE4D01E" w14:textId="712D6AB4" w:rsidR="0018745F" w:rsidRDefault="0018745F" w:rsidP="0018745F">
      <w:pPr>
        <w:pStyle w:val="Heading2"/>
      </w:pPr>
      <w:r>
        <w:t>About this strategy</w:t>
      </w:r>
      <w:bookmarkEnd w:id="6"/>
    </w:p>
    <w:p w14:paraId="63808951" w14:textId="432DEC17" w:rsidR="00FE175E" w:rsidRDefault="00820808" w:rsidP="00FE175E">
      <w:r>
        <w:t xml:space="preserve">This strategy outlines the ACE’s vision, mission, and service offering. It </w:t>
      </w:r>
      <w:r w:rsidR="00EC04BC">
        <w:t xml:space="preserve">explains </w:t>
      </w:r>
      <w:r>
        <w:t>why we are here, what we do, who we work with, what we aim to achieve, and how we will measure our success.</w:t>
      </w:r>
      <w:r w:rsidR="00FE175E">
        <w:t xml:space="preserve"> </w:t>
      </w:r>
    </w:p>
    <w:p w14:paraId="7CB4A9F1" w14:textId="0926AD2C" w:rsidR="001C230E" w:rsidRDefault="00FE175E" w:rsidP="00636430">
      <w:r w:rsidRPr="00BC7A95">
        <w:t xml:space="preserve">In the spirit of continual learning, this strategy will be a living document, updated as new evidence </w:t>
      </w:r>
      <w:r w:rsidR="00234944" w:rsidRPr="00BC7A95">
        <w:t xml:space="preserve">and information </w:t>
      </w:r>
      <w:r w:rsidRPr="00BC7A95">
        <w:t>comes to light.</w:t>
      </w:r>
    </w:p>
    <w:p w14:paraId="0301EE8D" w14:textId="0DF99E88" w:rsidR="00A967D9" w:rsidRDefault="005C115B" w:rsidP="005C115B">
      <w:pPr>
        <w:pStyle w:val="Heading2"/>
      </w:pPr>
      <w:bookmarkStart w:id="7" w:name="_Toc175056184"/>
      <w:r>
        <w:t>Where we are today</w:t>
      </w:r>
      <w:bookmarkEnd w:id="7"/>
    </w:p>
    <w:p w14:paraId="150BC31A" w14:textId="2EBC0DCB" w:rsidR="00AA3D16" w:rsidRPr="00313160" w:rsidRDefault="00D96B75" w:rsidP="00D96B75">
      <w:pPr>
        <w:rPr>
          <w:rFonts w:ascii="Calibri" w:hAnsi="Calibri" w:cs="Calibri"/>
        </w:rPr>
      </w:pPr>
      <w:r w:rsidRPr="00AA3D16">
        <w:t xml:space="preserve">High-quality evaluation creates robust evidence to inform policy </w:t>
      </w:r>
      <w:r w:rsidR="00CE2AAC">
        <w:t xml:space="preserve">design, </w:t>
      </w:r>
      <w:r w:rsidRPr="00AA3D16">
        <w:t>decision-making</w:t>
      </w:r>
      <w:r w:rsidR="00CE2AAC">
        <w:t xml:space="preserve"> and implementation</w:t>
      </w:r>
      <w:r w:rsidR="00FE175E">
        <w:t xml:space="preserve">. </w:t>
      </w:r>
      <w:r w:rsidR="00CE2AAC">
        <w:t>It</w:t>
      </w:r>
      <w:r w:rsidRPr="00AA3D16">
        <w:t xml:space="preserve"> </w:t>
      </w:r>
      <w:r w:rsidR="00CE2AAC" w:rsidRPr="00AA3D16">
        <w:t>support</w:t>
      </w:r>
      <w:r w:rsidR="00CE2AAC">
        <w:t>s</w:t>
      </w:r>
      <w:r w:rsidR="00CE2AAC" w:rsidRPr="00AA3D16">
        <w:t xml:space="preserve"> </w:t>
      </w:r>
      <w:r w:rsidRPr="00AA3D16">
        <w:t xml:space="preserve">a culture of </w:t>
      </w:r>
      <w:r w:rsidR="00CE2AAC">
        <w:t xml:space="preserve">continual </w:t>
      </w:r>
      <w:r w:rsidRPr="00AA3D16">
        <w:t>learning, innovation, and continuous improvement across the government.</w:t>
      </w:r>
    </w:p>
    <w:p w14:paraId="40E7C591" w14:textId="1588026C" w:rsidR="00017E59" w:rsidRDefault="00D84E9B" w:rsidP="00017E59">
      <w:r>
        <w:t xml:space="preserve">Evaluation is important </w:t>
      </w:r>
      <w:r w:rsidR="007F09A0">
        <w:t>at</w:t>
      </w:r>
      <w:r w:rsidRPr="00646D10">
        <w:t xml:space="preserve"> all stages of the policy cycle</w:t>
      </w:r>
      <w:r>
        <w:t>. It supports evidence-based policy design</w:t>
      </w:r>
      <w:r w:rsidR="0097012B">
        <w:t>, implementation</w:t>
      </w:r>
      <w:r>
        <w:t xml:space="preserve"> and delivery that</w:t>
      </w:r>
      <w:r w:rsidRPr="00646D10">
        <w:t xml:space="preserve"> is fundamental to enhancing the </w:t>
      </w:r>
      <w:r w:rsidR="000E4F07">
        <w:t xml:space="preserve">effectiveness </w:t>
      </w:r>
      <w:r w:rsidRPr="00646D10">
        <w:t xml:space="preserve">of government spending. </w:t>
      </w:r>
    </w:p>
    <w:p w14:paraId="54CC41C1" w14:textId="4E593275" w:rsidR="00AA721D" w:rsidRDefault="00AA721D" w:rsidP="00AA721D">
      <w:pPr>
        <w:pStyle w:val="Caption"/>
        <w:keepNext/>
      </w:pPr>
      <w:r>
        <w:t xml:space="preserve">Figure </w:t>
      </w:r>
      <w:fldSimple w:instr=" SEQ Figure \* ARABIC ">
        <w:r w:rsidR="00D93540">
          <w:rPr>
            <w:noProof/>
          </w:rPr>
          <w:t>1</w:t>
        </w:r>
      </w:fldSimple>
      <w:r>
        <w:t>: Evaluation and the policy cycle</w:t>
      </w:r>
      <w:r w:rsidR="00180E6A">
        <w:t>*</w:t>
      </w:r>
    </w:p>
    <w:p w14:paraId="3CC92E81" w14:textId="491B7CB6" w:rsidR="00A51E0F" w:rsidRDefault="00A51E0F" w:rsidP="00017E59">
      <w:r>
        <w:rPr>
          <w:noProof/>
        </w:rPr>
        <w:drawing>
          <wp:inline distT="0" distB="0" distL="0" distR="0" wp14:anchorId="01886883" wp14:editId="3544EAE7">
            <wp:extent cx="5760720" cy="36207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620770"/>
                    </a:xfrm>
                    <a:prstGeom prst="rect">
                      <a:avLst/>
                    </a:prstGeom>
                    <a:noFill/>
                    <a:ln>
                      <a:noFill/>
                    </a:ln>
                  </pic:spPr>
                </pic:pic>
              </a:graphicData>
            </a:graphic>
          </wp:inline>
        </w:drawing>
      </w:r>
    </w:p>
    <w:p w14:paraId="48DCF085" w14:textId="2540BA0B" w:rsidR="00792B0C" w:rsidRPr="00AA721D" w:rsidRDefault="00CE384A" w:rsidP="00AA721D">
      <w:pPr>
        <w:rPr>
          <w:i/>
          <w:iCs/>
        </w:rPr>
      </w:pPr>
      <w:r>
        <w:t>*</w:t>
      </w:r>
      <w:r w:rsidR="00C46329" w:rsidRPr="009F4E28">
        <w:rPr>
          <w:sz w:val="16"/>
          <w:szCs w:val="14"/>
        </w:rPr>
        <w:t>Department of Infrastructure, Transport, Regional Development, Communications and the Arts</w:t>
      </w:r>
      <w:r w:rsidRPr="009F4E28">
        <w:rPr>
          <w:sz w:val="16"/>
          <w:szCs w:val="14"/>
        </w:rPr>
        <w:t xml:space="preserve"> (2023)</w:t>
      </w:r>
      <w:r w:rsidR="00AA721D" w:rsidRPr="009F4E28">
        <w:rPr>
          <w:sz w:val="16"/>
          <w:szCs w:val="14"/>
        </w:rPr>
        <w:t xml:space="preserve">, </w:t>
      </w:r>
      <w:r w:rsidR="00AA721D" w:rsidRPr="009F4E28">
        <w:rPr>
          <w:i/>
          <w:iCs/>
          <w:sz w:val="16"/>
          <w:szCs w:val="14"/>
        </w:rPr>
        <w:t>Evaluation Strategy 2024–27</w:t>
      </w:r>
    </w:p>
    <w:p w14:paraId="7932DADC" w14:textId="77777777" w:rsidR="00017E59" w:rsidRPr="00646D10" w:rsidRDefault="00017E59" w:rsidP="00017E59">
      <w:pPr>
        <w:spacing w:after="40"/>
        <w:ind w:left="-284"/>
        <w:rPr>
          <w:rFonts w:cstheme="minorHAnsi"/>
          <w:sz w:val="28"/>
          <w:szCs w:val="28"/>
        </w:rPr>
      </w:pPr>
    </w:p>
    <w:p w14:paraId="27A79D0C" w14:textId="77777777" w:rsidR="00017E59" w:rsidRPr="00646D10" w:rsidRDefault="00017E59" w:rsidP="00C50727">
      <w:pPr>
        <w:pStyle w:val="Heading3"/>
      </w:pPr>
      <w:bookmarkStart w:id="8" w:name="_Toc175056185"/>
      <w:r w:rsidRPr="00646D10">
        <w:t xml:space="preserve">Evaluation in </w:t>
      </w:r>
      <w:r>
        <w:t xml:space="preserve">the Australian </w:t>
      </w:r>
      <w:r w:rsidRPr="00646D10">
        <w:t>Government</w:t>
      </w:r>
      <w:bookmarkEnd w:id="8"/>
    </w:p>
    <w:p w14:paraId="1C2A1BC5" w14:textId="67864AF7" w:rsidR="00017E59" w:rsidRDefault="00017E59" w:rsidP="00084493">
      <w:r>
        <w:t>Across the Australian Government, individual entities</w:t>
      </w:r>
      <w:r w:rsidR="00165C23" w:rsidRPr="00CC3BE7">
        <w:rPr>
          <w:rStyle w:val="FootnoteReference"/>
          <w:vertAlign w:val="superscript"/>
        </w:rPr>
        <w:footnoteReference w:id="2"/>
      </w:r>
      <w:r w:rsidR="004C51C6">
        <w:t xml:space="preserve"> </w:t>
      </w:r>
      <w:r>
        <w:t>are responsible for monitoring and evaluating the policies, programs</w:t>
      </w:r>
      <w:r w:rsidR="002F7017">
        <w:t>,</w:t>
      </w:r>
      <w:r>
        <w:t xml:space="preserve"> and services that they fund or deliver. Analysts and program managers in entities lead on the design and delivery of evaluations, working closely with evaluation units, policy teams, and delivery partners.</w:t>
      </w:r>
    </w:p>
    <w:p w14:paraId="34E85943" w14:textId="293CA9C4" w:rsidR="002F7017" w:rsidRDefault="00017E59" w:rsidP="00084493">
      <w:r w:rsidRPr="4B21380F">
        <w:t>Embedding a</w:t>
      </w:r>
      <w:r>
        <w:t>n enduring</w:t>
      </w:r>
      <w:r w:rsidRPr="4B21380F">
        <w:t xml:space="preserve"> culture of evaluation</w:t>
      </w:r>
      <w:r>
        <w:t>, so that all programs are routinely and rigorously assessed for their effectiveness, efficiency</w:t>
      </w:r>
      <w:r w:rsidR="002F7017">
        <w:t>,</w:t>
      </w:r>
      <w:r>
        <w:t xml:space="preserve"> and impact,</w:t>
      </w:r>
      <w:r w:rsidRPr="4B21380F">
        <w:t xml:space="preserve"> is a key initiative under the Australian Government</w:t>
      </w:r>
      <w:r>
        <w:t xml:space="preserve">'s Plan </w:t>
      </w:r>
      <w:r w:rsidRPr="4B21380F">
        <w:t>for Australian Public Service (APS) Reform (Priority 4, Outcome 8).</w:t>
      </w:r>
      <w:r w:rsidR="00FE175E">
        <w:rPr>
          <w:rStyle w:val="FootnoteReference"/>
        </w:rPr>
        <w:footnoteReference w:id="3"/>
      </w:r>
      <w:r>
        <w:t xml:space="preserve"> </w:t>
      </w:r>
    </w:p>
    <w:p w14:paraId="28DE2CA8" w14:textId="71DEDD1F" w:rsidR="00017E59" w:rsidRDefault="00017E59" w:rsidP="00084493">
      <w:pPr>
        <w:rPr>
          <w:b/>
          <w:bCs/>
          <w:noProof/>
        </w:rPr>
      </w:pPr>
      <w:r>
        <w:t>To support Australian Government entities to meet high standards of evaluation, s</w:t>
      </w:r>
      <w:r w:rsidRPr="4B21380F">
        <w:t xml:space="preserve">taged reforms to </w:t>
      </w:r>
      <w:r>
        <w:t xml:space="preserve">provide enhanced central leadership and stronger evaluation requirements </w:t>
      </w:r>
      <w:r w:rsidRPr="4B21380F">
        <w:t>have been implemented progressively since 2020</w:t>
      </w:r>
      <w:r>
        <w:t>. These reforms have focussed on</w:t>
      </w:r>
      <w:r w:rsidRPr="008B797D">
        <w:t xml:space="preserve"> </w:t>
      </w:r>
      <w:r w:rsidRPr="4B21380F">
        <w:t>strengthen</w:t>
      </w:r>
      <w:r>
        <w:t>ing</w:t>
      </w:r>
      <w:r w:rsidRPr="4B21380F">
        <w:t xml:space="preserve"> evaluation practices</w:t>
      </w:r>
      <w:r>
        <w:t>, capabilities,</w:t>
      </w:r>
      <w:r w:rsidRPr="4B21380F">
        <w:t xml:space="preserve"> and culture across the APS</w:t>
      </w:r>
      <w:r w:rsidR="000E152D">
        <w:t>.</w:t>
      </w:r>
    </w:p>
    <w:p w14:paraId="0BF1AB8B" w14:textId="0C8F54EA" w:rsidR="00017E59" w:rsidRPr="00BC17AE" w:rsidRDefault="00017E59" w:rsidP="00BC17AE">
      <w:pPr>
        <w:pStyle w:val="Heading3"/>
      </w:pPr>
      <w:bookmarkStart w:id="9" w:name="_Toc175056186"/>
      <w:r w:rsidRPr="00FC7445">
        <w:t>Evaluation Reform Timeline</w:t>
      </w:r>
      <w:bookmarkEnd w:id="9"/>
    </w:p>
    <w:p w14:paraId="514EB55B" w14:textId="77777777" w:rsidR="00017E59" w:rsidRDefault="00017E59" w:rsidP="005F5FE9">
      <w:r>
        <w:t xml:space="preserve">From a whole-of-government perspective, major reforms have included </w:t>
      </w:r>
      <w:r w:rsidRPr="00212F7D">
        <w:rPr>
          <w:rFonts w:eastAsiaTheme="minorEastAsia"/>
        </w:rPr>
        <w:t>implementing</w:t>
      </w:r>
      <w:r>
        <w:t>:</w:t>
      </w:r>
    </w:p>
    <w:p w14:paraId="5390574C" w14:textId="77777777" w:rsidR="00017E59" w:rsidRPr="00212F7D" w:rsidRDefault="00017E59" w:rsidP="005F5FE9">
      <w:pPr>
        <w:pStyle w:val="Bullet"/>
        <w:rPr>
          <w:rFonts w:eastAsiaTheme="minorEastAsia"/>
        </w:rPr>
      </w:pPr>
      <w:r w:rsidRPr="1A96817E">
        <w:rPr>
          <w:rFonts w:eastAsiaTheme="minorEastAsia"/>
        </w:rPr>
        <w:t>a system-wide evaluation policy approach and supporting guidance, delivered through the Commonwealth Evaluation Policy and Commonwealth Evaluation Toolkit</w:t>
      </w:r>
    </w:p>
    <w:p w14:paraId="6371E662" w14:textId="77777777" w:rsidR="00017E59" w:rsidRPr="00212F7D" w:rsidRDefault="00017E59" w:rsidP="005F5FE9">
      <w:pPr>
        <w:pStyle w:val="Bullet"/>
        <w:rPr>
          <w:rFonts w:eastAsiaTheme="minorEastAsia"/>
        </w:rPr>
      </w:pPr>
      <w:r w:rsidRPr="1A96817E">
        <w:rPr>
          <w:rFonts w:eastAsiaTheme="minorEastAsia"/>
        </w:rPr>
        <w:t>stronger requirements for evaluation planning and use in the Budget and Cabinet process, delivered through the Budget Process Operational Rules</w:t>
      </w:r>
    </w:p>
    <w:p w14:paraId="52FA55D4" w14:textId="28C91CEE" w:rsidR="00017E59" w:rsidRPr="001B4A97" w:rsidRDefault="00017E59" w:rsidP="005F5FE9">
      <w:pPr>
        <w:pStyle w:val="Bullet"/>
        <w:rPr>
          <w:rFonts w:eastAsiaTheme="minorEastAsia"/>
        </w:rPr>
      </w:pPr>
      <w:r w:rsidRPr="1A96817E">
        <w:rPr>
          <w:rFonts w:eastAsiaTheme="minorEastAsia"/>
        </w:rPr>
        <w:t xml:space="preserve">enhanced cross-entity governance, engagement, and professional networking mechanisms, delivered through the Commonwealth Evaluation Reference Group and the Commonwealth Evaluation Community of Practice. </w:t>
      </w:r>
    </w:p>
    <w:p w14:paraId="51864733" w14:textId="1D18A5F9" w:rsidR="00B9423D" w:rsidRDefault="00017E59" w:rsidP="005F5FE9">
      <w:r>
        <w:t>From an organisational perspective, since 2019 many</w:t>
      </w:r>
      <w:r w:rsidRPr="4B21380F">
        <w:t xml:space="preserve"> </w:t>
      </w:r>
      <w:r w:rsidR="00FE175E">
        <w:t>Australian Government</w:t>
      </w:r>
      <w:r w:rsidR="00FE175E" w:rsidRPr="4B21380F">
        <w:t xml:space="preserve"> </w:t>
      </w:r>
      <w:r w:rsidRPr="4B21380F">
        <w:t xml:space="preserve">entities have taken their own steps to improve evaluation practices, capabilities, and culture within their organisation. </w:t>
      </w:r>
    </w:p>
    <w:p w14:paraId="68BB938F" w14:textId="07BF50AA" w:rsidR="00017E59" w:rsidRDefault="00017E59" w:rsidP="005F5FE9">
      <w:r w:rsidRPr="4B21380F">
        <w:t xml:space="preserve">This includes, for example: </w:t>
      </w:r>
    </w:p>
    <w:p w14:paraId="7F18C437" w14:textId="281F6837" w:rsidR="00017E59" w:rsidRDefault="00017E59" w:rsidP="005F5FE9">
      <w:pPr>
        <w:pStyle w:val="Bullet"/>
        <w:rPr>
          <w:rFonts w:eastAsiaTheme="minorEastAsia"/>
        </w:rPr>
      </w:pPr>
      <w:r w:rsidRPr="1A96817E">
        <w:rPr>
          <w:rFonts w:eastAsiaTheme="minorEastAsia"/>
        </w:rPr>
        <w:t xml:space="preserve">establishing </w:t>
      </w:r>
      <w:r w:rsidR="00B9423D" w:rsidRPr="1A96817E">
        <w:rPr>
          <w:rFonts w:eastAsiaTheme="minorEastAsia"/>
        </w:rPr>
        <w:t xml:space="preserve">or expanding </w:t>
      </w:r>
      <w:r w:rsidRPr="1A96817E">
        <w:rPr>
          <w:rFonts w:eastAsiaTheme="minorEastAsia"/>
        </w:rPr>
        <w:t xml:space="preserve">dedicated in-house evaluation units </w:t>
      </w:r>
    </w:p>
    <w:p w14:paraId="742C6811" w14:textId="53F29857" w:rsidR="00017E59" w:rsidRDefault="00017E59" w:rsidP="005F5FE9">
      <w:pPr>
        <w:pStyle w:val="Bullet"/>
        <w:rPr>
          <w:rFonts w:eastAsiaTheme="minorEastAsia"/>
        </w:rPr>
      </w:pPr>
      <w:r w:rsidRPr="1A96817E">
        <w:rPr>
          <w:rFonts w:eastAsiaTheme="minorEastAsia"/>
        </w:rPr>
        <w:t xml:space="preserve">developing enterprise-level evaluation strategies and/or forward work plans </w:t>
      </w:r>
    </w:p>
    <w:p w14:paraId="293BCAD6" w14:textId="08B7F377" w:rsidR="00D06F7C" w:rsidRPr="00D06F7C" w:rsidRDefault="00017E59" w:rsidP="00D202B5">
      <w:pPr>
        <w:pStyle w:val="Bullet"/>
      </w:pPr>
      <w:r w:rsidRPr="1A96817E">
        <w:rPr>
          <w:rFonts w:eastAsiaTheme="minorEastAsia"/>
        </w:rPr>
        <w:t>introducing stronger governance arrangements for evaluation oversight. </w:t>
      </w:r>
      <w:r w:rsidR="001C3E0D">
        <w:br w:type="page"/>
      </w:r>
    </w:p>
    <w:p w14:paraId="5B34577C" w14:textId="6AD8BCED" w:rsidR="00017E59" w:rsidRDefault="00017E59" w:rsidP="001C3E0D">
      <w:pPr>
        <w:pStyle w:val="Heading2"/>
      </w:pPr>
      <w:bookmarkStart w:id="10" w:name="_Toc175056187"/>
      <w:r w:rsidRPr="00664AD7">
        <w:t xml:space="preserve">System </w:t>
      </w:r>
      <w:r>
        <w:t xml:space="preserve">drivers </w:t>
      </w:r>
      <w:r w:rsidR="005F607E">
        <w:t xml:space="preserve">and enablers </w:t>
      </w:r>
      <w:r w:rsidRPr="00664AD7">
        <w:t>for change</w:t>
      </w:r>
      <w:bookmarkEnd w:id="10"/>
    </w:p>
    <w:p w14:paraId="48DC7FAA" w14:textId="3F905B85" w:rsidR="00017E59" w:rsidRPr="00541CA1" w:rsidRDefault="00017E59" w:rsidP="001F2416">
      <w:r>
        <w:t xml:space="preserve">The primary system drivers that support the </w:t>
      </w:r>
      <w:r w:rsidR="003635AF">
        <w:t xml:space="preserve">evaluation reform across the APS </w:t>
      </w:r>
      <w:r>
        <w:t xml:space="preserve">are listed below. </w:t>
      </w:r>
    </w:p>
    <w:p w14:paraId="52C1009D" w14:textId="5AB3BBBF" w:rsidR="00B401BD" w:rsidRDefault="00B401BD" w:rsidP="003635AF">
      <w:pPr>
        <w:pStyle w:val="Heading3"/>
      </w:pPr>
      <w:bookmarkStart w:id="11" w:name="_Toc175056188"/>
      <w:r>
        <w:t>Requirements</w:t>
      </w:r>
      <w:bookmarkEnd w:id="11"/>
    </w:p>
    <w:p w14:paraId="1C107575" w14:textId="77777777" w:rsidR="00B401BD" w:rsidRDefault="00B401BD" w:rsidP="00D202B5">
      <w:pPr>
        <w:pStyle w:val="Heading4"/>
      </w:pPr>
      <w:r w:rsidRPr="2F11E9A2">
        <w:t>Commonwealth Resource Management Framework</w:t>
      </w:r>
    </w:p>
    <w:p w14:paraId="3E76BF27" w14:textId="5AA377AF" w:rsidR="00B401BD" w:rsidRDefault="00B401BD" w:rsidP="00B401BD">
      <w:r w:rsidRPr="2F11E9A2">
        <w:t xml:space="preserve">The </w:t>
      </w:r>
      <w:hyperlink r:id="rId22">
        <w:r w:rsidRPr="2F11E9A2">
          <w:t>Commonwealth</w:t>
        </w:r>
      </w:hyperlink>
      <w:r w:rsidRPr="2F11E9A2">
        <w:t xml:space="preserve"> Resource Management Framework, established under the PGPA Act, is the cornerstone of governance, performance, and accountability arrangements in the Australian Government. It includes the Commonwealth Performance Framework, which sets out legislative requirements for entities to measure, assess and report on performance across an annual reporting cycle.</w:t>
      </w:r>
    </w:p>
    <w:p w14:paraId="4E1A6CEF" w14:textId="515691BF" w:rsidR="00017E59" w:rsidRDefault="00017E59" w:rsidP="00D202B5">
      <w:pPr>
        <w:pStyle w:val="Heading4"/>
      </w:pPr>
      <w:r w:rsidRPr="00DA73C0">
        <w:t>Commonwealth Evaluation Policy</w:t>
      </w:r>
    </w:p>
    <w:p w14:paraId="48D8C7B5" w14:textId="5BDCA87D" w:rsidR="006A0360" w:rsidRDefault="00017E59" w:rsidP="001F2416">
      <w:r w:rsidRPr="00916D51">
        <w:rPr>
          <w:color w:val="212529"/>
          <w:szCs w:val="22"/>
          <w:shd w:val="clear" w:color="auto" w:fill="FFFFFF"/>
        </w:rPr>
        <w:t xml:space="preserve">The </w:t>
      </w:r>
      <w:hyperlink r:id="rId23" w:history="1">
        <w:r w:rsidRPr="00916D51">
          <w:rPr>
            <w:rStyle w:val="Hyperlink"/>
            <w:rFonts w:cstheme="minorHAnsi"/>
            <w:szCs w:val="22"/>
            <w:shd w:val="clear" w:color="auto" w:fill="FFFFFF"/>
          </w:rPr>
          <w:t>Commonwealth Evaluation Policy</w:t>
        </w:r>
      </w:hyperlink>
      <w:r w:rsidRPr="00916D51">
        <w:rPr>
          <w:color w:val="212529"/>
          <w:szCs w:val="22"/>
          <w:shd w:val="clear" w:color="auto" w:fill="FFFFFF"/>
        </w:rPr>
        <w:t xml:space="preserve"> provides a principles-based approach for the conduct of evaluations across the Commonwealth. It came into effect on 1 December 2021, and applies to all </w:t>
      </w:r>
      <w:hyperlink r:id="rId24" w:history="1">
        <w:hyperlink r:id="rId25" w:history="1">
          <w:r w:rsidRPr="00916D51">
            <w:rPr>
              <w:rStyle w:val="Hyperlink"/>
              <w:rFonts w:cstheme="minorHAnsi"/>
              <w:szCs w:val="22"/>
              <w:shd w:val="clear" w:color="auto" w:fill="FFFFFF"/>
            </w:rPr>
            <w:t>Commonwealth entities and companies</w:t>
          </w:r>
        </w:hyperlink>
      </w:hyperlink>
      <w:r w:rsidRPr="00916D51">
        <w:rPr>
          <w:color w:val="212529"/>
          <w:szCs w:val="22"/>
          <w:shd w:val="clear" w:color="auto" w:fill="FFFFFF"/>
        </w:rPr>
        <w:t xml:space="preserve"> subject to the PGPA Act.</w:t>
      </w:r>
    </w:p>
    <w:p w14:paraId="1D48BC68" w14:textId="7A166976" w:rsidR="00017E59" w:rsidRPr="00DA73C0" w:rsidRDefault="00017E59" w:rsidP="00D202B5">
      <w:pPr>
        <w:pStyle w:val="Heading4"/>
      </w:pPr>
      <w:r w:rsidRPr="00DA73C0">
        <w:t>Budget Process Operational Rules</w:t>
      </w:r>
    </w:p>
    <w:p w14:paraId="52DA7FEA" w14:textId="7741923A" w:rsidR="006A0360" w:rsidRDefault="00017E59" w:rsidP="001F2416">
      <w:r w:rsidRPr="000A6A73">
        <w:rPr>
          <w:color w:val="212529"/>
          <w:shd w:val="clear" w:color="auto" w:fill="FFFFFF"/>
        </w:rPr>
        <w:t>The </w:t>
      </w:r>
      <w:hyperlink r:id="rId26" w:history="1">
        <w:r w:rsidRPr="001911B5">
          <w:rPr>
            <w:rStyle w:val="Hyperlink"/>
            <w:rFonts w:cstheme="minorHAnsi"/>
            <w:szCs w:val="22"/>
            <w:shd w:val="clear" w:color="auto" w:fill="FFFFFF"/>
          </w:rPr>
          <w:t>Budget Process Operational Rules (BPORs)</w:t>
        </w:r>
      </w:hyperlink>
      <w:r w:rsidRPr="00916D51">
        <w:rPr>
          <w:color w:val="212529"/>
          <w:szCs w:val="22"/>
          <w:shd w:val="clear" w:color="auto" w:fill="FFFFFF"/>
        </w:rPr>
        <w:t> require</w:t>
      </w:r>
      <w:r w:rsidRPr="000A6A73">
        <w:rPr>
          <w:color w:val="212529"/>
          <w:shd w:val="clear" w:color="auto" w:fill="FFFFFF"/>
        </w:rPr>
        <w:t xml:space="preserve"> evaluation plans to be established in the early stages of policy implementation. </w:t>
      </w:r>
    </w:p>
    <w:p w14:paraId="24D5CF17" w14:textId="603144FF" w:rsidR="000079F5" w:rsidRDefault="00A00336" w:rsidP="00D202B5">
      <w:pPr>
        <w:pStyle w:val="Heading4"/>
      </w:pPr>
      <w:r>
        <w:t xml:space="preserve">Australian Public Service </w:t>
      </w:r>
      <w:r w:rsidR="000079F5">
        <w:t>Commissioner’s Direction</w:t>
      </w:r>
    </w:p>
    <w:p w14:paraId="40CF065B" w14:textId="0EB667C2" w:rsidR="006A0360" w:rsidRDefault="00015858" w:rsidP="005C1162">
      <w:pPr>
        <w:ind w:right="-567"/>
      </w:pPr>
      <w:r>
        <w:t xml:space="preserve">A key change to </w:t>
      </w:r>
      <w:r w:rsidR="006251B1">
        <w:t xml:space="preserve">Commissioner’s Direction </w:t>
      </w:r>
      <w:r w:rsidR="00A82D3A">
        <w:t xml:space="preserve">2024 (effective from December 2024) </w:t>
      </w:r>
      <w:r w:rsidR="00461174">
        <w:t>will be</w:t>
      </w:r>
      <w:r>
        <w:t xml:space="preserve"> the inclusion of the </w:t>
      </w:r>
      <w:r w:rsidR="007D7F79">
        <w:t xml:space="preserve">new APS value of </w:t>
      </w:r>
      <w:r w:rsidR="006251B1">
        <w:t>s</w:t>
      </w:r>
      <w:r w:rsidR="007D7F79">
        <w:t>tewardship</w:t>
      </w:r>
      <w:r w:rsidR="006251B1">
        <w:t>, which</w:t>
      </w:r>
      <w:r w:rsidR="007D7F79">
        <w:t xml:space="preserve"> </w:t>
      </w:r>
      <w:r w:rsidR="00B77AA6">
        <w:t xml:space="preserve">emphasises </w:t>
      </w:r>
      <w:r w:rsidR="007E6D39">
        <w:t>the importance o</w:t>
      </w:r>
      <w:r w:rsidR="006251B1">
        <w:t>f</w:t>
      </w:r>
      <w:r w:rsidR="007E6D39">
        <w:t xml:space="preserve"> learning and reflecting on experience </w:t>
      </w:r>
      <w:r w:rsidR="006251B1">
        <w:t xml:space="preserve">and knowledge </w:t>
      </w:r>
      <w:r w:rsidR="00F44E87">
        <w:t>to inform current and future operations including through the conduct of robust evaluations.</w:t>
      </w:r>
    </w:p>
    <w:p w14:paraId="12798169" w14:textId="4132EB0A" w:rsidR="00441C64" w:rsidRDefault="00441C64" w:rsidP="00441C64">
      <w:pPr>
        <w:pStyle w:val="Heading3"/>
      </w:pPr>
      <w:bookmarkStart w:id="12" w:name="_Toc175056189"/>
      <w:r>
        <w:t>Guidance</w:t>
      </w:r>
      <w:bookmarkEnd w:id="12"/>
    </w:p>
    <w:p w14:paraId="7FE662E4" w14:textId="1CA4D2D6" w:rsidR="00017E59" w:rsidRDefault="00017E59" w:rsidP="00921BDA">
      <w:pPr>
        <w:pStyle w:val="Heading4"/>
      </w:pPr>
      <w:r w:rsidRPr="00DA73C0">
        <w:t>Commonwealth Evaluation Toolkit</w:t>
      </w:r>
    </w:p>
    <w:p w14:paraId="1CE948FB" w14:textId="57023E00" w:rsidR="00165E16" w:rsidRDefault="00017E59" w:rsidP="001F2416">
      <w:r w:rsidRPr="00916D51">
        <w:rPr>
          <w:color w:val="333333"/>
          <w:szCs w:val="22"/>
          <w:shd w:val="clear" w:color="auto" w:fill="FFFFFF"/>
        </w:rPr>
        <w:t xml:space="preserve">The </w:t>
      </w:r>
      <w:hyperlink r:id="rId27" w:history="1">
        <w:r w:rsidRPr="00916D51">
          <w:rPr>
            <w:rStyle w:val="Hyperlink"/>
            <w:rFonts w:cstheme="minorHAnsi"/>
            <w:szCs w:val="22"/>
            <w:shd w:val="clear" w:color="auto" w:fill="FFFFFF"/>
          </w:rPr>
          <w:t>Commonwealth Evaluation Toolkit</w:t>
        </w:r>
      </w:hyperlink>
      <w:r w:rsidRPr="00916D51">
        <w:rPr>
          <w:color w:val="333333"/>
          <w:szCs w:val="22"/>
          <w:shd w:val="clear" w:color="auto" w:fill="FFFFFF"/>
        </w:rPr>
        <w:t xml:space="preserve"> includes</w:t>
      </w:r>
      <w:r w:rsidRPr="00DA73C0">
        <w:rPr>
          <w:color w:val="333333"/>
          <w:shd w:val="clear" w:color="auto" w:fill="FFFFFF"/>
        </w:rPr>
        <w:t xml:space="preserve"> practical guidance materials and supporting resources to help entities to appropriately monitor and evaluate government programs and activities over the policy cycle. </w:t>
      </w:r>
    </w:p>
    <w:p w14:paraId="0461DBF1" w14:textId="77777777" w:rsidR="00444359" w:rsidRDefault="00444359" w:rsidP="00921BDA">
      <w:pPr>
        <w:pStyle w:val="Heading4"/>
      </w:pPr>
      <w:r>
        <w:t xml:space="preserve">The Australian Government Guide to Policy </w:t>
      </w:r>
      <w:r w:rsidRPr="005373AF">
        <w:t>Impact Analysis</w:t>
      </w:r>
    </w:p>
    <w:p w14:paraId="4A9EAF3A" w14:textId="77777777" w:rsidR="00441C64" w:rsidRDefault="007364BF" w:rsidP="00444359">
      <w:pPr>
        <w:spacing w:before="0" w:after="160" w:line="259" w:lineRule="auto"/>
        <w:rPr>
          <w:color w:val="212529"/>
          <w:shd w:val="clear" w:color="auto" w:fill="FFFFFF"/>
        </w:rPr>
      </w:pPr>
      <w:r w:rsidRPr="007364BF">
        <w:rPr>
          <w:color w:val="212529"/>
          <w:shd w:val="clear" w:color="auto" w:fill="FFFFFF"/>
        </w:rPr>
        <w:t>Any policy proposal or action of government,</w:t>
      </w:r>
      <w:r w:rsidR="00444359" w:rsidRPr="000A6A73">
        <w:rPr>
          <w:color w:val="212529"/>
          <w:shd w:val="clear" w:color="auto" w:fill="FFFFFF"/>
        </w:rPr>
        <w:t xml:space="preserve"> with </w:t>
      </w:r>
      <w:r w:rsidRPr="007364BF">
        <w:rPr>
          <w:color w:val="212529"/>
          <w:shd w:val="clear" w:color="auto" w:fill="FFFFFF"/>
        </w:rPr>
        <w:t xml:space="preserve">an expectation of compliance, that would result in a </w:t>
      </w:r>
      <w:r w:rsidR="00444359" w:rsidRPr="000A6A73">
        <w:rPr>
          <w:color w:val="212529"/>
          <w:shd w:val="clear" w:color="auto" w:fill="FFFFFF"/>
        </w:rPr>
        <w:t xml:space="preserve">more than minor </w:t>
      </w:r>
      <w:r w:rsidRPr="007364BF">
        <w:rPr>
          <w:color w:val="212529"/>
          <w:shd w:val="clear" w:color="auto" w:fill="FFFFFF"/>
        </w:rPr>
        <w:t>change in behaviour or impact for people, businesses, or community organisations</w:t>
      </w:r>
      <w:r w:rsidR="00444359" w:rsidRPr="000A6A73">
        <w:rPr>
          <w:color w:val="212529"/>
          <w:shd w:val="clear" w:color="auto" w:fill="FFFFFF"/>
        </w:rPr>
        <w:t xml:space="preserve"> must complete </w:t>
      </w:r>
      <w:r w:rsidR="00444359" w:rsidRPr="00916D51">
        <w:rPr>
          <w:color w:val="212529"/>
          <w:szCs w:val="22"/>
          <w:shd w:val="clear" w:color="auto" w:fill="FFFFFF"/>
        </w:rPr>
        <w:t xml:space="preserve">an </w:t>
      </w:r>
      <w:hyperlink r:id="rId28" w:history="1">
        <w:r w:rsidR="00444359" w:rsidRPr="00916D51">
          <w:rPr>
            <w:rStyle w:val="Hyperlink"/>
            <w:rFonts w:cstheme="minorHAnsi"/>
            <w:szCs w:val="22"/>
            <w:shd w:val="clear" w:color="auto" w:fill="FFFFFF"/>
          </w:rPr>
          <w:t>Impact Analysis (IA)</w:t>
        </w:r>
      </w:hyperlink>
      <w:r w:rsidR="00444359" w:rsidRPr="00916D51">
        <w:rPr>
          <w:color w:val="212529"/>
          <w:szCs w:val="22"/>
          <w:shd w:val="clear" w:color="auto" w:fill="FFFFFF"/>
        </w:rPr>
        <w:t xml:space="preserve"> before</w:t>
      </w:r>
      <w:r w:rsidR="00444359" w:rsidRPr="000A6A73">
        <w:rPr>
          <w:color w:val="212529"/>
          <w:shd w:val="clear" w:color="auto" w:fill="FFFFFF"/>
        </w:rPr>
        <w:t xml:space="preserve"> a final policy decision is made. The IA</w:t>
      </w:r>
      <w:r w:rsidR="00444359">
        <w:rPr>
          <w:color w:val="212529"/>
          <w:shd w:val="clear" w:color="auto" w:fill="FFFFFF"/>
        </w:rPr>
        <w:t xml:space="preserve"> </w:t>
      </w:r>
      <w:r w:rsidR="00444359" w:rsidRPr="000A6A73">
        <w:rPr>
          <w:color w:val="212529"/>
          <w:shd w:val="clear" w:color="auto" w:fill="FFFFFF"/>
        </w:rPr>
        <w:t xml:space="preserve">includes a description of how the policy will be monitored and evaluated. </w:t>
      </w:r>
    </w:p>
    <w:p w14:paraId="0C1175B9" w14:textId="1D871D04" w:rsidR="00165E16" w:rsidRDefault="00C3596A" w:rsidP="00D202B5">
      <w:pPr>
        <w:pStyle w:val="Heading3"/>
      </w:pPr>
      <w:bookmarkStart w:id="13" w:name="_Toc175056190"/>
      <w:r>
        <w:t>Professional networks and s</w:t>
      </w:r>
      <w:r w:rsidR="00441C64" w:rsidRPr="00D202B5">
        <w:t>upport</w:t>
      </w:r>
      <w:bookmarkEnd w:id="13"/>
    </w:p>
    <w:p w14:paraId="0551A989" w14:textId="4FF8E1F7" w:rsidR="005F607E" w:rsidRDefault="005F607E" w:rsidP="00921BDA">
      <w:pPr>
        <w:pStyle w:val="Heading4"/>
      </w:pPr>
      <w:r w:rsidRPr="00DA73C0">
        <w:t xml:space="preserve">Commonwealth Evaluation </w:t>
      </w:r>
      <w:r>
        <w:t>Community of Practice</w:t>
      </w:r>
    </w:p>
    <w:p w14:paraId="2A381FD7" w14:textId="0C737F91" w:rsidR="00045F03" w:rsidRDefault="006D79D0" w:rsidP="005F607E">
      <w:pPr>
        <w:rPr>
          <w:color w:val="333333"/>
          <w:szCs w:val="22"/>
          <w:shd w:val="clear" w:color="auto" w:fill="FFFFFF"/>
        </w:rPr>
      </w:pPr>
      <w:r>
        <w:rPr>
          <w:rStyle w:val="normaltextrun"/>
          <w:rFonts w:cs="Calibri Light"/>
          <w:color w:val="000000"/>
          <w:szCs w:val="22"/>
          <w:shd w:val="clear" w:color="auto" w:fill="FFFFFF"/>
        </w:rPr>
        <w:t xml:space="preserve">The Commonwealth Evaluation Community of Practice </w:t>
      </w:r>
      <w:r w:rsidR="00111A2F">
        <w:rPr>
          <w:rStyle w:val="normaltextrun"/>
          <w:rFonts w:cs="Calibri Light"/>
          <w:color w:val="000000"/>
          <w:szCs w:val="22"/>
          <w:shd w:val="clear" w:color="auto" w:fill="FFFFFF"/>
        </w:rPr>
        <w:t>brings</w:t>
      </w:r>
      <w:r>
        <w:rPr>
          <w:rStyle w:val="normaltextrun"/>
          <w:rFonts w:cs="Calibri Light"/>
          <w:color w:val="000000"/>
          <w:szCs w:val="22"/>
          <w:shd w:val="clear" w:color="auto" w:fill="FFFFFF"/>
        </w:rPr>
        <w:t xml:space="preserve"> together people with a role or an interest in evaluation to learn, share and build the evaluation capability of its members.</w:t>
      </w:r>
      <w:r w:rsidR="00FB0740">
        <w:rPr>
          <w:rStyle w:val="normaltextrun"/>
          <w:rFonts w:cs="Calibri Light"/>
          <w:color w:val="000000"/>
          <w:szCs w:val="22"/>
          <w:shd w:val="clear" w:color="auto" w:fill="FFFFFF"/>
        </w:rPr>
        <w:t xml:space="preserve"> </w:t>
      </w:r>
    </w:p>
    <w:p w14:paraId="38F0075E" w14:textId="376A0AC4" w:rsidR="00045F03" w:rsidRDefault="00045F03" w:rsidP="00921BDA">
      <w:pPr>
        <w:pStyle w:val="Heading4"/>
      </w:pPr>
      <w:r>
        <w:t xml:space="preserve">APS Evaluation Profession </w:t>
      </w:r>
    </w:p>
    <w:p w14:paraId="185B3830" w14:textId="2ACC6930" w:rsidR="005F607E" w:rsidRDefault="001E059D" w:rsidP="00917DF7">
      <w:pPr>
        <w:rPr>
          <w:rStyle w:val="normaltextrun"/>
          <w:rFonts w:cs="Calibri Light"/>
          <w:szCs w:val="22"/>
        </w:rPr>
      </w:pPr>
      <w:r>
        <w:rPr>
          <w:rStyle w:val="normaltextrun"/>
          <w:rFonts w:cs="Calibri Light"/>
          <w:szCs w:val="22"/>
        </w:rPr>
        <w:t>T</w:t>
      </w:r>
      <w:r w:rsidRPr="00036605">
        <w:rPr>
          <w:rStyle w:val="normaltextrun"/>
          <w:rFonts w:cs="Calibri Light"/>
          <w:szCs w:val="22"/>
        </w:rPr>
        <w:t xml:space="preserve">he </w:t>
      </w:r>
      <w:r>
        <w:rPr>
          <w:rStyle w:val="normaltextrun"/>
          <w:rFonts w:cs="Calibri Light"/>
          <w:szCs w:val="22"/>
        </w:rPr>
        <w:t xml:space="preserve">APS </w:t>
      </w:r>
      <w:r w:rsidRPr="00036605">
        <w:rPr>
          <w:rStyle w:val="normaltextrun"/>
          <w:rFonts w:cs="Calibri Light"/>
          <w:szCs w:val="22"/>
        </w:rPr>
        <w:t xml:space="preserve">Professional Stream Strategies </w:t>
      </w:r>
      <w:r>
        <w:rPr>
          <w:rStyle w:val="normaltextrun"/>
          <w:rFonts w:cs="Calibri Light"/>
          <w:szCs w:val="22"/>
        </w:rPr>
        <w:t xml:space="preserve">are designed </w:t>
      </w:r>
      <w:r w:rsidRPr="00036605">
        <w:rPr>
          <w:rStyle w:val="normaltextrun"/>
          <w:rFonts w:cs="Calibri Light"/>
          <w:szCs w:val="22"/>
        </w:rPr>
        <w:t>to increase the capability of APS</w:t>
      </w:r>
      <w:r w:rsidR="00461174">
        <w:rPr>
          <w:rStyle w:val="normaltextrun"/>
          <w:rFonts w:cs="Calibri Light"/>
          <w:szCs w:val="22"/>
        </w:rPr>
        <w:t>. The APS professions model will be expanded to include evaluation in late 2024</w:t>
      </w:r>
      <w:r>
        <w:rPr>
          <w:rStyle w:val="normaltextrun"/>
          <w:rFonts w:cs="Calibri Light"/>
          <w:szCs w:val="22"/>
        </w:rPr>
        <w:t>.</w:t>
      </w:r>
    </w:p>
    <w:p w14:paraId="60C2C295" w14:textId="0DB6A069" w:rsidR="009D2EBF" w:rsidRDefault="009D2EBF">
      <w:pPr>
        <w:spacing w:before="0" w:after="160" w:line="259" w:lineRule="auto"/>
        <w:rPr>
          <w:rStyle w:val="normaltextrun"/>
          <w:rFonts w:cs="Calibri Light"/>
          <w:szCs w:val="22"/>
        </w:rPr>
      </w:pPr>
      <w:r>
        <w:rPr>
          <w:rStyle w:val="normaltextrun"/>
          <w:rFonts w:cs="Calibri Light"/>
          <w:szCs w:val="22"/>
        </w:rPr>
        <w:br w:type="page"/>
      </w:r>
    </w:p>
    <w:p w14:paraId="37FB19EF" w14:textId="58665BF3" w:rsidR="00A8393F" w:rsidRDefault="00120EFF" w:rsidP="009746FC">
      <w:pPr>
        <w:pStyle w:val="Heading1"/>
      </w:pPr>
      <w:bookmarkStart w:id="14" w:name="_Toc175056191"/>
      <w:r>
        <w:t xml:space="preserve">Our </w:t>
      </w:r>
      <w:r w:rsidR="00716075">
        <w:t>s</w:t>
      </w:r>
      <w:r w:rsidR="00A8393F">
        <w:t>t</w:t>
      </w:r>
      <w:r w:rsidR="009D2EBF">
        <w:t>r</w:t>
      </w:r>
      <w:r w:rsidR="00A8393F">
        <w:t>ategy</w:t>
      </w:r>
      <w:bookmarkEnd w:id="14"/>
    </w:p>
    <w:p w14:paraId="1D507285" w14:textId="27571148" w:rsidR="00017E59" w:rsidRPr="00646D10" w:rsidRDefault="00017E59" w:rsidP="00A8393F">
      <w:pPr>
        <w:pStyle w:val="Heading2"/>
      </w:pPr>
      <w:bookmarkStart w:id="15" w:name="_Toc175056192"/>
      <w:r w:rsidRPr="00EAAA6B">
        <w:t>O</w:t>
      </w:r>
      <w:r>
        <w:t xml:space="preserve">ur </w:t>
      </w:r>
      <w:r w:rsidR="00120EFF">
        <w:t>v</w:t>
      </w:r>
      <w:r>
        <w:t>ision</w:t>
      </w:r>
      <w:bookmarkEnd w:id="15"/>
    </w:p>
    <w:p w14:paraId="3356E3B7" w14:textId="102CBEF4" w:rsidR="009746FC" w:rsidRDefault="00017E59" w:rsidP="009746FC">
      <w:r w:rsidRPr="00646D10">
        <w:t>T</w:t>
      </w:r>
      <w:r>
        <w:t>he ACE’s vision is</w:t>
      </w:r>
      <w:r w:rsidR="005124AA">
        <w:t xml:space="preserve"> that</w:t>
      </w:r>
      <w:r>
        <w:t xml:space="preserve">: </w:t>
      </w:r>
    </w:p>
    <w:p w14:paraId="47F6B19C" w14:textId="0B799894" w:rsidR="00017E59" w:rsidRPr="00502798" w:rsidRDefault="00017E59" w:rsidP="00502798">
      <w:r>
        <w:t>Evaluation evidence supports</w:t>
      </w:r>
      <w:r w:rsidRPr="00646D10">
        <w:t xml:space="preserve"> better policy and programs t</w:t>
      </w:r>
      <w:r>
        <w:t>o</w:t>
      </w:r>
      <w:r w:rsidRPr="00646D10">
        <w:t xml:space="preserve"> improve the lives of Australians</w:t>
      </w:r>
      <w:r>
        <w:t xml:space="preserve">. </w:t>
      </w:r>
    </w:p>
    <w:p w14:paraId="5E089812" w14:textId="2E693DD6" w:rsidR="00017E59" w:rsidRPr="00005689" w:rsidRDefault="00017E59" w:rsidP="00A8393F">
      <w:pPr>
        <w:pStyle w:val="Heading2"/>
      </w:pPr>
      <w:bookmarkStart w:id="16" w:name="_Toc175056193"/>
      <w:r>
        <w:t xml:space="preserve">Our </w:t>
      </w:r>
      <w:r w:rsidR="00120EFF">
        <w:t>m</w:t>
      </w:r>
      <w:r>
        <w:t>ission</w:t>
      </w:r>
      <w:bookmarkEnd w:id="16"/>
    </w:p>
    <w:p w14:paraId="32C34867" w14:textId="5D7CC28F" w:rsidR="009746FC" w:rsidRDefault="00017E59" w:rsidP="009746FC">
      <w:r>
        <w:t>The ACE’s mission is</w:t>
      </w:r>
      <w:r w:rsidR="005124AA">
        <w:t xml:space="preserve"> that</w:t>
      </w:r>
      <w:r>
        <w:t xml:space="preserve">: </w:t>
      </w:r>
    </w:p>
    <w:p w14:paraId="5BE6480F" w14:textId="77777777" w:rsidR="009746FC" w:rsidRDefault="00017E59" w:rsidP="009746FC">
      <w:r>
        <w:t>We help put evaluation evidence at the heart of policy design and decision-making by:</w:t>
      </w:r>
      <w:r w:rsidR="009746FC">
        <w:t xml:space="preserve"> </w:t>
      </w:r>
    </w:p>
    <w:p w14:paraId="041075F9" w14:textId="1734B3E6" w:rsidR="00017E59" w:rsidRDefault="00017E59" w:rsidP="009746FC">
      <w:pPr>
        <w:pStyle w:val="Bullet"/>
      </w:pPr>
      <w:r>
        <w:t xml:space="preserve">improving the volume, quality, and use of evaluation evidence, and </w:t>
      </w:r>
    </w:p>
    <w:p w14:paraId="068A9233" w14:textId="77777777" w:rsidR="00017E59" w:rsidRPr="00946C88" w:rsidRDefault="00017E59" w:rsidP="009746FC">
      <w:pPr>
        <w:pStyle w:val="Bullet"/>
      </w:pPr>
      <w:r>
        <w:t xml:space="preserve">embedding a culture of evaluation across the Australian Public Service. </w:t>
      </w:r>
      <w:r>
        <w:br/>
      </w:r>
    </w:p>
    <w:p w14:paraId="0D175F9C" w14:textId="6BAD0D4F" w:rsidR="00017E59" w:rsidRPr="00C6762C" w:rsidRDefault="00017E59" w:rsidP="009746FC">
      <w:pPr>
        <w:rPr>
          <w:rFonts w:cstheme="minorHAnsi"/>
        </w:rPr>
      </w:pPr>
      <w:r w:rsidRPr="78932B0B">
        <w:t xml:space="preserve">To do this, we work </w:t>
      </w:r>
      <w:r w:rsidR="002B6707">
        <w:t>with partners from across the</w:t>
      </w:r>
      <w:r w:rsidRPr="78932B0B">
        <w:t xml:space="preserve"> </w:t>
      </w:r>
      <w:r w:rsidR="00CE2696">
        <w:t>Australian Government</w:t>
      </w:r>
      <w:r w:rsidR="00CE2696" w:rsidRPr="78932B0B">
        <w:t xml:space="preserve"> </w:t>
      </w:r>
      <w:r w:rsidRPr="78932B0B">
        <w:t xml:space="preserve">to achieve </w:t>
      </w:r>
      <w:r>
        <w:t xml:space="preserve">the </w:t>
      </w:r>
      <w:r w:rsidRPr="78932B0B">
        <w:t>following</w:t>
      </w:r>
      <w:r>
        <w:t xml:space="preserve"> key outcomes</w:t>
      </w:r>
      <w:r w:rsidRPr="78932B0B">
        <w:t>:</w:t>
      </w:r>
    </w:p>
    <w:p w14:paraId="54BB962C" w14:textId="70F88099" w:rsidR="00017E59" w:rsidRPr="00FA16D9" w:rsidRDefault="00017E59" w:rsidP="009746FC">
      <w:pPr>
        <w:pStyle w:val="Bullet"/>
      </w:pPr>
      <w:r>
        <w:t xml:space="preserve">A wide range of policies and programs across government </w:t>
      </w:r>
      <w:r w:rsidR="00B31D4B">
        <w:t xml:space="preserve">are supported by </w:t>
      </w:r>
      <w:r>
        <w:t>high-quality</w:t>
      </w:r>
      <w:r w:rsidR="00B848DF">
        <w:t>, ethical and culturally appropriate</w:t>
      </w:r>
      <w:r>
        <w:t xml:space="preserve"> evaluations.</w:t>
      </w:r>
    </w:p>
    <w:p w14:paraId="3B7D0029" w14:textId="77777777" w:rsidR="00017E59" w:rsidRPr="00FA16D9" w:rsidRDefault="00017E59" w:rsidP="009746FC">
      <w:pPr>
        <w:pStyle w:val="Bullet"/>
        <w:rPr>
          <w:rFonts w:cstheme="minorHAnsi"/>
        </w:rPr>
      </w:pPr>
      <w:r w:rsidRPr="1A96817E">
        <w:rPr>
          <w:rFonts w:cstheme="minorBidi"/>
        </w:rPr>
        <w:t>Evaluative thinking and high-quality evaluation evidence are widely used to inform policy and spending decisions.</w:t>
      </w:r>
    </w:p>
    <w:p w14:paraId="457BE722" w14:textId="6DEE055F" w:rsidR="00017E59" w:rsidRPr="00FA16D9" w:rsidRDefault="00017E59" w:rsidP="009746FC">
      <w:pPr>
        <w:pStyle w:val="Bullet"/>
      </w:pPr>
      <w:r>
        <w:t>A</w:t>
      </w:r>
      <w:r w:rsidR="005124AA">
        <w:t>n a</w:t>
      </w:r>
      <w:r>
        <w:t>ppropriate level of resourcing for evaluation. </w:t>
      </w:r>
    </w:p>
    <w:p w14:paraId="3D5ECCB5" w14:textId="23EC3F90" w:rsidR="00017E59" w:rsidRDefault="00017E59" w:rsidP="009746FC">
      <w:pPr>
        <w:pStyle w:val="Bullet"/>
      </w:pPr>
      <w:r>
        <w:t>Increased u</w:t>
      </w:r>
      <w:r w:rsidR="00093829">
        <w:t>ptake</w:t>
      </w:r>
      <w:r>
        <w:t xml:space="preserve"> of impact evaluations drawing on experimental and quasi-experimental methods informs decision-making.</w:t>
      </w:r>
    </w:p>
    <w:p w14:paraId="51F013A5" w14:textId="608A9585" w:rsidR="009B4C19" w:rsidRPr="005A643B" w:rsidRDefault="009B4C19" w:rsidP="007B7680">
      <w:pPr>
        <w:pStyle w:val="Bullet"/>
      </w:pPr>
      <w:r w:rsidRPr="009B4C19">
        <w:t>Evaluation evidence is routinely used to inform performance information and reporting</w:t>
      </w:r>
      <w:r w:rsidR="001B2A4D">
        <w:t>.</w:t>
      </w:r>
    </w:p>
    <w:p w14:paraId="46A96567" w14:textId="2A559D8A" w:rsidR="00017E59" w:rsidRPr="003F4BD6" w:rsidRDefault="00017E59" w:rsidP="00EC4AF5">
      <w:pPr>
        <w:rPr>
          <w:rFonts w:cstheme="minorHAnsi"/>
        </w:rPr>
      </w:pPr>
      <w:r w:rsidRPr="1A96817E">
        <w:rPr>
          <w:rFonts w:cstheme="minorBidi"/>
        </w:rPr>
        <w:t xml:space="preserve">Increased capability across the APS to design, procure and deliver high-quality, </w:t>
      </w:r>
      <w:r w:rsidR="0034334D">
        <w:rPr>
          <w:rFonts w:cstheme="minorBidi"/>
        </w:rPr>
        <w:t xml:space="preserve">ethical and </w:t>
      </w:r>
      <w:r w:rsidRPr="1A96817E">
        <w:rPr>
          <w:rFonts w:cstheme="minorBidi"/>
        </w:rPr>
        <w:t>culturally appropriate evaluation.</w:t>
      </w:r>
    </w:p>
    <w:p w14:paraId="0A2F6566" w14:textId="10905538" w:rsidR="00017E59" w:rsidRPr="00A8393F" w:rsidRDefault="00017E59" w:rsidP="00A8393F">
      <w:r w:rsidRPr="00231C5D">
        <w:t xml:space="preserve">The full </w:t>
      </w:r>
      <w:r>
        <w:t>range of anticipated</w:t>
      </w:r>
      <w:r w:rsidRPr="00231C5D">
        <w:t xml:space="preserve"> outcomes </w:t>
      </w:r>
      <w:r>
        <w:t>is shown in ou</w:t>
      </w:r>
      <w:r w:rsidRPr="009746FC">
        <w:rPr>
          <w:szCs w:val="22"/>
        </w:rPr>
        <w:t xml:space="preserve">r </w:t>
      </w:r>
      <w:hyperlink r:id="rId29" w:history="1">
        <w:r w:rsidR="0078599F">
          <w:t>t</w:t>
        </w:r>
        <w:r w:rsidRPr="00EC4AF5">
          <w:t xml:space="preserve">heory of </w:t>
        </w:r>
        <w:r w:rsidR="0078599F">
          <w:t>c</w:t>
        </w:r>
        <w:r w:rsidRPr="00EC4AF5">
          <w:t xml:space="preserve">hange </w:t>
        </w:r>
        <w:r w:rsidRPr="009746FC">
          <w:rPr>
            <w:rFonts w:cstheme="minorHAnsi"/>
            <w:szCs w:val="22"/>
          </w:rPr>
          <w:t xml:space="preserve">at </w:t>
        </w:r>
        <w:r w:rsidR="00FD0D6F">
          <w:rPr>
            <w:szCs w:val="22"/>
          </w:rPr>
          <w:t>Appendix</w:t>
        </w:r>
        <w:r w:rsidRPr="009746FC">
          <w:rPr>
            <w:szCs w:val="22"/>
          </w:rPr>
          <w:t xml:space="preserve"> </w:t>
        </w:r>
        <w:r w:rsidR="00705D62">
          <w:rPr>
            <w:szCs w:val="22"/>
          </w:rPr>
          <w:t>A</w:t>
        </w:r>
        <w:r w:rsidRPr="009746FC">
          <w:rPr>
            <w:szCs w:val="22"/>
          </w:rPr>
          <w:t>.</w:t>
        </w:r>
      </w:hyperlink>
    </w:p>
    <w:p w14:paraId="5751A1D7" w14:textId="77777777" w:rsidR="00017E59" w:rsidRPr="00A8393F" w:rsidRDefault="00017E59" w:rsidP="00A8393F">
      <w:pPr>
        <w:pStyle w:val="Heading2"/>
      </w:pPr>
      <w:bookmarkStart w:id="17" w:name="_Toc175056194"/>
      <w:r w:rsidRPr="00A8393F">
        <w:t>How we will achieve our key outcomes</w:t>
      </w:r>
      <w:bookmarkEnd w:id="17"/>
    </w:p>
    <w:p w14:paraId="1FA2ADB7" w14:textId="77777777" w:rsidR="00017E59" w:rsidRPr="00293E46" w:rsidRDefault="00017E59" w:rsidP="00D115B4">
      <w:r>
        <w:t>The ACE</w:t>
      </w:r>
      <w:r w:rsidRPr="00EAAA6B">
        <w:t xml:space="preserve"> work</w:t>
      </w:r>
      <w:r>
        <w:t>s</w:t>
      </w:r>
      <w:r w:rsidRPr="00EAAA6B">
        <w:t xml:space="preserve"> </w:t>
      </w:r>
      <w:r>
        <w:t>in</w:t>
      </w:r>
      <w:r w:rsidRPr="00EAAA6B">
        <w:t xml:space="preserve"> four interconnected streams to achieve our outcomes</w:t>
      </w:r>
      <w:r>
        <w:t>:</w:t>
      </w:r>
    </w:p>
    <w:p w14:paraId="1A1AB2B6" w14:textId="201BA927" w:rsidR="00017E59" w:rsidRPr="00646D10" w:rsidRDefault="00017E59" w:rsidP="1A96817E">
      <w:pPr>
        <w:pStyle w:val="Bullet"/>
      </w:pPr>
      <w:r w:rsidRPr="00EA5298">
        <w:rPr>
          <w:b/>
          <w:bCs/>
        </w:rPr>
        <w:t xml:space="preserve">Evaluation </w:t>
      </w:r>
      <w:r w:rsidR="000D7474" w:rsidRPr="00EA5298">
        <w:rPr>
          <w:b/>
          <w:bCs/>
        </w:rPr>
        <w:t>l</w:t>
      </w:r>
      <w:r w:rsidRPr="00EA5298">
        <w:rPr>
          <w:b/>
          <w:bCs/>
        </w:rPr>
        <w:t xml:space="preserve">eadership and </w:t>
      </w:r>
      <w:r w:rsidR="000D7474" w:rsidRPr="00EA5298">
        <w:rPr>
          <w:b/>
          <w:bCs/>
        </w:rPr>
        <w:t>p</w:t>
      </w:r>
      <w:r w:rsidRPr="00EA5298">
        <w:rPr>
          <w:b/>
          <w:bCs/>
        </w:rPr>
        <w:t>romotion</w:t>
      </w:r>
      <w:r>
        <w:t xml:space="preserve">​ </w:t>
      </w:r>
      <w:r w:rsidR="00C766B2">
        <w:t>– w</w:t>
      </w:r>
      <w:r>
        <w:t xml:space="preserve">e play a leadership role to build a culture of evaluation, </w:t>
      </w:r>
      <w:r w:rsidR="00B31D4B">
        <w:t xml:space="preserve">lead and promote ethical and culturally appropriate </w:t>
      </w:r>
      <w:r w:rsidR="006D3B30">
        <w:t>evaluation</w:t>
      </w:r>
      <w:r w:rsidR="001425F5">
        <w:t xml:space="preserve">, </w:t>
      </w:r>
      <w:r>
        <w:t>and increase the quality, volume</w:t>
      </w:r>
      <w:r w:rsidR="007C706C">
        <w:t xml:space="preserve"> and</w:t>
      </w:r>
      <w:r w:rsidR="00C766B2">
        <w:t xml:space="preserve"> </w:t>
      </w:r>
      <w:r>
        <w:t>use</w:t>
      </w:r>
      <w:r w:rsidR="007C706C">
        <w:t xml:space="preserve"> </w:t>
      </w:r>
      <w:r>
        <w:t>of evaluation</w:t>
      </w:r>
      <w:r w:rsidR="00411D22">
        <w:t xml:space="preserve"> evidence</w:t>
      </w:r>
      <w:r w:rsidR="00DB1794">
        <w:t xml:space="preserve"> across government</w:t>
      </w:r>
      <w:r>
        <w:t xml:space="preserve">. </w:t>
      </w:r>
    </w:p>
    <w:p w14:paraId="4597B02A" w14:textId="2A98D518" w:rsidR="00017E59" w:rsidRPr="00646D10" w:rsidRDefault="00017E59" w:rsidP="1A96817E">
      <w:pPr>
        <w:pStyle w:val="Bullet"/>
      </w:pPr>
      <w:r w:rsidRPr="00EA5298">
        <w:rPr>
          <w:b/>
          <w:bCs/>
        </w:rPr>
        <w:t xml:space="preserve">Impact </w:t>
      </w:r>
      <w:r w:rsidR="000D7474" w:rsidRPr="00EA5298">
        <w:rPr>
          <w:b/>
          <w:bCs/>
        </w:rPr>
        <w:t>e</w:t>
      </w:r>
      <w:r w:rsidRPr="00EA5298">
        <w:rPr>
          <w:b/>
          <w:bCs/>
        </w:rPr>
        <w:t>valuation </w:t>
      </w:r>
      <w:r w:rsidR="000D7474" w:rsidRPr="00EA5298">
        <w:rPr>
          <w:b/>
          <w:bCs/>
        </w:rPr>
        <w:t>d</w:t>
      </w:r>
      <w:r w:rsidRPr="00EA5298">
        <w:rPr>
          <w:b/>
          <w:bCs/>
        </w:rPr>
        <w:t xml:space="preserve">elivery​ and </w:t>
      </w:r>
      <w:r w:rsidR="000D7474" w:rsidRPr="00EA5298">
        <w:rPr>
          <w:b/>
          <w:bCs/>
        </w:rPr>
        <w:t>a</w:t>
      </w:r>
      <w:r w:rsidRPr="00EA5298">
        <w:rPr>
          <w:b/>
          <w:bCs/>
        </w:rPr>
        <w:t>dvice</w:t>
      </w:r>
      <w:r w:rsidR="00C766B2">
        <w:t xml:space="preserve"> – w</w:t>
      </w:r>
      <w:r>
        <w:t>e champion</w:t>
      </w:r>
      <w:r w:rsidR="005124AA">
        <w:t xml:space="preserve"> and support</w:t>
      </w:r>
      <w:r>
        <w:t xml:space="preserve"> high-quality </w:t>
      </w:r>
      <w:r w:rsidR="005124AA">
        <w:t xml:space="preserve">rigorous </w:t>
      </w:r>
      <w:r>
        <w:t xml:space="preserve">impact evaluations working in partnership with government </w:t>
      </w:r>
      <w:r w:rsidR="00C7354B">
        <w:t>entities</w:t>
      </w:r>
      <w:r w:rsidR="00813689">
        <w:t>, ensuring these are conducted in an ethical and culturally appropriate way</w:t>
      </w:r>
      <w:r>
        <w:t xml:space="preserve">. </w:t>
      </w:r>
    </w:p>
    <w:p w14:paraId="3C43D275" w14:textId="508C75C1" w:rsidR="00017E59" w:rsidRPr="00646D10" w:rsidRDefault="00017E59" w:rsidP="1A96817E">
      <w:pPr>
        <w:pStyle w:val="Bullet"/>
      </w:pPr>
      <w:r w:rsidRPr="00EA5298">
        <w:rPr>
          <w:b/>
          <w:bCs/>
        </w:rPr>
        <w:t xml:space="preserve">Evaluation </w:t>
      </w:r>
      <w:r w:rsidR="000D7474" w:rsidRPr="00EA5298">
        <w:rPr>
          <w:b/>
          <w:bCs/>
        </w:rPr>
        <w:t>p</w:t>
      </w:r>
      <w:r w:rsidRPr="00EA5298">
        <w:rPr>
          <w:b/>
          <w:bCs/>
        </w:rPr>
        <w:t>lanning and </w:t>
      </w:r>
      <w:r w:rsidR="000D7474" w:rsidRPr="00EA5298">
        <w:rPr>
          <w:b/>
          <w:bCs/>
        </w:rPr>
        <w:t>u</w:t>
      </w:r>
      <w:r w:rsidRPr="00EA5298">
        <w:rPr>
          <w:b/>
          <w:bCs/>
        </w:rPr>
        <w:t>se</w:t>
      </w:r>
      <w:r w:rsidR="00C766B2">
        <w:t xml:space="preserve"> – w</w:t>
      </w:r>
      <w:r>
        <w:t>e strengthen evaluation planning and use</w:t>
      </w:r>
      <w:r w:rsidR="005124AA">
        <w:t xml:space="preserve">, including through </w:t>
      </w:r>
      <w:r>
        <w:t>Budget and Cabinet processes</w:t>
      </w:r>
      <w:r w:rsidR="005124AA">
        <w:t>,</w:t>
      </w:r>
      <w:r>
        <w:t xml:space="preserve"> and work closely with </w:t>
      </w:r>
      <w:r w:rsidR="00C7354B">
        <w:t>dedicated evaluation units</w:t>
      </w:r>
      <w:r>
        <w:t xml:space="preserve"> to integrate high-quality evaluation into all aspects of program and policy design and delivery.</w:t>
      </w:r>
    </w:p>
    <w:p w14:paraId="78CD1881" w14:textId="11482A96" w:rsidR="00017E59" w:rsidRPr="009D2EBF" w:rsidRDefault="00017E59" w:rsidP="009D2EBF">
      <w:pPr>
        <w:pStyle w:val="Bullet"/>
        <w:numPr>
          <w:ilvl w:val="0"/>
          <w:numId w:val="1"/>
        </w:numPr>
      </w:pPr>
      <w:r w:rsidRPr="00EA5298">
        <w:rPr>
          <w:b/>
          <w:bCs/>
        </w:rPr>
        <w:t xml:space="preserve">Evaluation </w:t>
      </w:r>
      <w:r w:rsidR="000D7474" w:rsidRPr="00EA5298">
        <w:rPr>
          <w:b/>
          <w:bCs/>
        </w:rPr>
        <w:t>c</w:t>
      </w:r>
      <w:r w:rsidRPr="00EA5298">
        <w:rPr>
          <w:b/>
          <w:bCs/>
        </w:rPr>
        <w:t xml:space="preserve">apability </w:t>
      </w:r>
      <w:r w:rsidR="000D7474" w:rsidRPr="00EA5298">
        <w:rPr>
          <w:b/>
          <w:bCs/>
        </w:rPr>
        <w:t>b</w:t>
      </w:r>
      <w:r w:rsidRPr="00EA5298">
        <w:rPr>
          <w:b/>
          <w:bCs/>
        </w:rPr>
        <w:t>uilding</w:t>
      </w:r>
      <w:r w:rsidR="00C766B2">
        <w:t xml:space="preserve"> – w</w:t>
      </w:r>
      <w:r>
        <w:t xml:space="preserve">e build system-wide evaluation capability to create, use and share robust </w:t>
      </w:r>
      <w:r w:rsidR="00C766B2">
        <w:t xml:space="preserve">evaluation </w:t>
      </w:r>
      <w:r>
        <w:t>evidence across the Australian Government and beyond.</w:t>
      </w:r>
    </w:p>
    <w:p w14:paraId="1BA90EC5" w14:textId="56BB551C" w:rsidR="00017E59" w:rsidRDefault="00017E59" w:rsidP="00BF0F41">
      <w:pPr>
        <w:pStyle w:val="Heading3"/>
      </w:pPr>
      <w:bookmarkStart w:id="18" w:name="_Toc175056195"/>
      <w:r w:rsidRPr="4B21380F">
        <w:t xml:space="preserve">Stream 1: Evaluation </w:t>
      </w:r>
      <w:r w:rsidR="000D7474">
        <w:t>l</w:t>
      </w:r>
      <w:r w:rsidRPr="4B21380F">
        <w:t xml:space="preserve">eadership and </w:t>
      </w:r>
      <w:r w:rsidR="000D7474">
        <w:t>p</w:t>
      </w:r>
      <w:r w:rsidRPr="4B21380F">
        <w:t>romotion</w:t>
      </w:r>
      <w:r w:rsidRPr="4B21380F">
        <w:rPr>
          <w:lang w:val="en-US"/>
        </w:rPr>
        <w:t>​</w:t>
      </w:r>
      <w:bookmarkEnd w:id="18"/>
      <w:r w:rsidRPr="4B21380F">
        <w:t xml:space="preserve"> </w:t>
      </w:r>
    </w:p>
    <w:p w14:paraId="3FA86A8B" w14:textId="20FD1EA3" w:rsidR="00017E59" w:rsidRDefault="00017E59" w:rsidP="009C0390">
      <w:r>
        <w:t>To</w:t>
      </w:r>
      <w:r w:rsidRPr="4B21380F">
        <w:t xml:space="preserve"> </w:t>
      </w:r>
      <w:r w:rsidR="005237EE">
        <w:t xml:space="preserve">promote the Commonwealth Evaluation Policy and </w:t>
      </w:r>
      <w:r w:rsidRPr="4B21380F">
        <w:t>embed a culture of evaluation in the APS</w:t>
      </w:r>
      <w:r>
        <w:t>,</w:t>
      </w:r>
      <w:r w:rsidRPr="4B21380F">
        <w:t xml:space="preserve"> </w:t>
      </w:r>
      <w:r w:rsidR="0076435D">
        <w:t>we work</w:t>
      </w:r>
      <w:r>
        <w:t xml:space="preserve"> with </w:t>
      </w:r>
      <w:r w:rsidR="006E463A">
        <w:t>a range of</w:t>
      </w:r>
      <w:r>
        <w:t xml:space="preserve"> governance, leadership, and practitioner networks and </w:t>
      </w:r>
      <w:r w:rsidRPr="45797A5B">
        <w:t>groups.</w:t>
      </w:r>
      <w:r>
        <w:t xml:space="preserve"> This includes:</w:t>
      </w:r>
    </w:p>
    <w:p w14:paraId="76AF593A" w14:textId="3ECE1425" w:rsidR="00017E59" w:rsidRDefault="009B68EC" w:rsidP="009C0390">
      <w:pPr>
        <w:pStyle w:val="Bullet"/>
      </w:pPr>
      <w:r>
        <w:t>l</w:t>
      </w:r>
      <w:r w:rsidR="00017E59">
        <w:t xml:space="preserve">eading the </w:t>
      </w:r>
      <w:r w:rsidR="00002691">
        <w:t>Commonwealth</w:t>
      </w:r>
      <w:r w:rsidR="00017E59">
        <w:t xml:space="preserve"> Evaluation Reference Group, which provides cross-government leadership and coordi</w:t>
      </w:r>
      <w:r w:rsidR="005237EE">
        <w:t xml:space="preserve">nation of </w:t>
      </w:r>
      <w:r w:rsidR="00017E59">
        <w:t>evaluation reform initiatives across government</w:t>
      </w:r>
    </w:p>
    <w:p w14:paraId="354D2101" w14:textId="65F8D59A" w:rsidR="00017E59" w:rsidRPr="005B278C" w:rsidRDefault="009B68EC" w:rsidP="009C0390">
      <w:pPr>
        <w:pStyle w:val="Bullet"/>
      </w:pPr>
      <w:r>
        <w:t>l</w:t>
      </w:r>
      <w:r w:rsidR="00017E59">
        <w:t>eading the Evaluation Community of Practice, which brings together people with a role or an interest in evaluation to learn, share and build evaluation capability</w:t>
      </w:r>
    </w:p>
    <w:p w14:paraId="43A8C8DE" w14:textId="5D9E6F2B" w:rsidR="00017E59" w:rsidRDefault="009B68EC" w:rsidP="009C0390">
      <w:pPr>
        <w:pStyle w:val="Bullet"/>
        <w:rPr>
          <w:rFonts w:eastAsia="Calibri" w:cs="Calibri Light"/>
          <w:color w:val="000000" w:themeColor="text1"/>
        </w:rPr>
      </w:pPr>
      <w:r>
        <w:rPr>
          <w:rFonts w:cs="Calibri Light"/>
        </w:rPr>
        <w:t>l</w:t>
      </w:r>
      <w:r w:rsidR="00017E59" w:rsidRPr="1A96817E">
        <w:rPr>
          <w:rFonts w:cs="Calibri Light"/>
        </w:rPr>
        <w:t>eading the Impact Evaluation Practitioners Network, which connects</w:t>
      </w:r>
      <w:r w:rsidR="00017E59" w:rsidRPr="1A96817E">
        <w:rPr>
          <w:rFonts w:eastAsia="Calibri" w:cs="Calibri Light"/>
          <w:color w:val="000000" w:themeColor="text1"/>
        </w:rPr>
        <w:t xml:space="preserve"> Australian impact evaluation practitioners and facilitates access to technical advice and peer mentoring </w:t>
      </w:r>
      <w:r w:rsidR="00AD485D" w:rsidRPr="1A96817E">
        <w:rPr>
          <w:rFonts w:eastAsia="Calibri" w:cs="Calibri Light"/>
          <w:color w:val="000000" w:themeColor="text1"/>
        </w:rPr>
        <w:t>support</w:t>
      </w:r>
    </w:p>
    <w:p w14:paraId="25C451E2" w14:textId="0F168C61" w:rsidR="00BC7A95" w:rsidRPr="009C0390" w:rsidRDefault="00BC7A95" w:rsidP="009C0390">
      <w:pPr>
        <w:pStyle w:val="Bullet"/>
        <w:rPr>
          <w:rFonts w:eastAsia="Calibri" w:cs="Calibri Light"/>
          <w:color w:val="000000" w:themeColor="text1"/>
        </w:rPr>
      </w:pPr>
      <w:r>
        <w:rPr>
          <w:rFonts w:cs="Calibri Light"/>
        </w:rPr>
        <w:t xml:space="preserve">promoting the Productivity Commission’s </w:t>
      </w:r>
      <w:hyperlink r:id="rId30" w:history="1">
        <w:r w:rsidRPr="00BC7A95">
          <w:rPr>
            <w:rStyle w:val="Hyperlink"/>
            <w:rFonts w:cs="Calibri Light"/>
          </w:rPr>
          <w:t>Indigenous Evaluation Strategy</w:t>
        </w:r>
      </w:hyperlink>
      <w:r>
        <w:rPr>
          <w:rFonts w:cs="Calibri Light"/>
        </w:rPr>
        <w:t xml:space="preserve"> as the whole-of-government framework for </w:t>
      </w:r>
      <w:r w:rsidRPr="00BC7A95">
        <w:rPr>
          <w:rFonts w:cs="Calibri Light"/>
        </w:rPr>
        <w:t>selecting, planning, conducting and using evaluations of policies and programs affecting Aboriginal and Torres Strait Islander people</w:t>
      </w:r>
    </w:p>
    <w:p w14:paraId="7639F0FA" w14:textId="309C297B" w:rsidR="00F266E8" w:rsidRDefault="009B68EC" w:rsidP="009C0390">
      <w:pPr>
        <w:pStyle w:val="Bullet"/>
        <w:rPr>
          <w:rFonts w:eastAsia="Calibri" w:cs="Calibri Light"/>
          <w:color w:val="000000" w:themeColor="text1"/>
        </w:rPr>
      </w:pPr>
      <w:r>
        <w:rPr>
          <w:rFonts w:cs="Calibri Light"/>
        </w:rPr>
        <w:t>c</w:t>
      </w:r>
      <w:r w:rsidR="004B492D" w:rsidRPr="1A96817E">
        <w:rPr>
          <w:rFonts w:cs="Calibri Light"/>
        </w:rPr>
        <w:t xml:space="preserve">onvening and contributing </w:t>
      </w:r>
      <w:r w:rsidR="004F5426" w:rsidRPr="1A96817E">
        <w:rPr>
          <w:rFonts w:cs="Calibri Light"/>
        </w:rPr>
        <w:t xml:space="preserve">to </w:t>
      </w:r>
      <w:r w:rsidR="004B492D" w:rsidRPr="1A96817E">
        <w:rPr>
          <w:rFonts w:cs="Calibri Light"/>
        </w:rPr>
        <w:t>conferences and</w:t>
      </w:r>
      <w:r w:rsidR="00017E59" w:rsidRPr="1A96817E">
        <w:rPr>
          <w:rFonts w:eastAsia="Calibri" w:cs="Calibri Light"/>
          <w:color w:val="000000" w:themeColor="text1"/>
        </w:rPr>
        <w:t xml:space="preserve"> events that facilitate professional </w:t>
      </w:r>
      <w:r w:rsidR="004F5426" w:rsidRPr="1A96817E">
        <w:rPr>
          <w:rFonts w:eastAsia="Calibri" w:cs="Calibri Light"/>
          <w:color w:val="000000" w:themeColor="text1"/>
        </w:rPr>
        <w:t xml:space="preserve">development, </w:t>
      </w:r>
      <w:r w:rsidR="00017E59" w:rsidRPr="1A96817E">
        <w:rPr>
          <w:rFonts w:eastAsia="Calibri" w:cs="Calibri Light"/>
          <w:color w:val="000000" w:themeColor="text1"/>
        </w:rPr>
        <w:t>networking and collaboration on evaluation</w:t>
      </w:r>
      <w:r w:rsidR="00454F17">
        <w:rPr>
          <w:rFonts w:eastAsia="Calibri" w:cs="Calibri Light"/>
          <w:color w:val="000000" w:themeColor="text1"/>
        </w:rPr>
        <w:t>.</w:t>
      </w:r>
    </w:p>
    <w:p w14:paraId="2C6A55A6" w14:textId="4AFEEFA0" w:rsidR="00B70DE8" w:rsidRPr="006C5F8D" w:rsidRDefault="00E47211" w:rsidP="007B7680">
      <w:pPr>
        <w:pStyle w:val="Bullet"/>
        <w:numPr>
          <w:ilvl w:val="0"/>
          <w:numId w:val="0"/>
        </w:numPr>
        <w:rPr>
          <w:rFonts w:eastAsia="Calibri" w:cs="Calibri Light"/>
          <w:color w:val="000000" w:themeColor="text1"/>
        </w:rPr>
      </w:pPr>
      <w:r>
        <w:rPr>
          <w:rFonts w:eastAsia="Calibri"/>
        </w:rPr>
        <w:t xml:space="preserve">The ACE also </w:t>
      </w:r>
      <w:r>
        <w:rPr>
          <w:rFonts w:cs="Calibri Light"/>
        </w:rPr>
        <w:t>w</w:t>
      </w:r>
      <w:r w:rsidR="00B70DE8">
        <w:rPr>
          <w:rFonts w:cs="Calibri Light"/>
        </w:rPr>
        <w:t>ork</w:t>
      </w:r>
      <w:r>
        <w:rPr>
          <w:rFonts w:cs="Calibri Light"/>
        </w:rPr>
        <w:t>s</w:t>
      </w:r>
      <w:r w:rsidR="00B70DE8">
        <w:rPr>
          <w:rFonts w:cs="Calibri Light"/>
        </w:rPr>
        <w:t xml:space="preserve"> with Commonwealth </w:t>
      </w:r>
      <w:r w:rsidR="006C5F8D">
        <w:rPr>
          <w:rFonts w:cs="Calibri Light"/>
        </w:rPr>
        <w:t>e</w:t>
      </w:r>
      <w:r w:rsidR="00B70DE8">
        <w:rPr>
          <w:rFonts w:cs="Calibri Light"/>
        </w:rPr>
        <w:t xml:space="preserve">valuation </w:t>
      </w:r>
      <w:r w:rsidR="006C5F8D">
        <w:rPr>
          <w:rFonts w:cs="Calibri Light"/>
        </w:rPr>
        <w:t>u</w:t>
      </w:r>
      <w:r w:rsidR="00B70DE8">
        <w:rPr>
          <w:rFonts w:cs="Calibri Light"/>
        </w:rPr>
        <w:t xml:space="preserve">nits </w:t>
      </w:r>
      <w:r w:rsidR="006C5F8D">
        <w:rPr>
          <w:rFonts w:cs="Calibri Light"/>
        </w:rPr>
        <w:t xml:space="preserve">and entities </w:t>
      </w:r>
      <w:r w:rsidR="00B70DE8">
        <w:rPr>
          <w:rFonts w:cs="Calibri Light"/>
        </w:rPr>
        <w:t xml:space="preserve">to </w:t>
      </w:r>
      <w:r w:rsidR="00FB6D71">
        <w:rPr>
          <w:rFonts w:cs="Calibri Light"/>
        </w:rPr>
        <w:t xml:space="preserve">promote good </w:t>
      </w:r>
      <w:r w:rsidR="007F28D9">
        <w:rPr>
          <w:rFonts w:cs="Calibri Light"/>
        </w:rPr>
        <w:t xml:space="preserve">evaluation </w:t>
      </w:r>
      <w:r w:rsidR="00FB6D71">
        <w:rPr>
          <w:rFonts w:cs="Calibri Light"/>
        </w:rPr>
        <w:t>practice</w:t>
      </w:r>
      <w:r w:rsidR="007F28D9">
        <w:rPr>
          <w:rFonts w:cs="Calibri Light"/>
        </w:rPr>
        <w:t>s</w:t>
      </w:r>
      <w:r w:rsidR="00FB6D71">
        <w:rPr>
          <w:rFonts w:cs="Calibri Light"/>
        </w:rPr>
        <w:t xml:space="preserve"> </w:t>
      </w:r>
      <w:r w:rsidR="008B2AAF">
        <w:rPr>
          <w:rFonts w:cs="Calibri Light"/>
        </w:rPr>
        <w:t>and governance</w:t>
      </w:r>
      <w:r w:rsidR="007B0639">
        <w:rPr>
          <w:rFonts w:cs="Calibri Light"/>
        </w:rPr>
        <w:t>. R</w:t>
      </w:r>
      <w:r w:rsidR="0048464E">
        <w:rPr>
          <w:rFonts w:cs="Calibri Light"/>
        </w:rPr>
        <w:t>elative to the</w:t>
      </w:r>
      <w:r w:rsidR="006C5F8D">
        <w:rPr>
          <w:rFonts w:cs="Calibri Light"/>
        </w:rPr>
        <w:t xml:space="preserve"> </w:t>
      </w:r>
      <w:r w:rsidR="006C5F8D" w:rsidRPr="006C5F8D">
        <w:rPr>
          <w:rFonts w:cs="Calibri Light"/>
        </w:rPr>
        <w:t>size</w:t>
      </w:r>
      <w:r w:rsidR="00B907FD">
        <w:rPr>
          <w:rFonts w:cs="Calibri Light"/>
        </w:rPr>
        <w:t>, function</w:t>
      </w:r>
      <w:r w:rsidR="006C5F8D" w:rsidRPr="006C5F8D">
        <w:rPr>
          <w:rFonts w:cs="Calibri Light"/>
        </w:rPr>
        <w:t xml:space="preserve"> and scale of </w:t>
      </w:r>
      <w:r w:rsidR="007B0639">
        <w:rPr>
          <w:rFonts w:cs="Calibri Light"/>
        </w:rPr>
        <w:t>each</w:t>
      </w:r>
      <w:r w:rsidR="006C5F8D" w:rsidRPr="006C5F8D">
        <w:rPr>
          <w:rFonts w:cs="Calibri Light"/>
        </w:rPr>
        <w:t xml:space="preserve"> </w:t>
      </w:r>
      <w:r w:rsidR="007B0639">
        <w:rPr>
          <w:rFonts w:cs="Calibri Light"/>
        </w:rPr>
        <w:t>entity this could include</w:t>
      </w:r>
      <w:r w:rsidR="00191881">
        <w:rPr>
          <w:rFonts w:cs="Calibri Light"/>
        </w:rPr>
        <w:t>:</w:t>
      </w:r>
    </w:p>
    <w:p w14:paraId="39537172" w14:textId="743B8FBC" w:rsidR="00FB6D71" w:rsidRPr="00E70912" w:rsidRDefault="009B68EC" w:rsidP="00E70912">
      <w:pPr>
        <w:pStyle w:val="Bullet"/>
        <w:rPr>
          <w:rFonts w:cs="Calibri Light"/>
        </w:rPr>
      </w:pPr>
      <w:r>
        <w:rPr>
          <w:rFonts w:cs="Calibri Light"/>
        </w:rPr>
        <w:t>d</w:t>
      </w:r>
      <w:r w:rsidR="007F557D" w:rsidRPr="00E70912">
        <w:rPr>
          <w:rFonts w:cs="Calibri Light"/>
        </w:rPr>
        <w:t>evelop</w:t>
      </w:r>
      <w:r w:rsidR="00465A73" w:rsidRPr="00E70912">
        <w:rPr>
          <w:rFonts w:cs="Calibri Light"/>
        </w:rPr>
        <w:t>ing</w:t>
      </w:r>
      <w:r w:rsidR="007F557D" w:rsidRPr="00E70912">
        <w:rPr>
          <w:rFonts w:cs="Calibri Light"/>
        </w:rPr>
        <w:t xml:space="preserve"> and publish</w:t>
      </w:r>
      <w:r w:rsidR="00465A73" w:rsidRPr="00E70912">
        <w:rPr>
          <w:rFonts w:cs="Calibri Light"/>
        </w:rPr>
        <w:t>ing</w:t>
      </w:r>
      <w:r w:rsidR="007F557D" w:rsidRPr="00E70912">
        <w:rPr>
          <w:rFonts w:cs="Calibri Light"/>
        </w:rPr>
        <w:t xml:space="preserve"> an enterprise-level evaluation strategy and</w:t>
      </w:r>
      <w:r w:rsidR="000D75B8" w:rsidRPr="00E70912">
        <w:rPr>
          <w:rFonts w:cs="Calibri Light"/>
        </w:rPr>
        <w:t>/or</w:t>
      </w:r>
      <w:r w:rsidR="007F557D" w:rsidRPr="00E70912">
        <w:rPr>
          <w:rFonts w:cs="Calibri Light"/>
        </w:rPr>
        <w:t xml:space="preserve"> forward work plan</w:t>
      </w:r>
    </w:p>
    <w:p w14:paraId="7187473C" w14:textId="42E825EE" w:rsidR="00AE6135" w:rsidRPr="00E70912" w:rsidRDefault="009B68EC" w:rsidP="00E70912">
      <w:pPr>
        <w:pStyle w:val="Bullet"/>
        <w:rPr>
          <w:rFonts w:cs="Calibri Light"/>
        </w:rPr>
      </w:pPr>
      <w:r>
        <w:rPr>
          <w:rFonts w:cs="Calibri Light"/>
        </w:rPr>
        <w:t>n</w:t>
      </w:r>
      <w:r w:rsidR="0048464E" w:rsidRPr="00E70912">
        <w:rPr>
          <w:rFonts w:cs="Calibri Light"/>
        </w:rPr>
        <w:t>ominating a designated</w:t>
      </w:r>
      <w:r w:rsidR="00214234" w:rsidRPr="00E70912">
        <w:rPr>
          <w:rFonts w:cs="Calibri Light"/>
        </w:rPr>
        <w:t xml:space="preserve"> </w:t>
      </w:r>
      <w:r w:rsidR="006F4279" w:rsidRPr="00E70912">
        <w:rPr>
          <w:rFonts w:cs="Calibri Light"/>
        </w:rPr>
        <w:t>role</w:t>
      </w:r>
      <w:r w:rsidR="00281595" w:rsidRPr="00E70912">
        <w:rPr>
          <w:rFonts w:cs="Calibri Light"/>
        </w:rPr>
        <w:t xml:space="preserve"> or position</w:t>
      </w:r>
      <w:r w:rsidR="00214234" w:rsidRPr="00E70912">
        <w:rPr>
          <w:rFonts w:cs="Calibri Light"/>
        </w:rPr>
        <w:t xml:space="preserve"> with </w:t>
      </w:r>
      <w:r w:rsidR="0009539C">
        <w:rPr>
          <w:rFonts w:cs="Calibri Light"/>
        </w:rPr>
        <w:t>oversight</w:t>
      </w:r>
      <w:r w:rsidR="00281595" w:rsidRPr="00E70912">
        <w:rPr>
          <w:rFonts w:cs="Calibri Light"/>
        </w:rPr>
        <w:t xml:space="preserve"> </w:t>
      </w:r>
      <w:r w:rsidR="0009539C">
        <w:rPr>
          <w:rFonts w:cs="Calibri Light"/>
        </w:rPr>
        <w:t>of e</w:t>
      </w:r>
      <w:r w:rsidR="00AD6792" w:rsidRPr="00E70912">
        <w:rPr>
          <w:rFonts w:cs="Calibri Light"/>
        </w:rPr>
        <w:t>valuation at an enterprise-level</w:t>
      </w:r>
    </w:p>
    <w:p w14:paraId="76A873AE" w14:textId="14C18E31" w:rsidR="00641438" w:rsidRDefault="009B68EC" w:rsidP="007F28D9">
      <w:pPr>
        <w:pStyle w:val="Bullet"/>
        <w:rPr>
          <w:rFonts w:cs="Calibri Light"/>
        </w:rPr>
      </w:pPr>
      <w:r>
        <w:rPr>
          <w:rFonts w:cs="Calibri Light"/>
        </w:rPr>
        <w:t>e</w:t>
      </w:r>
      <w:r w:rsidR="00641438" w:rsidRPr="00E70912">
        <w:rPr>
          <w:rFonts w:cs="Calibri Light"/>
        </w:rPr>
        <w:t xml:space="preserve">stablishing </w:t>
      </w:r>
      <w:r w:rsidR="00E179A9">
        <w:rPr>
          <w:rFonts w:cs="Calibri Light"/>
        </w:rPr>
        <w:t>a</w:t>
      </w:r>
      <w:r w:rsidR="008B7B33">
        <w:rPr>
          <w:rFonts w:cs="Calibri Light"/>
        </w:rPr>
        <w:t>n</w:t>
      </w:r>
      <w:r w:rsidR="00E179A9">
        <w:rPr>
          <w:rFonts w:cs="Calibri Light"/>
        </w:rPr>
        <w:t xml:space="preserve"> </w:t>
      </w:r>
      <w:r w:rsidR="00641438" w:rsidRPr="00E70912">
        <w:rPr>
          <w:rFonts w:cs="Calibri Light"/>
        </w:rPr>
        <w:t xml:space="preserve">in-house evaluation </w:t>
      </w:r>
      <w:r w:rsidR="00D46454" w:rsidRPr="00E70912">
        <w:rPr>
          <w:rFonts w:cs="Calibri Light"/>
        </w:rPr>
        <w:t xml:space="preserve">unit and/or roles commensurate with the </w:t>
      </w:r>
      <w:r w:rsidR="00A07830">
        <w:rPr>
          <w:rFonts w:cs="Calibri Light"/>
        </w:rPr>
        <w:t>entity’s requirements</w:t>
      </w:r>
    </w:p>
    <w:p w14:paraId="31D54A92" w14:textId="15AD8E09" w:rsidR="00CD1AEB" w:rsidRDefault="005E47B8" w:rsidP="00CD1AEB">
      <w:pPr>
        <w:pStyle w:val="Bullet"/>
        <w:rPr>
          <w:rFonts w:cs="Calibri Light"/>
        </w:rPr>
      </w:pPr>
      <w:r>
        <w:rPr>
          <w:rFonts w:cs="Calibri Light"/>
        </w:rPr>
        <w:t>e</w:t>
      </w:r>
      <w:r w:rsidR="00CD1AEB" w:rsidRPr="009839B0">
        <w:rPr>
          <w:rFonts w:cs="Calibri Light"/>
        </w:rPr>
        <w:t xml:space="preserve">ffective governance </w:t>
      </w:r>
      <w:r w:rsidR="00874573">
        <w:rPr>
          <w:rFonts w:cs="Calibri Light"/>
        </w:rPr>
        <w:t>at an enterprise-level</w:t>
      </w:r>
      <w:r w:rsidR="008B2AAF">
        <w:rPr>
          <w:rFonts w:cs="Calibri Light"/>
        </w:rPr>
        <w:t xml:space="preserve"> </w:t>
      </w:r>
      <w:r w:rsidR="00CD1AEB">
        <w:rPr>
          <w:rFonts w:cs="Calibri Light"/>
        </w:rPr>
        <w:t xml:space="preserve">to </w:t>
      </w:r>
      <w:r w:rsidR="0007529F">
        <w:rPr>
          <w:rFonts w:cs="Calibri Light"/>
        </w:rPr>
        <w:t>embed</w:t>
      </w:r>
      <w:r w:rsidR="00CD1AEB">
        <w:rPr>
          <w:rFonts w:cs="Calibri Light"/>
        </w:rPr>
        <w:t xml:space="preserve"> evaluation </w:t>
      </w:r>
      <w:r w:rsidR="0007529F">
        <w:rPr>
          <w:rFonts w:cs="Calibri Light"/>
        </w:rPr>
        <w:t>into</w:t>
      </w:r>
      <w:r w:rsidR="00BE3026">
        <w:rPr>
          <w:rFonts w:cs="Calibri Light"/>
        </w:rPr>
        <w:t xml:space="preserve"> business planning</w:t>
      </w:r>
      <w:r w:rsidR="00973F3E">
        <w:rPr>
          <w:rFonts w:cs="Calibri Light"/>
        </w:rPr>
        <w:t>,</w:t>
      </w:r>
      <w:r w:rsidR="00BE3026">
        <w:rPr>
          <w:rFonts w:cs="Calibri Light"/>
        </w:rPr>
        <w:t xml:space="preserve"> performance, risk</w:t>
      </w:r>
      <w:r w:rsidR="006F2120">
        <w:rPr>
          <w:rFonts w:cs="Calibri Light"/>
        </w:rPr>
        <w:t xml:space="preserve"> and</w:t>
      </w:r>
      <w:r w:rsidR="009249A7">
        <w:rPr>
          <w:rFonts w:cs="Calibri Light"/>
        </w:rPr>
        <w:t xml:space="preserve"> program management</w:t>
      </w:r>
      <w:r w:rsidR="00973F3E">
        <w:rPr>
          <w:rFonts w:cs="Calibri Light"/>
        </w:rPr>
        <w:t>,</w:t>
      </w:r>
      <w:r w:rsidR="0085077A">
        <w:rPr>
          <w:rFonts w:cs="Calibri Light"/>
        </w:rPr>
        <w:t xml:space="preserve"> </w:t>
      </w:r>
      <w:r w:rsidR="000C044E">
        <w:rPr>
          <w:rFonts w:cs="Calibri Light"/>
        </w:rPr>
        <w:t xml:space="preserve">and </w:t>
      </w:r>
      <w:r w:rsidR="0085077A">
        <w:rPr>
          <w:rFonts w:cs="Calibri Light"/>
        </w:rPr>
        <w:t>budget priori</w:t>
      </w:r>
      <w:r w:rsidR="00035D21">
        <w:rPr>
          <w:rFonts w:cs="Calibri Light"/>
        </w:rPr>
        <w:t>tisation</w:t>
      </w:r>
      <w:r w:rsidR="00973F3E">
        <w:rPr>
          <w:rFonts w:cs="Calibri Light"/>
        </w:rPr>
        <w:t xml:space="preserve"> processes</w:t>
      </w:r>
    </w:p>
    <w:p w14:paraId="73BEC5EC" w14:textId="58F52143" w:rsidR="00035D21" w:rsidRPr="009839B0" w:rsidRDefault="005E47B8" w:rsidP="00CD1AEB">
      <w:pPr>
        <w:pStyle w:val="Bullet"/>
        <w:rPr>
          <w:rFonts w:cs="Calibri Light"/>
        </w:rPr>
      </w:pPr>
      <w:r>
        <w:rPr>
          <w:rFonts w:cs="Calibri Light"/>
        </w:rPr>
        <w:t>u</w:t>
      </w:r>
      <w:r w:rsidR="00035D21">
        <w:rPr>
          <w:rFonts w:cs="Calibri Light"/>
        </w:rPr>
        <w:t xml:space="preserve">sing </w:t>
      </w:r>
      <w:r w:rsidR="00B1044F">
        <w:rPr>
          <w:rFonts w:cs="Calibri Light"/>
        </w:rPr>
        <w:t xml:space="preserve">strategic, risk-based approaches to identify, prioritise and schedule evaluation activities </w:t>
      </w:r>
    </w:p>
    <w:p w14:paraId="0876AF29" w14:textId="4FEB9C9B" w:rsidR="006F2120" w:rsidRDefault="005E47B8" w:rsidP="007F28D9">
      <w:pPr>
        <w:pStyle w:val="Bullet"/>
        <w:rPr>
          <w:rFonts w:cs="Calibri Light"/>
        </w:rPr>
      </w:pPr>
      <w:r>
        <w:rPr>
          <w:rFonts w:cs="Calibri Light"/>
        </w:rPr>
        <w:t>b</w:t>
      </w:r>
      <w:r w:rsidR="00AB2B6D">
        <w:rPr>
          <w:rFonts w:cs="Calibri Light"/>
        </w:rPr>
        <w:t xml:space="preserve">uilding </w:t>
      </w:r>
      <w:r w:rsidR="003C56FD">
        <w:rPr>
          <w:rFonts w:cs="Calibri Light"/>
        </w:rPr>
        <w:t xml:space="preserve">robust monitoring and </w:t>
      </w:r>
      <w:r w:rsidR="00AB2B6D">
        <w:rPr>
          <w:rFonts w:cs="Calibri Light"/>
        </w:rPr>
        <w:t xml:space="preserve">evaluation </w:t>
      </w:r>
      <w:r w:rsidR="00B907FD">
        <w:rPr>
          <w:rFonts w:cs="Calibri Light"/>
        </w:rPr>
        <w:t xml:space="preserve">into the ongoing governance of </w:t>
      </w:r>
      <w:r w:rsidR="003C56FD">
        <w:rPr>
          <w:rFonts w:cs="Calibri Light"/>
        </w:rPr>
        <w:t xml:space="preserve">all </w:t>
      </w:r>
      <w:r w:rsidR="00B907FD">
        <w:rPr>
          <w:rFonts w:cs="Calibri Light"/>
        </w:rPr>
        <w:t>programs and policies</w:t>
      </w:r>
      <w:r w:rsidR="00FC12A3">
        <w:rPr>
          <w:rFonts w:cs="Calibri Light"/>
        </w:rPr>
        <w:t xml:space="preserve"> </w:t>
      </w:r>
    </w:p>
    <w:p w14:paraId="18B6D4A3" w14:textId="4FE61D64" w:rsidR="00CD1AEB" w:rsidRDefault="005E47B8" w:rsidP="007F28D9">
      <w:pPr>
        <w:pStyle w:val="Bullet"/>
        <w:rPr>
          <w:rFonts w:cs="Calibri Light"/>
        </w:rPr>
      </w:pPr>
      <w:r>
        <w:rPr>
          <w:rFonts w:cs="Calibri Light"/>
        </w:rPr>
        <w:t>p</w:t>
      </w:r>
      <w:r w:rsidR="00EF40D2">
        <w:rPr>
          <w:rFonts w:cs="Calibri Light"/>
        </w:rPr>
        <w:t>lanning</w:t>
      </w:r>
      <w:r w:rsidR="00FC12A3">
        <w:rPr>
          <w:rFonts w:cs="Calibri Light"/>
        </w:rPr>
        <w:t xml:space="preserve"> fit-for-purpose monitoring and evaluation </w:t>
      </w:r>
      <w:r w:rsidR="00D03F80">
        <w:rPr>
          <w:rFonts w:cs="Calibri Light"/>
        </w:rPr>
        <w:t>for</w:t>
      </w:r>
      <w:r w:rsidR="00FC12A3">
        <w:rPr>
          <w:rFonts w:cs="Calibri Light"/>
        </w:rPr>
        <w:t xml:space="preserve"> new or amended programs commence</w:t>
      </w:r>
    </w:p>
    <w:p w14:paraId="3F5810CF" w14:textId="504E7CA0" w:rsidR="00A8651E" w:rsidRPr="007F28D9" w:rsidRDefault="005E47B8" w:rsidP="00E70912">
      <w:pPr>
        <w:pStyle w:val="Bullet"/>
        <w:rPr>
          <w:rFonts w:cs="Calibri Light"/>
        </w:rPr>
      </w:pPr>
      <w:r>
        <w:rPr>
          <w:rFonts w:cs="Calibri Light"/>
        </w:rPr>
        <w:t>a</w:t>
      </w:r>
      <w:r w:rsidR="00A8651E">
        <w:rPr>
          <w:rFonts w:cs="Calibri Light"/>
        </w:rPr>
        <w:t xml:space="preserve">ligning internal review and evaluation activities with external </w:t>
      </w:r>
      <w:r w:rsidR="00D03F80">
        <w:rPr>
          <w:rFonts w:cs="Calibri Light"/>
        </w:rPr>
        <w:t>reporting requirements</w:t>
      </w:r>
    </w:p>
    <w:p w14:paraId="02F23BD8" w14:textId="6A99908E" w:rsidR="00972D9C" w:rsidRDefault="005E47B8" w:rsidP="00E70912">
      <w:pPr>
        <w:pStyle w:val="Bullet"/>
        <w:rPr>
          <w:rFonts w:cs="Calibri Light"/>
        </w:rPr>
      </w:pPr>
      <w:r>
        <w:rPr>
          <w:rFonts w:cs="Calibri Light"/>
        </w:rPr>
        <w:t>c</w:t>
      </w:r>
      <w:r w:rsidR="00972D9C">
        <w:rPr>
          <w:rFonts w:cs="Calibri Light"/>
        </w:rPr>
        <w:t xml:space="preserve">ommitting to publish </w:t>
      </w:r>
      <w:r w:rsidR="006D1515">
        <w:rPr>
          <w:rFonts w:cs="Calibri Light"/>
        </w:rPr>
        <w:t>evaluation findings, where appropriate</w:t>
      </w:r>
      <w:r w:rsidR="00412BB6">
        <w:rPr>
          <w:rFonts w:cs="Calibri Light"/>
        </w:rPr>
        <w:t>.</w:t>
      </w:r>
    </w:p>
    <w:p w14:paraId="0C53F472" w14:textId="77777777" w:rsidR="00461174" w:rsidRPr="00E70912" w:rsidRDefault="00461174" w:rsidP="00461174">
      <w:pPr>
        <w:pStyle w:val="Bullet"/>
        <w:numPr>
          <w:ilvl w:val="0"/>
          <w:numId w:val="0"/>
        </w:numPr>
        <w:rPr>
          <w:rFonts w:cs="Calibri Light"/>
        </w:rPr>
      </w:pPr>
    </w:p>
    <w:p w14:paraId="4DFAB851" w14:textId="77777777" w:rsidR="00461174" w:rsidRDefault="00461174">
      <w:pPr>
        <w:spacing w:before="0" w:after="160" w:line="259" w:lineRule="auto"/>
        <w:rPr>
          <w:rFonts w:ascii="Calibri" w:hAnsi="Calibri" w:cs="Arial"/>
          <w:b/>
          <w:color w:val="5D779D" w:themeColor="accent3"/>
          <w:kern w:val="32"/>
          <w:sz w:val="28"/>
          <w:szCs w:val="26"/>
        </w:rPr>
      </w:pPr>
      <w:r>
        <w:br w:type="page"/>
      </w:r>
    </w:p>
    <w:p w14:paraId="5219D992" w14:textId="447169F5" w:rsidR="00017E59" w:rsidRDefault="00017E59" w:rsidP="00BF0F41">
      <w:pPr>
        <w:pStyle w:val="Heading3"/>
      </w:pPr>
      <w:bookmarkStart w:id="19" w:name="_Toc175056196"/>
      <w:r w:rsidRPr="4B21380F">
        <w:t xml:space="preserve">Stream 2: Impact </w:t>
      </w:r>
      <w:r w:rsidR="005237EE">
        <w:t>e</w:t>
      </w:r>
      <w:r w:rsidRPr="4B21380F">
        <w:t>valuation </w:t>
      </w:r>
      <w:r w:rsidR="005237EE">
        <w:t>d</w:t>
      </w:r>
      <w:r w:rsidRPr="4B21380F">
        <w:t>elivery</w:t>
      </w:r>
      <w:r w:rsidRPr="4B21380F">
        <w:rPr>
          <w:lang w:val="en-US"/>
        </w:rPr>
        <w:t xml:space="preserve"> and </w:t>
      </w:r>
      <w:r w:rsidR="005237EE">
        <w:rPr>
          <w:lang w:val="en-US"/>
        </w:rPr>
        <w:t>a</w:t>
      </w:r>
      <w:r w:rsidRPr="4B21380F">
        <w:rPr>
          <w:lang w:val="en-US"/>
        </w:rPr>
        <w:t>dvice</w:t>
      </w:r>
      <w:bookmarkEnd w:id="19"/>
    </w:p>
    <w:p w14:paraId="6F2D7C49" w14:textId="4F1BDE46" w:rsidR="00017E59" w:rsidRDefault="00017E59" w:rsidP="00BF0F41">
      <w:r>
        <w:t xml:space="preserve">The ACE champions and supports the development and delivery of </w:t>
      </w:r>
      <w:r w:rsidRPr="5F854A58">
        <w:t>high-quality impact evaluations by:</w:t>
      </w:r>
    </w:p>
    <w:p w14:paraId="5EF1AE19" w14:textId="73487C2F" w:rsidR="00017E59" w:rsidRDefault="00017E59" w:rsidP="00BF0F41">
      <w:pPr>
        <w:pStyle w:val="Bullet"/>
      </w:pPr>
      <w:r>
        <w:t>developing partnerships with government departments and agencies to support delivery of high-quality impact evaluations using randomised controlled trials and quasi-experimental methods</w:t>
      </w:r>
    </w:p>
    <w:p w14:paraId="36ECECA2" w14:textId="3A4CF48A" w:rsidR="00017E59" w:rsidRPr="00BF0F41" w:rsidRDefault="00017E59" w:rsidP="00BF0F41">
      <w:pPr>
        <w:pStyle w:val="Bullet"/>
      </w:pPr>
      <w:r>
        <w:t>providing technical advice and support to government departments and agencies regarding impact evaluations.</w:t>
      </w:r>
    </w:p>
    <w:p w14:paraId="3A3ED63F" w14:textId="0BE32251" w:rsidR="00017E59" w:rsidRPr="00664AD7" w:rsidRDefault="00017E59" w:rsidP="00BF0F41">
      <w:pPr>
        <w:rPr>
          <w:rFonts w:cstheme="minorHAnsi"/>
          <w:color w:val="212529"/>
          <w:shd w:val="clear" w:color="auto" w:fill="FFFFFF"/>
        </w:rPr>
      </w:pPr>
      <w:r>
        <w:rPr>
          <w:rFonts w:cstheme="minorHAnsi"/>
          <w:color w:val="212529"/>
          <w:shd w:val="clear" w:color="auto" w:fill="FFFFFF"/>
        </w:rPr>
        <w:t xml:space="preserve">The </w:t>
      </w:r>
      <w:r w:rsidRPr="00664AD7">
        <w:rPr>
          <w:rFonts w:cstheme="minorHAnsi"/>
          <w:color w:val="212529"/>
          <w:shd w:val="clear" w:color="auto" w:fill="FFFFFF"/>
        </w:rPr>
        <w:t>ACE uses six criteria to identify candidate policies and programs for impact evaluation:</w:t>
      </w:r>
    </w:p>
    <w:p w14:paraId="42146B53" w14:textId="5B10DEB3" w:rsidR="00234944" w:rsidRDefault="007B6D34" w:rsidP="00B54B05">
      <w:pPr>
        <w:pStyle w:val="Bullet"/>
        <w:numPr>
          <w:ilvl w:val="0"/>
          <w:numId w:val="50"/>
        </w:numPr>
      </w:pPr>
      <w:r>
        <w:t>s</w:t>
      </w:r>
      <w:r w:rsidR="00017E59">
        <w:t xml:space="preserve">trategic alignment with the Government’s priorities </w:t>
      </w:r>
    </w:p>
    <w:p w14:paraId="6B9D1FE4" w14:textId="27D12A65" w:rsidR="00234944" w:rsidRPr="00781B33" w:rsidRDefault="007B6D34" w:rsidP="00B54B05">
      <w:pPr>
        <w:pStyle w:val="Bullet"/>
        <w:numPr>
          <w:ilvl w:val="0"/>
          <w:numId w:val="50"/>
        </w:numPr>
      </w:pPr>
      <w:r>
        <w:t>m</w:t>
      </w:r>
      <w:r w:rsidR="00017E59">
        <w:t xml:space="preserve">ateriality of the policy questions </w:t>
      </w:r>
    </w:p>
    <w:p w14:paraId="4D0DC712" w14:textId="77777777" w:rsidR="00234944" w:rsidRPr="00781B33" w:rsidRDefault="007B6D34" w:rsidP="00B54B05">
      <w:pPr>
        <w:pStyle w:val="Bullet"/>
        <w:numPr>
          <w:ilvl w:val="0"/>
          <w:numId w:val="50"/>
        </w:numPr>
      </w:pPr>
      <w:r>
        <w:t>e</w:t>
      </w:r>
      <w:r w:rsidR="00017E59">
        <w:t xml:space="preserve">xisting evidence base in relation to the policy or program </w:t>
      </w:r>
    </w:p>
    <w:p w14:paraId="15FAD6C4" w14:textId="77777777" w:rsidR="00234944" w:rsidRDefault="007B6D34" w:rsidP="00B54B05">
      <w:pPr>
        <w:pStyle w:val="Bullet"/>
        <w:numPr>
          <w:ilvl w:val="0"/>
          <w:numId w:val="50"/>
        </w:numPr>
      </w:pPr>
      <w:r>
        <w:t>f</w:t>
      </w:r>
      <w:r w:rsidR="00017E59">
        <w:t xml:space="preserve">easibility of conducting a high-quality impact evaluation </w:t>
      </w:r>
    </w:p>
    <w:p w14:paraId="7B835063" w14:textId="77777777" w:rsidR="00234944" w:rsidRPr="00781B33" w:rsidRDefault="007B6D34" w:rsidP="00B54B05">
      <w:pPr>
        <w:pStyle w:val="Bullet"/>
        <w:numPr>
          <w:ilvl w:val="0"/>
          <w:numId w:val="50"/>
        </w:numPr>
      </w:pPr>
      <w:r>
        <w:t>l</w:t>
      </w:r>
      <w:r w:rsidR="00017E59">
        <w:t xml:space="preserve">evel of partner support for the evaluation and capacity to implement findings </w:t>
      </w:r>
    </w:p>
    <w:p w14:paraId="40C538BA" w14:textId="0596CDE6" w:rsidR="00234944" w:rsidRDefault="007B6D34" w:rsidP="00B54B05">
      <w:pPr>
        <w:pStyle w:val="Bullet"/>
        <w:numPr>
          <w:ilvl w:val="0"/>
          <w:numId w:val="50"/>
        </w:numPr>
      </w:pPr>
      <w:r>
        <w:t>f</w:t>
      </w:r>
      <w:r w:rsidR="00017E59">
        <w:t>it with the ACE’s</w:t>
      </w:r>
      <w:r w:rsidR="005124AA">
        <w:t xml:space="preserve"> and the </w:t>
      </w:r>
      <w:r w:rsidR="00017E59">
        <w:t xml:space="preserve">partner’s capability. </w:t>
      </w:r>
    </w:p>
    <w:p w14:paraId="4F5D7E38" w14:textId="0DA05606" w:rsidR="00017E59" w:rsidRPr="00646D10" w:rsidRDefault="00017E59" w:rsidP="000C27E5">
      <w:pPr>
        <w:pStyle w:val="Heading3"/>
        <w:rPr>
          <w:lang w:val="en-US"/>
        </w:rPr>
      </w:pPr>
      <w:bookmarkStart w:id="20" w:name="_Toc175056197"/>
      <w:r w:rsidRPr="4B21380F">
        <w:t>Stream 3: Evaluation</w:t>
      </w:r>
      <w:r w:rsidRPr="4B21380F">
        <w:rPr>
          <w:lang w:val="en-US"/>
        </w:rPr>
        <w:t xml:space="preserve"> </w:t>
      </w:r>
      <w:r w:rsidR="005237EE">
        <w:rPr>
          <w:lang w:val="en-US"/>
        </w:rPr>
        <w:t>p</w:t>
      </w:r>
      <w:r w:rsidRPr="4B21380F">
        <w:rPr>
          <w:lang w:val="en-US"/>
        </w:rPr>
        <w:t>lanning and </w:t>
      </w:r>
      <w:r w:rsidR="005237EE">
        <w:rPr>
          <w:lang w:val="en-US"/>
        </w:rPr>
        <w:t>u</w:t>
      </w:r>
      <w:r w:rsidRPr="4B21380F">
        <w:rPr>
          <w:lang w:val="en-US"/>
        </w:rPr>
        <w:t>se</w:t>
      </w:r>
      <w:bookmarkEnd w:id="20"/>
    </w:p>
    <w:p w14:paraId="17DB725B" w14:textId="543A1510" w:rsidR="00017E59" w:rsidRPr="006003B7" w:rsidRDefault="00017E59" w:rsidP="006003B7">
      <w:r w:rsidRPr="006003B7">
        <w:t>The ACE strengthens evaluation planning and use in the APS by:</w:t>
      </w:r>
    </w:p>
    <w:p w14:paraId="2BB039A1" w14:textId="559037EB" w:rsidR="00017E59" w:rsidRPr="006003B7" w:rsidRDefault="00017E59" w:rsidP="006003B7">
      <w:pPr>
        <w:pStyle w:val="Bullet"/>
      </w:pPr>
      <w:r>
        <w:t>providing advice and support to Commonwealth entities to help them understand and meet the requirements and policy intent of the Commonwealth Evaluation Policy</w:t>
      </w:r>
    </w:p>
    <w:p w14:paraId="60921828" w14:textId="4C1E7499" w:rsidR="00017E59" w:rsidRPr="006003B7" w:rsidRDefault="00017E59" w:rsidP="006003B7">
      <w:pPr>
        <w:pStyle w:val="Bullet"/>
      </w:pPr>
      <w:r>
        <w:t>identify</w:t>
      </w:r>
      <w:r w:rsidR="00910456">
        <w:t>ing</w:t>
      </w:r>
      <w:r>
        <w:t xml:space="preserve"> strategies and develop</w:t>
      </w:r>
      <w:r w:rsidR="00212C6D">
        <w:t>ing tools</w:t>
      </w:r>
      <w:r>
        <w:t xml:space="preserve"> to strengthen evaluation planning </w:t>
      </w:r>
      <w:r w:rsidR="000C76DC">
        <w:t xml:space="preserve">and use </w:t>
      </w:r>
      <w:r>
        <w:t>in the budget process</w:t>
      </w:r>
    </w:p>
    <w:p w14:paraId="53BB1AD2" w14:textId="5D18AFF8" w:rsidR="00017E59" w:rsidRPr="006003B7" w:rsidRDefault="00017E59" w:rsidP="006003B7">
      <w:pPr>
        <w:pStyle w:val="Bullet"/>
      </w:pPr>
      <w:r>
        <w:t>providing targeted support to entities for the development of selected New Policy Proposals (NPPs</w:t>
      </w:r>
      <w:r w:rsidR="003032DF">
        <w:t>)</w:t>
      </w:r>
    </w:p>
    <w:p w14:paraId="55906ABA" w14:textId="0DB799B6" w:rsidR="00017E59" w:rsidRPr="006003B7" w:rsidRDefault="00017E59" w:rsidP="006003B7">
      <w:pPr>
        <w:pStyle w:val="Bullet"/>
      </w:pPr>
      <w:r>
        <w:t>reviewing post-implementation reviews (PIRs).</w:t>
      </w:r>
    </w:p>
    <w:p w14:paraId="564CE5C2" w14:textId="78247F3E" w:rsidR="00A52152" w:rsidRPr="006003B7" w:rsidRDefault="007E011B" w:rsidP="00A52152">
      <w:r>
        <w:t xml:space="preserve">Over time, </w:t>
      </w:r>
      <w:r w:rsidR="00334AE5">
        <w:t>we</w:t>
      </w:r>
      <w:r w:rsidR="00A52152" w:rsidRPr="006003B7">
        <w:t xml:space="preserve"> </w:t>
      </w:r>
      <w:r w:rsidR="00A52152">
        <w:t xml:space="preserve">will work with </w:t>
      </w:r>
      <w:r w:rsidR="000008EF">
        <w:t xml:space="preserve">key stakeholders </w:t>
      </w:r>
      <w:r>
        <w:t xml:space="preserve">to </w:t>
      </w:r>
      <w:r w:rsidR="00AB24E0">
        <w:t>make evaluation evidence more accessible</w:t>
      </w:r>
      <w:r w:rsidR="00851723">
        <w:t xml:space="preserve"> </w:t>
      </w:r>
      <w:r w:rsidR="00D41B03">
        <w:t xml:space="preserve">for use </w:t>
      </w:r>
      <w:r w:rsidR="00851723">
        <w:t>during policy development</w:t>
      </w:r>
      <w:r w:rsidR="00AB24E0">
        <w:t>,</w:t>
      </w:r>
      <w:r w:rsidR="00851723">
        <w:t xml:space="preserve"> </w:t>
      </w:r>
      <w:r w:rsidR="006029A0">
        <w:t xml:space="preserve">through </w:t>
      </w:r>
      <w:r w:rsidR="001B7D6E">
        <w:t xml:space="preserve">mechanisms </w:t>
      </w:r>
      <w:r w:rsidR="00851723">
        <w:t>such as</w:t>
      </w:r>
      <w:r w:rsidR="00A52152" w:rsidRPr="006003B7">
        <w:t>:</w:t>
      </w:r>
    </w:p>
    <w:p w14:paraId="5F17155F" w14:textId="4CDD2165" w:rsidR="00A52152" w:rsidRPr="006003B7" w:rsidRDefault="00CE5630" w:rsidP="00A52152">
      <w:pPr>
        <w:pStyle w:val="Bullet"/>
      </w:pPr>
      <w:r>
        <w:t xml:space="preserve">online </w:t>
      </w:r>
      <w:r w:rsidR="005C2F4E">
        <w:t>access to evaluation evidence in specific policy domains</w:t>
      </w:r>
    </w:p>
    <w:p w14:paraId="56A606EE" w14:textId="77777777" w:rsidR="005124AA" w:rsidRPr="006003B7" w:rsidRDefault="009D12FD" w:rsidP="005124AA">
      <w:pPr>
        <w:pStyle w:val="Bullet"/>
      </w:pPr>
      <w:r>
        <w:t>synthesis</w:t>
      </w:r>
      <w:r w:rsidR="00D41B03">
        <w:t xml:space="preserve"> of</w:t>
      </w:r>
      <w:r>
        <w:t xml:space="preserve"> evaluation </w:t>
      </w:r>
      <w:r w:rsidR="00D41B03">
        <w:t>evidence</w:t>
      </w:r>
      <w:r w:rsidR="001E3D49">
        <w:t>.</w:t>
      </w:r>
    </w:p>
    <w:p w14:paraId="3F51D58A" w14:textId="366D6B54" w:rsidR="00017E59" w:rsidRPr="00646D10" w:rsidRDefault="00017E59" w:rsidP="008F0B86">
      <w:pPr>
        <w:pStyle w:val="Heading3"/>
        <w:rPr>
          <w:lang w:val="en-US"/>
        </w:rPr>
      </w:pPr>
      <w:bookmarkStart w:id="21" w:name="_Toc175056198"/>
      <w:r w:rsidRPr="4B21380F">
        <w:t>Stream 4: Evaluation</w:t>
      </w:r>
      <w:r w:rsidRPr="4B21380F">
        <w:rPr>
          <w:lang w:val="en-US"/>
        </w:rPr>
        <w:t xml:space="preserve"> </w:t>
      </w:r>
      <w:r w:rsidR="005237EE">
        <w:rPr>
          <w:lang w:val="en-US"/>
        </w:rPr>
        <w:t>c</w:t>
      </w:r>
      <w:r w:rsidRPr="4B21380F">
        <w:rPr>
          <w:lang w:val="en-US"/>
        </w:rPr>
        <w:t xml:space="preserve">apability </w:t>
      </w:r>
      <w:r w:rsidR="005237EE">
        <w:rPr>
          <w:lang w:val="en-US"/>
        </w:rPr>
        <w:t>b</w:t>
      </w:r>
      <w:r w:rsidRPr="4B21380F">
        <w:rPr>
          <w:lang w:val="en-US"/>
        </w:rPr>
        <w:t>uilding</w:t>
      </w:r>
      <w:bookmarkEnd w:id="21"/>
    </w:p>
    <w:p w14:paraId="7E25FF6B" w14:textId="46438FA7" w:rsidR="00017E59" w:rsidRPr="008F0B86" w:rsidRDefault="00017E59" w:rsidP="008F0B86">
      <w:r w:rsidRPr="008F0B86">
        <w:t>The ACE supports the capability of the APS to design, procure and deliver high quality, fit-for-purpose evaluations through:</w:t>
      </w:r>
    </w:p>
    <w:p w14:paraId="1FF89068" w14:textId="0678EF57" w:rsidR="00017E59" w:rsidRPr="008F0B86" w:rsidRDefault="00017E59" w:rsidP="008F0B86">
      <w:pPr>
        <w:pStyle w:val="Bullet"/>
      </w:pPr>
      <w:r>
        <w:t>developing training resources, including foundational and specialist courses delivered as eLearning modules, or online or face-to-face training</w:t>
      </w:r>
    </w:p>
    <w:p w14:paraId="37A8BCBD" w14:textId="1D64F6D4" w:rsidR="00017E59" w:rsidRPr="008F0B86" w:rsidRDefault="00017E59" w:rsidP="008F0B86">
      <w:pPr>
        <w:pStyle w:val="Bullet"/>
      </w:pPr>
      <w:r>
        <w:t>delivering targeted workshops and information sessions</w:t>
      </w:r>
    </w:p>
    <w:p w14:paraId="1F0D01E0" w14:textId="2CB63E21" w:rsidR="00017E59" w:rsidRPr="008F0B86" w:rsidRDefault="00017E59" w:rsidP="008F0B86">
      <w:pPr>
        <w:pStyle w:val="Bullet"/>
      </w:pPr>
      <w:r>
        <w:t>creating an APS Evaluation Profession in partnership with the Australian Public Sector Commission</w:t>
      </w:r>
    </w:p>
    <w:p w14:paraId="76001685" w14:textId="19BC57CA" w:rsidR="00017E59" w:rsidRDefault="00017E59" w:rsidP="005B7153">
      <w:pPr>
        <w:pStyle w:val="Bullet"/>
      </w:pPr>
      <w:r>
        <w:t>maintaining and maturing the Commonwealth Evaluation Toolkit.</w:t>
      </w:r>
    </w:p>
    <w:p w14:paraId="17A83B9F" w14:textId="5F92938A" w:rsidR="00BE55C5" w:rsidRPr="005B7153" w:rsidRDefault="0080524F" w:rsidP="0080524F">
      <w:pPr>
        <w:pStyle w:val="Bullet"/>
        <w:numPr>
          <w:ilvl w:val="0"/>
          <w:numId w:val="0"/>
        </w:numPr>
      </w:pPr>
      <w:r>
        <w:t xml:space="preserve">The ACE works closely with the </w:t>
      </w:r>
      <w:r w:rsidR="00BE55C5">
        <w:t xml:space="preserve">Commonwealth Evaluation Reference Group to ensure </w:t>
      </w:r>
      <w:r w:rsidR="00E74991">
        <w:t xml:space="preserve">system-wide </w:t>
      </w:r>
      <w:r w:rsidR="00BE55C5">
        <w:t xml:space="preserve">capability uplift </w:t>
      </w:r>
      <w:r w:rsidR="00442222" w:rsidRPr="002E2C47">
        <w:t xml:space="preserve">initiatives are </w:t>
      </w:r>
      <w:r w:rsidR="00EF07DD">
        <w:t>delivered in a way that</w:t>
      </w:r>
      <w:r w:rsidR="00BE55C5">
        <w:t xml:space="preserve"> </w:t>
      </w:r>
      <w:r w:rsidR="00D960F6">
        <w:t>meets</w:t>
      </w:r>
      <w:r w:rsidR="00442222">
        <w:t xml:space="preserve"> the</w:t>
      </w:r>
      <w:r w:rsidR="00BE55C5">
        <w:t xml:space="preserve"> tailored needs and objectives of individual entities</w:t>
      </w:r>
      <w:r w:rsidR="0063584D">
        <w:t>.</w:t>
      </w:r>
    </w:p>
    <w:p w14:paraId="7C6CE985" w14:textId="08828ADF" w:rsidR="00017E59" w:rsidRPr="00E04246" w:rsidRDefault="00157660" w:rsidP="005B7153">
      <w:pPr>
        <w:pStyle w:val="Heading3"/>
      </w:pPr>
      <w:bookmarkStart w:id="22" w:name="_Toc175056199"/>
      <w:r>
        <w:t>Our</w:t>
      </w:r>
      <w:r w:rsidR="00017E59" w:rsidRPr="00E04246">
        <w:t xml:space="preserve"> </w:t>
      </w:r>
      <w:r w:rsidR="007E03A7">
        <w:t>s</w:t>
      </w:r>
      <w:r w:rsidR="00017E59" w:rsidRPr="00E04246">
        <w:t xml:space="preserve">ervice </w:t>
      </w:r>
      <w:r w:rsidR="007E03A7">
        <w:t>o</w:t>
      </w:r>
      <w:r w:rsidR="00017E59" w:rsidRPr="00E04246">
        <w:t>ffering</w:t>
      </w:r>
      <w:bookmarkEnd w:id="22"/>
    </w:p>
    <w:p w14:paraId="6891BCF7" w14:textId="2B4BC1DA" w:rsidR="00E4744D" w:rsidRDefault="00017E59" w:rsidP="004E33FC">
      <w:r w:rsidRPr="004E33FC">
        <w:t xml:space="preserve">The ACE offers a range of services to Commonwealth entities </w:t>
      </w:r>
      <w:r w:rsidR="0018774B" w:rsidRPr="004E33FC">
        <w:t>to build a culture of evaluation, and increase the quality, volume, use, and impact of evaluations</w:t>
      </w:r>
      <w:r w:rsidR="0018774B">
        <w:t xml:space="preserve">. These are fully listed in the ACE Service Offering </w:t>
      </w:r>
      <w:r w:rsidR="00570289">
        <w:t>which can be found at</w:t>
      </w:r>
      <w:r w:rsidR="00E4744D">
        <w:t xml:space="preserve"> Appendix</w:t>
      </w:r>
      <w:r w:rsidR="00F748DE">
        <w:t xml:space="preserve"> </w:t>
      </w:r>
      <w:r w:rsidR="00705D62">
        <w:t>B</w:t>
      </w:r>
      <w:r w:rsidR="00F748DE">
        <w:t>.</w:t>
      </w:r>
      <w:r w:rsidR="001A0EB5">
        <w:t xml:space="preserve"> </w:t>
      </w:r>
    </w:p>
    <w:p w14:paraId="7947813C" w14:textId="656180A9" w:rsidR="00017E59" w:rsidRPr="004E33FC" w:rsidRDefault="00A53E80" w:rsidP="004E33FC">
      <w:r>
        <w:t>They</w:t>
      </w:r>
      <w:r w:rsidR="008B590F">
        <w:t xml:space="preserve"> include: </w:t>
      </w:r>
    </w:p>
    <w:p w14:paraId="622AFD31" w14:textId="1D1B2B0F" w:rsidR="00BC33C1" w:rsidRDefault="00BC33C1" w:rsidP="00017A25">
      <w:pPr>
        <w:pStyle w:val="Bullet"/>
      </w:pPr>
      <w:r>
        <w:t>provision of technical advice and support for the design and delivery of impact evaluations using randomised controlled trials (RCTs) and quasi-experimental methods</w:t>
      </w:r>
    </w:p>
    <w:p w14:paraId="1CB03CF3" w14:textId="1E9556AD" w:rsidR="008B590F" w:rsidRDefault="008B590F" w:rsidP="00BC0592">
      <w:pPr>
        <w:pStyle w:val="Bullet"/>
      </w:pPr>
      <w:r>
        <w:t>provision of policy guidance and support</w:t>
      </w:r>
      <w:r w:rsidR="00E62B6B">
        <w:t xml:space="preserve">, </w:t>
      </w:r>
      <w:r w:rsidR="00962DC1">
        <w:t xml:space="preserve">including </w:t>
      </w:r>
      <w:r w:rsidR="00C312CE">
        <w:t>the Commonwealth Evaluation Toolkit</w:t>
      </w:r>
      <w:r>
        <w:t xml:space="preserve"> </w:t>
      </w:r>
    </w:p>
    <w:p w14:paraId="56CFE601" w14:textId="7D067F19" w:rsidR="00017E59" w:rsidRDefault="00962DC1" w:rsidP="005237EE">
      <w:pPr>
        <w:pStyle w:val="Bullet"/>
      </w:pPr>
      <w:r>
        <w:t>development of evaluation training resources and delivery of targeted evaluation training</w:t>
      </w:r>
      <w:r w:rsidR="00BC0592">
        <w:t>.</w:t>
      </w:r>
      <w:r>
        <w:t xml:space="preserve"> </w:t>
      </w:r>
    </w:p>
    <w:p w14:paraId="258D8DB6" w14:textId="674BE1C3" w:rsidR="005B7153" w:rsidRDefault="005B7153">
      <w:pPr>
        <w:spacing w:before="0" w:after="160" w:line="259" w:lineRule="auto"/>
      </w:pPr>
      <w:r>
        <w:br w:type="page"/>
      </w:r>
    </w:p>
    <w:p w14:paraId="1356AA54" w14:textId="77777777" w:rsidR="00017E59" w:rsidRPr="00646D10" w:rsidRDefault="00017E59" w:rsidP="0029174D">
      <w:pPr>
        <w:pStyle w:val="Heading2"/>
      </w:pPr>
      <w:bookmarkStart w:id="23" w:name="_Toc175056200"/>
      <w:r w:rsidRPr="6BB7488B">
        <w:t>How will w</w:t>
      </w:r>
      <w:r>
        <w:t>e know we are achieving our aims?</w:t>
      </w:r>
      <w:bookmarkEnd w:id="23"/>
      <w:r w:rsidRPr="6BB7488B">
        <w:t xml:space="preserve"> </w:t>
      </w:r>
    </w:p>
    <w:p w14:paraId="335E911D" w14:textId="09AEADB5" w:rsidR="00017E59" w:rsidRPr="003D5647" w:rsidRDefault="00017E59" w:rsidP="003D5647">
      <w:r w:rsidRPr="003D5647">
        <w:t xml:space="preserve">The ACE will use a combination of methods to monitor and evaluate </w:t>
      </w:r>
      <w:r w:rsidR="005124AA">
        <w:t>our</w:t>
      </w:r>
      <w:r w:rsidR="005124AA" w:rsidRPr="003D5647">
        <w:t xml:space="preserve"> </w:t>
      </w:r>
      <w:r w:rsidRPr="003D5647">
        <w:t xml:space="preserve">work. </w:t>
      </w:r>
    </w:p>
    <w:p w14:paraId="454F8BD5" w14:textId="70EF54E8" w:rsidR="00017E59" w:rsidRPr="003D5647" w:rsidRDefault="00017E59" w:rsidP="003D5647">
      <w:r w:rsidRPr="003D5647">
        <w:t>To understand progress towards our anticipated outcomes, we will collect and monitor data on a range of output and outcome indicators based upon our</w:t>
      </w:r>
      <w:r w:rsidR="003B2425">
        <w:t xml:space="preserve"> living</w:t>
      </w:r>
      <w:r w:rsidRPr="003D5647">
        <w:t xml:space="preserve"> </w:t>
      </w:r>
      <w:hyperlink r:id="rId31" w:history="1">
        <w:r w:rsidR="0078599F">
          <w:t>t</w:t>
        </w:r>
        <w:r w:rsidRPr="008F530A">
          <w:t xml:space="preserve">heory of </w:t>
        </w:r>
        <w:r w:rsidR="0078599F">
          <w:t>c</w:t>
        </w:r>
        <w:r w:rsidRPr="008F530A">
          <w:t>hange</w:t>
        </w:r>
      </w:hyperlink>
      <w:r w:rsidRPr="003D5647">
        <w:t>. We will combine this information with other data to better understand how our work is contributing to whole-of-government change, including:</w:t>
      </w:r>
    </w:p>
    <w:p w14:paraId="17B43C0E" w14:textId="57F85D94" w:rsidR="00017E59" w:rsidRPr="003D5647" w:rsidRDefault="00017E59" w:rsidP="003D5647">
      <w:pPr>
        <w:pStyle w:val="Bullet"/>
      </w:pPr>
      <w:r>
        <w:t>stakeholder engagement data to understand the types and scale of engagement</w:t>
      </w:r>
      <w:r w:rsidR="005124AA">
        <w:t>, including through the State of Evaluation survey and reporting</w:t>
      </w:r>
    </w:p>
    <w:p w14:paraId="7870981C" w14:textId="77777777" w:rsidR="00017E59" w:rsidRPr="003D5647" w:rsidRDefault="00017E59" w:rsidP="003D5647">
      <w:pPr>
        <w:pStyle w:val="Bullet"/>
      </w:pPr>
      <w:r>
        <w:t>feedback from stakeholders on the quality of our work</w:t>
      </w:r>
    </w:p>
    <w:p w14:paraId="14A82A98" w14:textId="2FF10FD3" w:rsidR="00017E59" w:rsidRPr="003D5647" w:rsidRDefault="00017E59" w:rsidP="003D5647">
      <w:pPr>
        <w:pStyle w:val="Bullet"/>
      </w:pPr>
      <w:r>
        <w:t>after-action debriefs/reviews to reflect and learn.</w:t>
      </w:r>
    </w:p>
    <w:p w14:paraId="73DDC00B" w14:textId="177BF42A" w:rsidR="00017E59" w:rsidRPr="003D5647" w:rsidRDefault="00017E59" w:rsidP="003D5647">
      <w:r w:rsidRPr="003D5647">
        <w:t>Outcome and ou</w:t>
      </w:r>
      <w:r w:rsidR="002843B5">
        <w:t>t</w:t>
      </w:r>
      <w:r w:rsidRPr="003D5647">
        <w:t xml:space="preserve">put indicators, together with their sources of measurement, are listed in the tables below and </w:t>
      </w:r>
      <w:r w:rsidRPr="00BA692E">
        <w:t xml:space="preserve">at </w:t>
      </w:r>
      <w:r w:rsidR="00FD0D6F" w:rsidRPr="00BA692E">
        <w:t>Appendix</w:t>
      </w:r>
      <w:r w:rsidRPr="00BA692E">
        <w:t xml:space="preserve"> </w:t>
      </w:r>
      <w:r w:rsidR="00F9344C">
        <w:t>C</w:t>
      </w:r>
      <w:r w:rsidRPr="00BA692E">
        <w:t>.</w:t>
      </w:r>
      <w:r w:rsidRPr="003D5647">
        <w:t xml:space="preserve"> </w:t>
      </w:r>
    </w:p>
    <w:p w14:paraId="0B1A6D63" w14:textId="619C5667" w:rsidR="00017E59" w:rsidRPr="003D5647" w:rsidRDefault="00017E59" w:rsidP="003D5647">
      <w:r w:rsidRPr="003D5647">
        <w:t>It is important to note that:</w:t>
      </w:r>
    </w:p>
    <w:p w14:paraId="1576D434" w14:textId="0CA8E980" w:rsidR="00017E59" w:rsidRPr="003D5647" w:rsidRDefault="0058645E" w:rsidP="003D5647">
      <w:pPr>
        <w:pStyle w:val="Bullet"/>
      </w:pPr>
      <w:r>
        <w:t xml:space="preserve">the </w:t>
      </w:r>
      <w:r w:rsidR="00017E59">
        <w:t>ACE was established in July 2023</w:t>
      </w:r>
      <w:r w:rsidR="00485B00">
        <w:t xml:space="preserve"> and became fully operational in early 2024</w:t>
      </w:r>
      <w:r w:rsidR="00017E59">
        <w:t xml:space="preserve">. As we learn and evolve, we expect to refine our theory of change and accompanying indicators. </w:t>
      </w:r>
    </w:p>
    <w:p w14:paraId="3DEE77DD" w14:textId="63237424" w:rsidR="00017E59" w:rsidRPr="003D5647" w:rsidRDefault="0058645E" w:rsidP="003D5647">
      <w:pPr>
        <w:pStyle w:val="Bullet"/>
      </w:pPr>
      <w:r>
        <w:t>m</w:t>
      </w:r>
      <w:r w:rsidR="00017E59">
        <w:t xml:space="preserve">any of our outcomes can only be achieved as the result of collaboration and joint initiatives with our </w:t>
      </w:r>
      <w:r w:rsidR="00894818">
        <w:t>partner</w:t>
      </w:r>
      <w:r w:rsidR="00017E59">
        <w:t>s</w:t>
      </w:r>
      <w:r w:rsidR="006D63BA">
        <w:t>.</w:t>
      </w:r>
      <w:r w:rsidR="00017E59">
        <w:t xml:space="preserve"> </w:t>
      </w:r>
    </w:p>
    <w:p w14:paraId="7EBA56DA" w14:textId="6E6978C1" w:rsidR="00017E59" w:rsidRPr="003D5647" w:rsidRDefault="00017E59" w:rsidP="003D5647">
      <w:r w:rsidRPr="00812AEC">
        <w:t xml:space="preserve">We will report on our targets </w:t>
      </w:r>
      <w:r w:rsidR="00B065F0" w:rsidRPr="00812AEC">
        <w:t>regularly</w:t>
      </w:r>
      <w:r w:rsidRPr="00812AEC">
        <w:t xml:space="preserve"> </w:t>
      </w:r>
      <w:r w:rsidRPr="003D5647">
        <w:t xml:space="preserve">and undertake </w:t>
      </w:r>
      <w:r w:rsidR="00B065F0">
        <w:t>routine</w:t>
      </w:r>
      <w:r w:rsidRPr="003D5647">
        <w:t xml:space="preserve"> planning sessions to consider our learning and to adapt our strategy</w:t>
      </w:r>
      <w:r w:rsidR="00B065F0">
        <w:t xml:space="preserve"> based on emerging issues and practice</w:t>
      </w:r>
      <w:r w:rsidR="005124AA">
        <w:t xml:space="preserve"> and findings from the State of Evaluation survey and reporting</w:t>
      </w:r>
      <w:r w:rsidRPr="003D5647">
        <w:t>.</w:t>
      </w:r>
    </w:p>
    <w:p w14:paraId="00832B25" w14:textId="76896917" w:rsidR="00243631" w:rsidRPr="00312F6E" w:rsidRDefault="00243631" w:rsidP="00312F6E">
      <w:pPr>
        <w:spacing w:before="0" w:after="160" w:line="259" w:lineRule="auto"/>
        <w:rPr>
          <w:rFonts w:ascii="Calibri" w:hAnsi="Calibri" w:cs="Arial"/>
          <w:b/>
          <w:color w:val="5D779D" w:themeColor="accent3"/>
          <w:kern w:val="32"/>
          <w:sz w:val="28"/>
          <w:szCs w:val="26"/>
        </w:rPr>
      </w:pPr>
      <w:r>
        <w:br w:type="page"/>
      </w:r>
    </w:p>
    <w:p w14:paraId="4DA2D94A" w14:textId="6B4B1D3B" w:rsidR="00017E59" w:rsidRDefault="0058645E" w:rsidP="003D5647">
      <w:pPr>
        <w:pStyle w:val="Heading3"/>
      </w:pPr>
      <w:bookmarkStart w:id="24" w:name="_Toc175056201"/>
      <w:r>
        <w:t>Our</w:t>
      </w:r>
      <w:r w:rsidR="00017E59">
        <w:t xml:space="preserve"> </w:t>
      </w:r>
      <w:r w:rsidR="007E03A7">
        <w:t>o</w:t>
      </w:r>
      <w:r w:rsidR="00017E59">
        <w:t>utcomes</w:t>
      </w:r>
      <w:bookmarkEnd w:id="24"/>
      <w:r w:rsidR="00017E59" w:rsidRPr="6BB7488B">
        <w:t xml:space="preserve"> </w:t>
      </w:r>
    </w:p>
    <w:p w14:paraId="7B76BB87" w14:textId="6ADEAAB2" w:rsidR="00017E59" w:rsidRDefault="0058645E" w:rsidP="00D56352">
      <w:r>
        <w:t xml:space="preserve">The </w:t>
      </w:r>
      <w:r w:rsidR="00017E59" w:rsidRPr="00D56352">
        <w:t xml:space="preserve">ACE’s outcomes and indicators are detailed in the table below. Our outputs and targets for FY23/24-FY26/27 are listed at </w:t>
      </w:r>
      <w:r w:rsidR="00FD0D6F" w:rsidRPr="00BA692E">
        <w:t>Appendix</w:t>
      </w:r>
      <w:r w:rsidR="00017E59" w:rsidRPr="00BA692E">
        <w:t xml:space="preserve"> </w:t>
      </w:r>
      <w:r w:rsidR="00BA692E">
        <w:t>C.</w:t>
      </w:r>
      <w:r w:rsidR="00017E59" w:rsidRPr="00D56352">
        <w:t xml:space="preserve"> </w:t>
      </w:r>
    </w:p>
    <w:p w14:paraId="74B518A5" w14:textId="77777777" w:rsidR="00E42007" w:rsidRPr="00D56352" w:rsidRDefault="00E42007" w:rsidP="00D56352"/>
    <w:tbl>
      <w:tblPr>
        <w:tblStyle w:val="TableGrid"/>
        <w:tblW w:w="0" w:type="auto"/>
        <w:tblInd w:w="-289" w:type="dxa"/>
        <w:tblLook w:val="04A0" w:firstRow="1" w:lastRow="0" w:firstColumn="1" w:lastColumn="0" w:noHBand="0" w:noVBand="1"/>
      </w:tblPr>
      <w:tblGrid>
        <w:gridCol w:w="3624"/>
        <w:gridCol w:w="3504"/>
        <w:gridCol w:w="2233"/>
      </w:tblGrid>
      <w:tr w:rsidR="00D46833" w:rsidRPr="00E42007" w14:paraId="4B8A3271" w14:textId="77777777" w:rsidTr="007A1E84">
        <w:trPr>
          <w:cnfStyle w:val="100000000000" w:firstRow="1" w:lastRow="0" w:firstColumn="0" w:lastColumn="0" w:oddVBand="0" w:evenVBand="0" w:oddHBand="0" w:evenHBand="0" w:firstRowFirstColumn="0" w:firstRowLastColumn="0" w:lastRowFirstColumn="0" w:lastRowLastColumn="0"/>
          <w:tblHeader/>
        </w:trPr>
        <w:tc>
          <w:tcPr>
            <w:tcW w:w="3624" w:type="dxa"/>
            <w:shd w:val="clear" w:color="auto" w:fill="474747" w:themeFill="text2" w:themeFillShade="BF"/>
          </w:tcPr>
          <w:p w14:paraId="53675EAD" w14:textId="77777777" w:rsidR="00E42007" w:rsidRPr="00E42007" w:rsidRDefault="00E42007" w:rsidP="00E42007">
            <w:pPr>
              <w:jc w:val="center"/>
              <w:rPr>
                <w:b w:val="0"/>
                <w:bCs/>
                <w:color w:val="FFFFFF" w:themeColor="background1"/>
                <w:sz w:val="22"/>
                <w:szCs w:val="22"/>
              </w:rPr>
            </w:pPr>
            <w:r w:rsidRPr="00E42007">
              <w:rPr>
                <w:bCs/>
                <w:color w:val="FFFFFF" w:themeColor="background1"/>
                <w:sz w:val="22"/>
                <w:szCs w:val="22"/>
              </w:rPr>
              <w:t>Outcome</w:t>
            </w:r>
          </w:p>
        </w:tc>
        <w:tc>
          <w:tcPr>
            <w:tcW w:w="3504" w:type="dxa"/>
            <w:shd w:val="clear" w:color="auto" w:fill="474747" w:themeFill="text2" w:themeFillShade="BF"/>
          </w:tcPr>
          <w:p w14:paraId="3FA7F813" w14:textId="77777777" w:rsidR="00E42007" w:rsidRPr="00E42007" w:rsidRDefault="00E42007" w:rsidP="00E42007">
            <w:pPr>
              <w:jc w:val="center"/>
              <w:rPr>
                <w:b w:val="0"/>
                <w:bCs/>
                <w:color w:val="FFFFFF" w:themeColor="background1"/>
                <w:sz w:val="22"/>
                <w:szCs w:val="22"/>
              </w:rPr>
            </w:pPr>
            <w:r w:rsidRPr="00E42007">
              <w:rPr>
                <w:rFonts w:cstheme="minorHAnsi"/>
                <w:bCs/>
                <w:color w:val="FFFFFF" w:themeColor="background1"/>
                <w:sz w:val="22"/>
                <w:szCs w:val="22"/>
              </w:rPr>
              <w:t>Outcome indicators</w:t>
            </w:r>
          </w:p>
        </w:tc>
        <w:tc>
          <w:tcPr>
            <w:tcW w:w="2233" w:type="dxa"/>
            <w:shd w:val="clear" w:color="auto" w:fill="474747" w:themeFill="text2" w:themeFillShade="BF"/>
          </w:tcPr>
          <w:p w14:paraId="29E4D9F4" w14:textId="77777777" w:rsidR="00E42007" w:rsidRPr="00E42007" w:rsidRDefault="00E42007" w:rsidP="00E42007">
            <w:pPr>
              <w:jc w:val="center"/>
              <w:rPr>
                <w:b w:val="0"/>
                <w:bCs/>
                <w:color w:val="FFFFFF" w:themeColor="background1"/>
                <w:sz w:val="22"/>
                <w:szCs w:val="22"/>
              </w:rPr>
            </w:pPr>
            <w:r w:rsidRPr="00E42007">
              <w:rPr>
                <w:bCs/>
                <w:color w:val="FFFFFF" w:themeColor="background1"/>
                <w:sz w:val="22"/>
                <w:szCs w:val="22"/>
              </w:rPr>
              <w:t>Data source</w:t>
            </w:r>
          </w:p>
        </w:tc>
      </w:tr>
      <w:tr w:rsidR="003272D5" w:rsidRPr="00E42007" w14:paraId="76E74767" w14:textId="77777777" w:rsidTr="007A1E84">
        <w:trPr>
          <w:trHeight w:val="343"/>
        </w:trPr>
        <w:tc>
          <w:tcPr>
            <w:tcW w:w="9361" w:type="dxa"/>
            <w:gridSpan w:val="3"/>
            <w:shd w:val="clear" w:color="auto" w:fill="CDD5E1" w:themeFill="accent1" w:themeFillTint="33"/>
          </w:tcPr>
          <w:p w14:paraId="079EEC98" w14:textId="6745C73C" w:rsidR="000E384C" w:rsidRPr="00E42007" w:rsidRDefault="00D708F1">
            <w:pPr>
              <w:rPr>
                <w:rFonts w:cstheme="minorHAnsi"/>
                <w:i/>
                <w:iCs/>
                <w:color w:val="000000" w:themeColor="text1"/>
                <w:szCs w:val="22"/>
              </w:rPr>
            </w:pPr>
            <w:r>
              <w:rPr>
                <w:rFonts w:cstheme="minorHAnsi"/>
                <w:i/>
                <w:iCs/>
                <w:color w:val="000000" w:themeColor="text1"/>
                <w:sz w:val="22"/>
                <w:szCs w:val="22"/>
              </w:rPr>
              <w:t>Stream</w:t>
            </w:r>
            <w:r w:rsidR="00530C1B">
              <w:rPr>
                <w:rFonts w:cstheme="minorHAnsi"/>
                <w:i/>
                <w:iCs/>
                <w:color w:val="000000" w:themeColor="text1"/>
                <w:sz w:val="22"/>
                <w:szCs w:val="22"/>
              </w:rPr>
              <w:t xml:space="preserve"> 1: </w:t>
            </w:r>
            <w:r w:rsidR="000E384C">
              <w:rPr>
                <w:rFonts w:cstheme="minorHAnsi"/>
                <w:i/>
                <w:iCs/>
                <w:color w:val="000000" w:themeColor="text1"/>
                <w:sz w:val="22"/>
                <w:szCs w:val="22"/>
              </w:rPr>
              <w:t>Evaluation leadership and promotion</w:t>
            </w:r>
          </w:p>
        </w:tc>
      </w:tr>
      <w:tr w:rsidR="005B4871" w:rsidRPr="00E42007" w14:paraId="06273A7A" w14:textId="77777777" w:rsidTr="005B1BA8">
        <w:trPr>
          <w:trHeight w:val="343"/>
        </w:trPr>
        <w:tc>
          <w:tcPr>
            <w:tcW w:w="0" w:type="dxa"/>
            <w:gridSpan w:val="3"/>
            <w:shd w:val="clear" w:color="auto" w:fill="FFFFFF" w:themeFill="background1"/>
          </w:tcPr>
          <w:p w14:paraId="0FBDF9DD" w14:textId="5FDF8FBB" w:rsidR="00E42007" w:rsidRPr="00D202B5" w:rsidRDefault="00E42007">
            <w:pPr>
              <w:rPr>
                <w:rFonts w:cstheme="minorHAnsi"/>
                <w:i/>
                <w:iCs/>
                <w:color w:val="000000" w:themeColor="text1"/>
                <w:sz w:val="22"/>
                <w:szCs w:val="22"/>
              </w:rPr>
            </w:pPr>
            <w:r w:rsidRPr="00E42007">
              <w:rPr>
                <w:rFonts w:cstheme="minorHAnsi"/>
                <w:i/>
                <w:iCs/>
                <w:color w:val="000000" w:themeColor="text1"/>
                <w:sz w:val="22"/>
                <w:szCs w:val="22"/>
              </w:rPr>
              <w:t xml:space="preserve">Outcome </w:t>
            </w:r>
            <w:r w:rsidR="007A1E84">
              <w:rPr>
                <w:rFonts w:cstheme="minorHAnsi"/>
                <w:i/>
                <w:iCs/>
                <w:color w:val="000000" w:themeColor="text1"/>
                <w:sz w:val="22"/>
                <w:szCs w:val="22"/>
              </w:rPr>
              <w:t>1.1</w:t>
            </w:r>
          </w:p>
        </w:tc>
      </w:tr>
      <w:tr w:rsidR="005837AB" w:rsidRPr="00E42007" w14:paraId="21B6CEF4" w14:textId="77777777" w:rsidTr="005B1BA8">
        <w:tc>
          <w:tcPr>
            <w:tcW w:w="0" w:type="dxa"/>
            <w:shd w:val="clear" w:color="auto" w:fill="FFFFFF" w:themeFill="background1"/>
          </w:tcPr>
          <w:p w14:paraId="29FB0DB9" w14:textId="41FD3BA6" w:rsidR="00E42007" w:rsidRPr="00E42007" w:rsidRDefault="00E42007">
            <w:pPr>
              <w:rPr>
                <w:rFonts w:cstheme="minorHAnsi"/>
                <w:i/>
                <w:iCs/>
                <w:color w:val="000000" w:themeColor="text1"/>
                <w:sz w:val="22"/>
                <w:szCs w:val="22"/>
              </w:rPr>
            </w:pPr>
            <w:r w:rsidRPr="00E42007">
              <w:rPr>
                <w:rFonts w:cstheme="minorHAnsi"/>
                <w:color w:val="000000" w:themeColor="text1"/>
                <w:sz w:val="22"/>
                <w:szCs w:val="22"/>
              </w:rPr>
              <w:t xml:space="preserve">Increased awareness of system requirements for and benefits of high-quality, </w:t>
            </w:r>
            <w:r w:rsidR="0050542D">
              <w:rPr>
                <w:rFonts w:cstheme="minorHAnsi"/>
                <w:color w:val="000000" w:themeColor="text1"/>
                <w:sz w:val="22"/>
                <w:szCs w:val="22"/>
              </w:rPr>
              <w:t xml:space="preserve">ethical and </w:t>
            </w:r>
            <w:r w:rsidRPr="00E42007">
              <w:rPr>
                <w:rFonts w:cstheme="minorHAnsi"/>
                <w:color w:val="000000" w:themeColor="text1"/>
                <w:sz w:val="22"/>
                <w:szCs w:val="22"/>
              </w:rPr>
              <w:t>culturally appropriate evaluation</w:t>
            </w:r>
          </w:p>
        </w:tc>
        <w:tc>
          <w:tcPr>
            <w:tcW w:w="0" w:type="dxa"/>
            <w:shd w:val="clear" w:color="auto" w:fill="FFFFFF" w:themeFill="background1"/>
          </w:tcPr>
          <w:p w14:paraId="1F4A3CEA" w14:textId="04710E95" w:rsidR="00E42007" w:rsidRPr="00E42007" w:rsidRDefault="00E42007">
            <w:pPr>
              <w:rPr>
                <w:rFonts w:cstheme="minorHAnsi"/>
                <w:sz w:val="22"/>
                <w:szCs w:val="22"/>
              </w:rPr>
            </w:pPr>
            <w:r w:rsidRPr="00E42007">
              <w:rPr>
                <w:rFonts w:cstheme="minorHAnsi"/>
                <w:sz w:val="22"/>
                <w:szCs w:val="22"/>
              </w:rPr>
              <w:t>Increase in entities where evaluation is supported by evaluation strategy, policy or framework which identified when and how they are conducted, recorded and reviewed ethically</w:t>
            </w:r>
          </w:p>
        </w:tc>
        <w:tc>
          <w:tcPr>
            <w:tcW w:w="0" w:type="dxa"/>
            <w:shd w:val="clear" w:color="auto" w:fill="FFFFFF" w:themeFill="background1"/>
          </w:tcPr>
          <w:p w14:paraId="7E0F9427" w14:textId="77777777" w:rsidR="00E42007" w:rsidRPr="00E42007" w:rsidRDefault="00E42007">
            <w:pPr>
              <w:rPr>
                <w:rFonts w:cstheme="minorHAnsi"/>
                <w:sz w:val="22"/>
                <w:szCs w:val="22"/>
              </w:rPr>
            </w:pPr>
            <w:r w:rsidRPr="00E42007">
              <w:rPr>
                <w:rFonts w:cstheme="minorHAnsi"/>
                <w:sz w:val="22"/>
                <w:szCs w:val="22"/>
              </w:rPr>
              <w:t>Commonwealth Evaluation Survey</w:t>
            </w:r>
          </w:p>
          <w:p w14:paraId="36B39062" w14:textId="77777777" w:rsidR="00E42007" w:rsidRPr="00E42007" w:rsidRDefault="00E42007">
            <w:pPr>
              <w:tabs>
                <w:tab w:val="left" w:pos="495"/>
              </w:tabs>
              <w:rPr>
                <w:rFonts w:cstheme="minorHAnsi"/>
                <w:sz w:val="22"/>
                <w:szCs w:val="22"/>
              </w:rPr>
            </w:pPr>
          </w:p>
        </w:tc>
      </w:tr>
      <w:tr w:rsidR="00DE6B7F" w:rsidRPr="00E42007" w14:paraId="2FAA6ED5" w14:textId="77777777" w:rsidTr="005B1BA8">
        <w:tc>
          <w:tcPr>
            <w:tcW w:w="0" w:type="dxa"/>
            <w:gridSpan w:val="3"/>
            <w:shd w:val="clear" w:color="auto" w:fill="FFFFFF" w:themeFill="background1"/>
          </w:tcPr>
          <w:p w14:paraId="4C9C9FC7" w14:textId="0FAA4CEC" w:rsidR="007A1E84" w:rsidRPr="00E42007" w:rsidRDefault="007A1E84">
            <w:pPr>
              <w:rPr>
                <w:rFonts w:cstheme="minorHAnsi"/>
                <w:szCs w:val="22"/>
              </w:rPr>
            </w:pPr>
            <w:r w:rsidRPr="00E42007">
              <w:rPr>
                <w:rFonts w:cstheme="minorHAnsi"/>
                <w:i/>
                <w:iCs/>
                <w:color w:val="000000" w:themeColor="text1"/>
                <w:sz w:val="22"/>
                <w:szCs w:val="22"/>
              </w:rPr>
              <w:t xml:space="preserve">Outcome </w:t>
            </w:r>
            <w:r>
              <w:rPr>
                <w:rFonts w:cstheme="minorHAnsi"/>
                <w:i/>
                <w:iCs/>
                <w:color w:val="000000" w:themeColor="text1"/>
                <w:sz w:val="22"/>
                <w:szCs w:val="22"/>
              </w:rPr>
              <w:t>1.2</w:t>
            </w:r>
          </w:p>
        </w:tc>
      </w:tr>
      <w:tr w:rsidR="005837AB" w:rsidRPr="00E42007" w14:paraId="6162B134" w14:textId="77777777" w:rsidTr="005B1BA8">
        <w:tc>
          <w:tcPr>
            <w:tcW w:w="0" w:type="dxa"/>
            <w:shd w:val="clear" w:color="auto" w:fill="FFFFFF" w:themeFill="background1"/>
          </w:tcPr>
          <w:p w14:paraId="5928C662" w14:textId="4448E106" w:rsidR="007A1E84" w:rsidRPr="00E42007" w:rsidRDefault="007A1E84" w:rsidP="007A1E84">
            <w:pPr>
              <w:rPr>
                <w:rFonts w:cstheme="minorHAnsi"/>
                <w:color w:val="000000" w:themeColor="text1"/>
                <w:szCs w:val="22"/>
              </w:rPr>
            </w:pPr>
            <w:r w:rsidRPr="00E42007">
              <w:rPr>
                <w:rFonts w:cstheme="minorHAnsi"/>
                <w:color w:val="000000" w:themeColor="text1"/>
                <w:sz w:val="22"/>
                <w:szCs w:val="22"/>
              </w:rPr>
              <w:t xml:space="preserve">There is system-wide support, especially amongst SES, for the generation and use of high-quality, </w:t>
            </w:r>
            <w:r w:rsidR="0050542D">
              <w:rPr>
                <w:rFonts w:cstheme="minorHAnsi"/>
                <w:color w:val="000000" w:themeColor="text1"/>
                <w:sz w:val="22"/>
                <w:szCs w:val="22"/>
              </w:rPr>
              <w:t xml:space="preserve">ethical and culturally appropriate </w:t>
            </w:r>
            <w:r w:rsidRPr="00E42007">
              <w:rPr>
                <w:rFonts w:cstheme="minorHAnsi"/>
                <w:color w:val="000000" w:themeColor="text1"/>
                <w:sz w:val="22"/>
                <w:szCs w:val="22"/>
              </w:rPr>
              <w:t>evaluations</w:t>
            </w:r>
          </w:p>
        </w:tc>
        <w:tc>
          <w:tcPr>
            <w:tcW w:w="0" w:type="dxa"/>
            <w:shd w:val="clear" w:color="auto" w:fill="FFFFFF" w:themeFill="background1"/>
          </w:tcPr>
          <w:p w14:paraId="0C4F95DD" w14:textId="143E14D0" w:rsidR="007A1E84" w:rsidRPr="00E42007" w:rsidRDefault="007A1E84" w:rsidP="007A1E84">
            <w:pPr>
              <w:rPr>
                <w:rFonts w:cstheme="minorHAnsi"/>
                <w:szCs w:val="22"/>
              </w:rPr>
            </w:pPr>
            <w:r w:rsidRPr="00E42007">
              <w:rPr>
                <w:rFonts w:cstheme="minorHAnsi"/>
                <w:color w:val="000000" w:themeColor="text1"/>
                <w:sz w:val="22"/>
                <w:szCs w:val="22"/>
              </w:rPr>
              <w:t>Perception of entity staff that evaluation evidence is used to inform policy development and spending decisions</w:t>
            </w:r>
          </w:p>
        </w:tc>
        <w:tc>
          <w:tcPr>
            <w:tcW w:w="0" w:type="dxa"/>
            <w:shd w:val="clear" w:color="auto" w:fill="FFFFFF" w:themeFill="background1"/>
          </w:tcPr>
          <w:p w14:paraId="64350737" w14:textId="2CB121EA" w:rsidR="007A1E84" w:rsidRPr="00E42007" w:rsidRDefault="007A1E84" w:rsidP="007A1E84">
            <w:pPr>
              <w:rPr>
                <w:rFonts w:cstheme="minorHAnsi"/>
                <w:szCs w:val="22"/>
              </w:rPr>
            </w:pPr>
            <w:r w:rsidRPr="00E42007">
              <w:rPr>
                <w:rFonts w:cstheme="minorHAnsi"/>
                <w:sz w:val="22"/>
                <w:szCs w:val="22"/>
              </w:rPr>
              <w:t>Commonwealth Evaluation Survey</w:t>
            </w:r>
          </w:p>
        </w:tc>
      </w:tr>
      <w:tr w:rsidR="00DE6B7F" w:rsidRPr="00E42007" w14:paraId="552BC902" w14:textId="77777777" w:rsidTr="005B1BA8">
        <w:tc>
          <w:tcPr>
            <w:tcW w:w="0" w:type="dxa"/>
            <w:gridSpan w:val="3"/>
            <w:shd w:val="clear" w:color="auto" w:fill="FFFFFF" w:themeFill="background1"/>
          </w:tcPr>
          <w:p w14:paraId="4C7C3C8D" w14:textId="1B153989" w:rsidR="007A1E84" w:rsidRPr="00E42007" w:rsidRDefault="007A1E84" w:rsidP="007A1E84">
            <w:pPr>
              <w:rPr>
                <w:rFonts w:cstheme="minorHAnsi"/>
                <w:szCs w:val="22"/>
              </w:rPr>
            </w:pPr>
            <w:r w:rsidRPr="00E42007">
              <w:rPr>
                <w:rFonts w:cstheme="minorHAnsi"/>
                <w:i/>
                <w:iCs/>
                <w:color w:val="000000" w:themeColor="text1"/>
                <w:sz w:val="22"/>
                <w:szCs w:val="22"/>
              </w:rPr>
              <w:t xml:space="preserve">Outcome </w:t>
            </w:r>
            <w:r>
              <w:rPr>
                <w:rFonts w:cstheme="minorHAnsi"/>
                <w:i/>
                <w:iCs/>
                <w:color w:val="000000" w:themeColor="text1"/>
                <w:sz w:val="22"/>
                <w:szCs w:val="22"/>
              </w:rPr>
              <w:t>1.3</w:t>
            </w:r>
          </w:p>
        </w:tc>
      </w:tr>
      <w:tr w:rsidR="005837AB" w:rsidRPr="00E42007" w14:paraId="57AB7ADD" w14:textId="77777777" w:rsidTr="005B1BA8">
        <w:tc>
          <w:tcPr>
            <w:tcW w:w="0" w:type="dxa"/>
            <w:shd w:val="clear" w:color="auto" w:fill="FFFFFF" w:themeFill="background1"/>
          </w:tcPr>
          <w:p w14:paraId="3D64D490" w14:textId="29DB6A28" w:rsidR="007A1E84" w:rsidRPr="00E42007" w:rsidRDefault="007A1E84" w:rsidP="007A1E84">
            <w:pPr>
              <w:rPr>
                <w:rFonts w:cstheme="minorHAnsi"/>
                <w:color w:val="000000" w:themeColor="text1"/>
                <w:szCs w:val="22"/>
              </w:rPr>
            </w:pPr>
            <w:r w:rsidRPr="00E42007">
              <w:rPr>
                <w:rFonts w:cstheme="minorHAnsi"/>
                <w:color w:val="000000" w:themeColor="text1"/>
                <w:sz w:val="22"/>
                <w:szCs w:val="22"/>
              </w:rPr>
              <w:t>Appropriate resourcing of evaluation </w:t>
            </w:r>
          </w:p>
        </w:tc>
        <w:tc>
          <w:tcPr>
            <w:tcW w:w="0" w:type="dxa"/>
            <w:shd w:val="clear" w:color="auto" w:fill="FFFFFF" w:themeFill="background1"/>
          </w:tcPr>
          <w:p w14:paraId="603B6590" w14:textId="61845BCB" w:rsidR="007A1E84" w:rsidRPr="00E42007" w:rsidRDefault="007A1E84" w:rsidP="007A1E84">
            <w:pPr>
              <w:rPr>
                <w:rFonts w:cstheme="minorHAnsi"/>
                <w:color w:val="000000" w:themeColor="text1"/>
                <w:szCs w:val="22"/>
              </w:rPr>
            </w:pPr>
            <w:r w:rsidRPr="00E42007">
              <w:rPr>
                <w:rFonts w:cstheme="minorHAnsi"/>
                <w:sz w:val="22"/>
                <w:szCs w:val="22"/>
              </w:rPr>
              <w:t>Proportion of entities who have evaluation expertise in entity</w:t>
            </w:r>
          </w:p>
        </w:tc>
        <w:tc>
          <w:tcPr>
            <w:tcW w:w="0" w:type="dxa"/>
            <w:shd w:val="clear" w:color="auto" w:fill="FFFFFF" w:themeFill="background1"/>
          </w:tcPr>
          <w:p w14:paraId="61B42991" w14:textId="2DC25DBA" w:rsidR="007A1E84" w:rsidRPr="00E42007" w:rsidRDefault="007A1E84" w:rsidP="007A1E84">
            <w:pPr>
              <w:rPr>
                <w:rFonts w:cstheme="minorHAnsi"/>
                <w:szCs w:val="22"/>
              </w:rPr>
            </w:pPr>
            <w:r w:rsidRPr="00E42007">
              <w:rPr>
                <w:rFonts w:cstheme="minorHAnsi"/>
                <w:sz w:val="22"/>
                <w:szCs w:val="22"/>
              </w:rPr>
              <w:t>Commonwealth Evaluation Survey</w:t>
            </w:r>
          </w:p>
        </w:tc>
      </w:tr>
      <w:tr w:rsidR="003272D5" w:rsidRPr="00E42007" w14:paraId="30760E82" w14:textId="77777777" w:rsidTr="007A1E84">
        <w:tc>
          <w:tcPr>
            <w:tcW w:w="9361" w:type="dxa"/>
            <w:gridSpan w:val="3"/>
            <w:shd w:val="clear" w:color="auto" w:fill="CDD5E1" w:themeFill="accent1" w:themeFillTint="33"/>
          </w:tcPr>
          <w:p w14:paraId="077862E1" w14:textId="191D09A9" w:rsidR="00530C1B" w:rsidRPr="00E42007" w:rsidRDefault="00530C1B">
            <w:pPr>
              <w:rPr>
                <w:rFonts w:cstheme="minorHAnsi"/>
                <w:i/>
                <w:iCs/>
                <w:color w:val="000000" w:themeColor="text1"/>
                <w:szCs w:val="22"/>
              </w:rPr>
            </w:pPr>
            <w:r>
              <w:rPr>
                <w:rFonts w:cstheme="minorHAnsi"/>
                <w:i/>
                <w:iCs/>
                <w:color w:val="000000" w:themeColor="text1"/>
                <w:sz w:val="22"/>
                <w:szCs w:val="22"/>
              </w:rPr>
              <w:t xml:space="preserve">Stream 2: </w:t>
            </w:r>
            <w:r w:rsidR="00675C75">
              <w:rPr>
                <w:rFonts w:cstheme="minorHAnsi"/>
                <w:i/>
                <w:iCs/>
                <w:color w:val="000000" w:themeColor="text1"/>
                <w:sz w:val="22"/>
                <w:szCs w:val="22"/>
              </w:rPr>
              <w:t>Impact e</w:t>
            </w:r>
            <w:r>
              <w:rPr>
                <w:rFonts w:cstheme="minorHAnsi"/>
                <w:i/>
                <w:iCs/>
                <w:color w:val="000000" w:themeColor="text1"/>
                <w:sz w:val="22"/>
                <w:szCs w:val="22"/>
              </w:rPr>
              <w:t xml:space="preserve">valuation </w:t>
            </w:r>
            <w:r w:rsidR="00675C75">
              <w:rPr>
                <w:rFonts w:cstheme="minorHAnsi"/>
                <w:i/>
                <w:iCs/>
                <w:color w:val="000000" w:themeColor="text1"/>
                <w:sz w:val="22"/>
                <w:szCs w:val="22"/>
              </w:rPr>
              <w:t>delivery and advice</w:t>
            </w:r>
          </w:p>
        </w:tc>
      </w:tr>
      <w:tr w:rsidR="005B4871" w:rsidRPr="00E42007" w14:paraId="6EBACAE7" w14:textId="77777777" w:rsidTr="005B1BA8">
        <w:tc>
          <w:tcPr>
            <w:tcW w:w="0" w:type="dxa"/>
            <w:gridSpan w:val="3"/>
            <w:shd w:val="clear" w:color="auto" w:fill="FFFFFF" w:themeFill="background1"/>
          </w:tcPr>
          <w:p w14:paraId="7D2E27D3" w14:textId="694C939F" w:rsidR="00E42007" w:rsidRPr="00E42007" w:rsidRDefault="00E42007">
            <w:pPr>
              <w:rPr>
                <w:rFonts w:cstheme="minorHAnsi"/>
                <w:i/>
                <w:iCs/>
                <w:color w:val="000000" w:themeColor="text1"/>
                <w:sz w:val="22"/>
                <w:szCs w:val="22"/>
              </w:rPr>
            </w:pPr>
            <w:r w:rsidRPr="00E42007">
              <w:rPr>
                <w:rFonts w:cstheme="minorHAnsi"/>
                <w:i/>
                <w:iCs/>
                <w:color w:val="000000" w:themeColor="text1"/>
                <w:sz w:val="22"/>
                <w:szCs w:val="22"/>
              </w:rPr>
              <w:t xml:space="preserve">Outcome </w:t>
            </w:r>
            <w:r w:rsidR="00530C1B">
              <w:rPr>
                <w:rFonts w:cstheme="minorHAnsi"/>
                <w:i/>
                <w:iCs/>
                <w:color w:val="000000" w:themeColor="text1"/>
                <w:sz w:val="22"/>
                <w:szCs w:val="22"/>
              </w:rPr>
              <w:t>2.</w:t>
            </w:r>
            <w:r w:rsidR="00E96E0E">
              <w:rPr>
                <w:rFonts w:cstheme="minorHAnsi"/>
                <w:i/>
                <w:iCs/>
                <w:color w:val="000000" w:themeColor="text1"/>
                <w:sz w:val="22"/>
                <w:szCs w:val="22"/>
              </w:rPr>
              <w:t>1</w:t>
            </w:r>
          </w:p>
        </w:tc>
      </w:tr>
      <w:tr w:rsidR="00AC7BA5" w:rsidRPr="00E42007" w14:paraId="59E47903" w14:textId="77777777" w:rsidTr="007A1E84">
        <w:trPr>
          <w:trHeight w:val="1003"/>
        </w:trPr>
        <w:tc>
          <w:tcPr>
            <w:tcW w:w="3624" w:type="dxa"/>
          </w:tcPr>
          <w:p w14:paraId="0F06E680" w14:textId="77777777" w:rsidR="00E42007" w:rsidRPr="00E42007" w:rsidRDefault="00E42007">
            <w:pPr>
              <w:rPr>
                <w:rFonts w:cstheme="minorHAnsi"/>
                <w:i/>
                <w:iCs/>
                <w:color w:val="000000" w:themeColor="text1"/>
                <w:sz w:val="22"/>
                <w:szCs w:val="22"/>
              </w:rPr>
            </w:pPr>
            <w:r w:rsidRPr="00E42007">
              <w:rPr>
                <w:rFonts w:cstheme="minorHAnsi"/>
                <w:color w:val="000000" w:themeColor="text1"/>
                <w:sz w:val="22"/>
                <w:szCs w:val="22"/>
              </w:rPr>
              <w:t>Impact evaluation partnerships demonstrate benefit of experimental and quasi-experimental methods</w:t>
            </w:r>
          </w:p>
        </w:tc>
        <w:tc>
          <w:tcPr>
            <w:tcW w:w="3504" w:type="dxa"/>
          </w:tcPr>
          <w:p w14:paraId="2D7CF17B" w14:textId="42076ABE" w:rsidR="00E42007" w:rsidRPr="00F02D40" w:rsidRDefault="00E42007" w:rsidP="00F02D40">
            <w:pPr>
              <w:rPr>
                <w:rFonts w:cstheme="minorHAnsi"/>
                <w:color w:val="000000" w:themeColor="text1"/>
                <w:sz w:val="22"/>
                <w:szCs w:val="22"/>
              </w:rPr>
            </w:pPr>
            <w:r w:rsidRPr="00E42007">
              <w:rPr>
                <w:rFonts w:cstheme="minorHAnsi"/>
                <w:sz w:val="22"/>
                <w:szCs w:val="22"/>
              </w:rPr>
              <w:t xml:space="preserve">Perception of </w:t>
            </w:r>
            <w:r w:rsidR="009F5626">
              <w:rPr>
                <w:rFonts w:cstheme="minorHAnsi"/>
                <w:sz w:val="22"/>
                <w:szCs w:val="22"/>
              </w:rPr>
              <w:t>i</w:t>
            </w:r>
            <w:r w:rsidR="0021517D">
              <w:rPr>
                <w:rFonts w:cstheme="minorHAnsi"/>
                <w:sz w:val="22"/>
                <w:szCs w:val="22"/>
              </w:rPr>
              <w:t xml:space="preserve">mpact </w:t>
            </w:r>
            <w:r w:rsidR="009F5626">
              <w:rPr>
                <w:rFonts w:cstheme="minorHAnsi"/>
                <w:sz w:val="22"/>
                <w:szCs w:val="22"/>
              </w:rPr>
              <w:t>e</w:t>
            </w:r>
            <w:r w:rsidR="0021517D">
              <w:rPr>
                <w:rFonts w:cstheme="minorHAnsi"/>
                <w:sz w:val="22"/>
                <w:szCs w:val="22"/>
              </w:rPr>
              <w:t>valuation</w:t>
            </w:r>
            <w:r w:rsidR="0021517D" w:rsidRPr="00E42007">
              <w:rPr>
                <w:rFonts w:cstheme="minorHAnsi"/>
                <w:sz w:val="22"/>
                <w:szCs w:val="22"/>
              </w:rPr>
              <w:t xml:space="preserve"> </w:t>
            </w:r>
            <w:r w:rsidRPr="00E42007">
              <w:rPr>
                <w:rFonts w:cstheme="minorHAnsi"/>
                <w:sz w:val="22"/>
                <w:szCs w:val="22"/>
              </w:rPr>
              <w:t>partners regarding benefit of experimental and quasi-experimental methods</w:t>
            </w:r>
          </w:p>
        </w:tc>
        <w:tc>
          <w:tcPr>
            <w:tcW w:w="2233" w:type="dxa"/>
          </w:tcPr>
          <w:p w14:paraId="2D48B8C0" w14:textId="77777777" w:rsidR="00E42007" w:rsidRPr="00E42007" w:rsidRDefault="00E42007">
            <w:pPr>
              <w:rPr>
                <w:rFonts w:cstheme="minorHAnsi"/>
                <w:sz w:val="22"/>
                <w:szCs w:val="22"/>
              </w:rPr>
            </w:pPr>
            <w:r w:rsidRPr="00E42007">
              <w:rPr>
                <w:rFonts w:cstheme="minorHAnsi"/>
                <w:sz w:val="22"/>
                <w:szCs w:val="22"/>
              </w:rPr>
              <w:t>ACE Evaluation - Case Study</w:t>
            </w:r>
          </w:p>
        </w:tc>
      </w:tr>
      <w:tr w:rsidR="00362213" w:rsidRPr="00E42007" w14:paraId="49B84A20" w14:textId="77777777" w:rsidTr="005B1BA8">
        <w:trPr>
          <w:gridAfter w:val="1"/>
          <w:wAfter w:w="2233" w:type="dxa"/>
          <w:trHeight w:val="529"/>
        </w:trPr>
        <w:tc>
          <w:tcPr>
            <w:tcW w:w="7128" w:type="dxa"/>
            <w:gridSpan w:val="2"/>
          </w:tcPr>
          <w:p w14:paraId="12FE881C" w14:textId="63A222F3" w:rsidR="005B1BA8" w:rsidRPr="00E42007" w:rsidRDefault="005B1BA8" w:rsidP="0007514B">
            <w:pPr>
              <w:rPr>
                <w:rFonts w:cstheme="minorHAnsi"/>
                <w:szCs w:val="22"/>
              </w:rPr>
            </w:pPr>
            <w:r w:rsidRPr="00E42007">
              <w:rPr>
                <w:rFonts w:cstheme="minorHAnsi"/>
                <w:i/>
                <w:iCs/>
                <w:color w:val="000000" w:themeColor="text1"/>
                <w:sz w:val="22"/>
                <w:szCs w:val="22"/>
              </w:rPr>
              <w:t xml:space="preserve">Outcome </w:t>
            </w:r>
            <w:r>
              <w:rPr>
                <w:rFonts w:cstheme="minorHAnsi"/>
                <w:i/>
                <w:iCs/>
                <w:color w:val="000000" w:themeColor="text1"/>
                <w:sz w:val="22"/>
                <w:szCs w:val="22"/>
              </w:rPr>
              <w:t>2.2</w:t>
            </w:r>
          </w:p>
        </w:tc>
      </w:tr>
      <w:tr w:rsidR="0015047E" w:rsidRPr="00E42007" w14:paraId="1F991D3E" w14:textId="77777777" w:rsidTr="007A1E84">
        <w:trPr>
          <w:trHeight w:val="1003"/>
        </w:trPr>
        <w:tc>
          <w:tcPr>
            <w:tcW w:w="3624" w:type="dxa"/>
          </w:tcPr>
          <w:p w14:paraId="482EAEA4" w14:textId="4EF698A9" w:rsidR="0007514B" w:rsidRPr="00E42007" w:rsidRDefault="0007514B" w:rsidP="0007514B">
            <w:pPr>
              <w:rPr>
                <w:rFonts w:cstheme="minorHAnsi"/>
                <w:color w:val="000000" w:themeColor="text1"/>
                <w:szCs w:val="22"/>
              </w:rPr>
            </w:pPr>
            <w:r w:rsidRPr="00E42007">
              <w:rPr>
                <w:rFonts w:cstheme="minorHAnsi"/>
                <w:color w:val="000000" w:themeColor="text1"/>
                <w:sz w:val="22"/>
                <w:szCs w:val="22"/>
              </w:rPr>
              <w:t>Increased uptake of impact evaluations using experimental and quasi-experimental methods</w:t>
            </w:r>
          </w:p>
        </w:tc>
        <w:tc>
          <w:tcPr>
            <w:tcW w:w="3504" w:type="dxa"/>
          </w:tcPr>
          <w:p w14:paraId="654B6562" w14:textId="77777777" w:rsidR="0007514B" w:rsidRPr="00E42007" w:rsidRDefault="0007514B" w:rsidP="0007514B">
            <w:pPr>
              <w:rPr>
                <w:rFonts w:cstheme="minorHAnsi"/>
                <w:sz w:val="22"/>
                <w:szCs w:val="22"/>
              </w:rPr>
            </w:pPr>
            <w:r w:rsidRPr="00E42007">
              <w:rPr>
                <w:rFonts w:cstheme="minorHAnsi"/>
                <w:sz w:val="22"/>
                <w:szCs w:val="22"/>
              </w:rPr>
              <w:t>Proportion of entities where there is one or more impact evaluations conducted, increase in the average number of impact evaluations in those entities</w:t>
            </w:r>
          </w:p>
          <w:p w14:paraId="4BFDADEE" w14:textId="77777777" w:rsidR="0007514B" w:rsidRDefault="0007514B" w:rsidP="0007514B">
            <w:pPr>
              <w:rPr>
                <w:rFonts w:cstheme="minorHAnsi"/>
                <w:szCs w:val="22"/>
              </w:rPr>
            </w:pPr>
          </w:p>
          <w:p w14:paraId="7426F832" w14:textId="77777777" w:rsidR="00F84907" w:rsidRDefault="00F84907" w:rsidP="0007514B">
            <w:pPr>
              <w:rPr>
                <w:rFonts w:cstheme="minorHAnsi"/>
                <w:szCs w:val="22"/>
              </w:rPr>
            </w:pPr>
          </w:p>
          <w:p w14:paraId="41EE9AF3" w14:textId="77777777" w:rsidR="0007514B" w:rsidRPr="00E42007" w:rsidRDefault="0007514B" w:rsidP="0007514B">
            <w:pPr>
              <w:rPr>
                <w:rFonts w:cstheme="minorHAnsi"/>
                <w:szCs w:val="22"/>
              </w:rPr>
            </w:pPr>
          </w:p>
        </w:tc>
        <w:tc>
          <w:tcPr>
            <w:tcW w:w="2233" w:type="dxa"/>
          </w:tcPr>
          <w:p w14:paraId="79BB4027" w14:textId="187D4036" w:rsidR="0007514B" w:rsidRPr="00E42007" w:rsidRDefault="0007514B" w:rsidP="0007514B">
            <w:pPr>
              <w:rPr>
                <w:rFonts w:cstheme="minorHAnsi"/>
                <w:szCs w:val="22"/>
              </w:rPr>
            </w:pPr>
            <w:r w:rsidRPr="00E42007">
              <w:rPr>
                <w:rFonts w:cstheme="minorHAnsi"/>
                <w:sz w:val="22"/>
                <w:szCs w:val="22"/>
              </w:rPr>
              <w:t>Commonwealth Evaluation Survey</w:t>
            </w:r>
          </w:p>
        </w:tc>
      </w:tr>
      <w:tr w:rsidR="003272D5" w:rsidRPr="00E42007" w14:paraId="7BE1F81D" w14:textId="77777777" w:rsidTr="007A1E84">
        <w:trPr>
          <w:trHeight w:val="273"/>
        </w:trPr>
        <w:tc>
          <w:tcPr>
            <w:tcW w:w="9361" w:type="dxa"/>
            <w:gridSpan w:val="3"/>
            <w:shd w:val="clear" w:color="auto" w:fill="CDD5E1" w:themeFill="accent1" w:themeFillTint="33"/>
          </w:tcPr>
          <w:p w14:paraId="75B35572" w14:textId="54920803" w:rsidR="00A87A47" w:rsidRPr="00E42007" w:rsidRDefault="003A4F02">
            <w:pPr>
              <w:rPr>
                <w:rFonts w:cstheme="minorHAnsi"/>
                <w:i/>
                <w:iCs/>
                <w:color w:val="000000" w:themeColor="text1"/>
                <w:szCs w:val="22"/>
              </w:rPr>
            </w:pPr>
            <w:r>
              <w:rPr>
                <w:rFonts w:cstheme="minorHAnsi"/>
                <w:i/>
                <w:iCs/>
                <w:color w:val="000000" w:themeColor="text1"/>
                <w:sz w:val="22"/>
                <w:szCs w:val="22"/>
              </w:rPr>
              <w:t>Stream 3: Evaluation planning and use</w:t>
            </w:r>
          </w:p>
        </w:tc>
      </w:tr>
      <w:tr w:rsidR="00DE6B7F" w:rsidRPr="00E42007" w14:paraId="7263C95A" w14:textId="77777777" w:rsidTr="005B1BA8">
        <w:trPr>
          <w:trHeight w:val="273"/>
        </w:trPr>
        <w:tc>
          <w:tcPr>
            <w:tcW w:w="0" w:type="dxa"/>
            <w:gridSpan w:val="3"/>
            <w:shd w:val="clear" w:color="auto" w:fill="FFFFFF" w:themeFill="background1"/>
          </w:tcPr>
          <w:p w14:paraId="2D034B12" w14:textId="0EEA63B4" w:rsidR="00E42007" w:rsidRPr="00E42007" w:rsidRDefault="00E42007">
            <w:pPr>
              <w:rPr>
                <w:rFonts w:cstheme="minorHAnsi"/>
                <w:i/>
                <w:iCs/>
                <w:color w:val="000000" w:themeColor="text1"/>
                <w:sz w:val="22"/>
                <w:szCs w:val="22"/>
              </w:rPr>
            </w:pPr>
            <w:r w:rsidRPr="00E42007">
              <w:rPr>
                <w:rFonts w:cstheme="minorHAnsi"/>
                <w:i/>
                <w:iCs/>
                <w:color w:val="000000" w:themeColor="text1"/>
                <w:sz w:val="22"/>
                <w:szCs w:val="22"/>
              </w:rPr>
              <w:t xml:space="preserve">Outcome </w:t>
            </w:r>
            <w:r w:rsidR="003A4F02">
              <w:rPr>
                <w:rFonts w:cstheme="minorHAnsi"/>
                <w:i/>
                <w:iCs/>
                <w:color w:val="000000" w:themeColor="text1"/>
                <w:sz w:val="22"/>
                <w:szCs w:val="22"/>
              </w:rPr>
              <w:t>3.1</w:t>
            </w:r>
          </w:p>
        </w:tc>
      </w:tr>
      <w:tr w:rsidR="00AC7BA5" w:rsidRPr="00E42007" w14:paraId="1A93F2B1" w14:textId="77777777" w:rsidTr="007A1E84">
        <w:tc>
          <w:tcPr>
            <w:tcW w:w="3624" w:type="dxa"/>
          </w:tcPr>
          <w:p w14:paraId="79307D66" w14:textId="708FC6A2" w:rsidR="00E42007" w:rsidRPr="00E42007" w:rsidRDefault="00E42007">
            <w:pPr>
              <w:rPr>
                <w:rFonts w:cstheme="minorHAnsi"/>
                <w:i/>
                <w:iCs/>
                <w:color w:val="000000" w:themeColor="text1"/>
                <w:sz w:val="22"/>
                <w:szCs w:val="22"/>
              </w:rPr>
            </w:pPr>
            <w:r w:rsidRPr="00E42007">
              <w:rPr>
                <w:rFonts w:cstheme="minorHAnsi"/>
                <w:color w:val="000000" w:themeColor="text1"/>
                <w:sz w:val="22"/>
                <w:szCs w:val="22"/>
              </w:rPr>
              <w:t xml:space="preserve">Policy and program proposals are strengthened by plans for high quality, </w:t>
            </w:r>
            <w:r w:rsidR="00FB56E7">
              <w:rPr>
                <w:rFonts w:cstheme="minorHAnsi"/>
                <w:color w:val="000000" w:themeColor="text1"/>
                <w:sz w:val="22"/>
                <w:szCs w:val="22"/>
              </w:rPr>
              <w:t xml:space="preserve">ethical and </w:t>
            </w:r>
            <w:r w:rsidRPr="00E42007">
              <w:rPr>
                <w:rFonts w:cstheme="minorHAnsi"/>
                <w:color w:val="000000" w:themeColor="text1"/>
                <w:sz w:val="22"/>
                <w:szCs w:val="22"/>
              </w:rPr>
              <w:t>culturally appropriate evaluation</w:t>
            </w:r>
          </w:p>
        </w:tc>
        <w:tc>
          <w:tcPr>
            <w:tcW w:w="3504" w:type="dxa"/>
          </w:tcPr>
          <w:p w14:paraId="5447AE0F" w14:textId="77777777" w:rsidR="00E42007" w:rsidRPr="00E42007" w:rsidRDefault="00E42007">
            <w:pPr>
              <w:rPr>
                <w:rFonts w:cstheme="minorHAnsi"/>
                <w:color w:val="000000" w:themeColor="text1"/>
                <w:sz w:val="22"/>
                <w:szCs w:val="22"/>
              </w:rPr>
            </w:pPr>
            <w:r w:rsidRPr="00E42007">
              <w:rPr>
                <w:rFonts w:cstheme="minorHAnsi"/>
                <w:sz w:val="22"/>
                <w:szCs w:val="22"/>
              </w:rPr>
              <w:t>Perception of staff receiving ACE advice on New Policy Proposals (NPPs)</w:t>
            </w:r>
          </w:p>
        </w:tc>
        <w:tc>
          <w:tcPr>
            <w:tcW w:w="2233" w:type="dxa"/>
          </w:tcPr>
          <w:p w14:paraId="5CED66F7" w14:textId="77777777" w:rsidR="00E42007" w:rsidRPr="00E42007" w:rsidRDefault="00E42007">
            <w:pPr>
              <w:rPr>
                <w:rFonts w:cstheme="minorHAnsi"/>
                <w:sz w:val="22"/>
                <w:szCs w:val="22"/>
              </w:rPr>
            </w:pPr>
            <w:r w:rsidRPr="00E42007">
              <w:rPr>
                <w:rFonts w:cstheme="minorHAnsi"/>
                <w:sz w:val="22"/>
                <w:szCs w:val="22"/>
              </w:rPr>
              <w:t>ACE Evaluation - Case Study</w:t>
            </w:r>
          </w:p>
        </w:tc>
      </w:tr>
      <w:tr w:rsidR="004B6CA2" w:rsidRPr="00E42007" w14:paraId="7837835B" w14:textId="77777777">
        <w:tc>
          <w:tcPr>
            <w:tcW w:w="9361" w:type="dxa"/>
            <w:gridSpan w:val="3"/>
          </w:tcPr>
          <w:p w14:paraId="2C0FE100" w14:textId="0D4D7C9B" w:rsidR="004546B4" w:rsidRPr="00E42007" w:rsidRDefault="007269D8" w:rsidP="004546B4">
            <w:pPr>
              <w:rPr>
                <w:rFonts w:cstheme="minorHAnsi"/>
                <w:szCs w:val="22"/>
              </w:rPr>
            </w:pPr>
            <w:r w:rsidRPr="00251D88">
              <w:rPr>
                <w:rFonts w:cstheme="minorHAnsi"/>
                <w:i/>
                <w:iCs/>
                <w:color w:val="000000" w:themeColor="text1"/>
                <w:sz w:val="22"/>
                <w:szCs w:val="22"/>
              </w:rPr>
              <w:t>Outcome 3.2</w:t>
            </w:r>
          </w:p>
        </w:tc>
      </w:tr>
      <w:tr w:rsidR="0015047E" w:rsidRPr="00E42007" w14:paraId="4D2F94F7" w14:textId="77777777" w:rsidTr="007A1E84">
        <w:tc>
          <w:tcPr>
            <w:tcW w:w="3624" w:type="dxa"/>
          </w:tcPr>
          <w:p w14:paraId="3B8CBBBC" w14:textId="40CE7F58" w:rsidR="004546B4" w:rsidRPr="00E42007" w:rsidRDefault="004546B4" w:rsidP="004546B4">
            <w:pPr>
              <w:rPr>
                <w:rFonts w:cstheme="minorHAnsi"/>
                <w:color w:val="000000" w:themeColor="text1"/>
                <w:szCs w:val="22"/>
              </w:rPr>
            </w:pPr>
            <w:r w:rsidRPr="00E42007">
              <w:rPr>
                <w:rFonts w:cstheme="minorHAnsi"/>
                <w:color w:val="000000" w:themeColor="text1"/>
                <w:sz w:val="22"/>
                <w:szCs w:val="22"/>
              </w:rPr>
              <w:t xml:space="preserve">Wide range of policies and programs across government have high-quality, </w:t>
            </w:r>
            <w:r w:rsidR="00FB56E7">
              <w:rPr>
                <w:rFonts w:cstheme="minorHAnsi"/>
                <w:color w:val="000000" w:themeColor="text1"/>
                <w:sz w:val="22"/>
                <w:szCs w:val="22"/>
              </w:rPr>
              <w:t>ethical and culturally appropriate</w:t>
            </w:r>
            <w:r w:rsidRPr="00E42007">
              <w:rPr>
                <w:rFonts w:cstheme="minorHAnsi"/>
                <w:color w:val="000000" w:themeColor="text1"/>
                <w:sz w:val="22"/>
                <w:szCs w:val="22"/>
              </w:rPr>
              <w:t xml:space="preserve"> evaluations</w:t>
            </w:r>
          </w:p>
        </w:tc>
        <w:tc>
          <w:tcPr>
            <w:tcW w:w="3504" w:type="dxa"/>
          </w:tcPr>
          <w:p w14:paraId="210AF9A3" w14:textId="487ED2E1" w:rsidR="004546B4" w:rsidRPr="00E42007" w:rsidRDefault="004546B4" w:rsidP="004546B4">
            <w:pPr>
              <w:rPr>
                <w:rFonts w:cstheme="minorHAnsi"/>
                <w:szCs w:val="22"/>
              </w:rPr>
            </w:pPr>
            <w:r w:rsidRPr="00E42007">
              <w:rPr>
                <w:rFonts w:cstheme="minorHAnsi"/>
                <w:sz w:val="22"/>
                <w:szCs w:val="22"/>
              </w:rPr>
              <w:t>Review of published evaluations</w:t>
            </w:r>
          </w:p>
        </w:tc>
        <w:tc>
          <w:tcPr>
            <w:tcW w:w="2233" w:type="dxa"/>
          </w:tcPr>
          <w:p w14:paraId="3D179804" w14:textId="446CE6D1" w:rsidR="004546B4" w:rsidRPr="00E42007" w:rsidRDefault="004546B4" w:rsidP="004546B4">
            <w:pPr>
              <w:rPr>
                <w:rFonts w:cstheme="minorHAnsi"/>
                <w:szCs w:val="22"/>
              </w:rPr>
            </w:pPr>
            <w:r w:rsidRPr="00E42007">
              <w:rPr>
                <w:rFonts w:cstheme="minorHAnsi"/>
                <w:sz w:val="22"/>
                <w:szCs w:val="22"/>
              </w:rPr>
              <w:t>Commonwealth Evaluation Survey</w:t>
            </w:r>
          </w:p>
        </w:tc>
      </w:tr>
      <w:tr w:rsidR="0015047E" w:rsidRPr="00E42007" w14:paraId="477879BD" w14:textId="77777777" w:rsidTr="007A1E84">
        <w:tc>
          <w:tcPr>
            <w:tcW w:w="3624" w:type="dxa"/>
          </w:tcPr>
          <w:p w14:paraId="158FF3F8" w14:textId="61059630" w:rsidR="007269D8" w:rsidRPr="00E42007" w:rsidRDefault="007269D8" w:rsidP="007269D8">
            <w:pPr>
              <w:rPr>
                <w:rFonts w:cstheme="minorHAnsi"/>
                <w:color w:val="000000" w:themeColor="text1"/>
                <w:szCs w:val="22"/>
              </w:rPr>
            </w:pPr>
            <w:r w:rsidRPr="00251D88">
              <w:rPr>
                <w:rFonts w:cstheme="minorHAnsi"/>
                <w:i/>
                <w:iCs/>
                <w:color w:val="000000" w:themeColor="text1"/>
                <w:sz w:val="22"/>
                <w:szCs w:val="22"/>
              </w:rPr>
              <w:t>Outcome 3.3</w:t>
            </w:r>
          </w:p>
        </w:tc>
        <w:tc>
          <w:tcPr>
            <w:tcW w:w="3504" w:type="dxa"/>
          </w:tcPr>
          <w:p w14:paraId="4E8F204C" w14:textId="77777777" w:rsidR="007269D8" w:rsidRPr="00E42007" w:rsidRDefault="007269D8" w:rsidP="007269D8">
            <w:pPr>
              <w:rPr>
                <w:rFonts w:cstheme="minorHAnsi"/>
                <w:szCs w:val="22"/>
              </w:rPr>
            </w:pPr>
          </w:p>
        </w:tc>
        <w:tc>
          <w:tcPr>
            <w:tcW w:w="2233" w:type="dxa"/>
          </w:tcPr>
          <w:p w14:paraId="63D6EE15" w14:textId="77777777" w:rsidR="007269D8" w:rsidRPr="00E42007" w:rsidRDefault="007269D8" w:rsidP="007269D8">
            <w:pPr>
              <w:rPr>
                <w:rFonts w:cstheme="minorHAnsi"/>
                <w:szCs w:val="22"/>
              </w:rPr>
            </w:pPr>
          </w:p>
        </w:tc>
      </w:tr>
      <w:tr w:rsidR="0015047E" w:rsidRPr="00E42007" w14:paraId="77EA1D5F" w14:textId="77777777" w:rsidTr="007A1E84">
        <w:tc>
          <w:tcPr>
            <w:tcW w:w="3624" w:type="dxa"/>
          </w:tcPr>
          <w:p w14:paraId="6D214118" w14:textId="0FDE5132" w:rsidR="007269D8" w:rsidRPr="00E42007" w:rsidRDefault="007269D8" w:rsidP="007269D8">
            <w:pPr>
              <w:rPr>
                <w:rFonts w:cstheme="minorHAnsi"/>
                <w:color w:val="000000" w:themeColor="text1"/>
                <w:szCs w:val="22"/>
              </w:rPr>
            </w:pPr>
            <w:r w:rsidRPr="00E42007">
              <w:rPr>
                <w:rFonts w:cstheme="minorHAnsi"/>
                <w:color w:val="000000" w:themeColor="text1"/>
                <w:sz w:val="22"/>
                <w:szCs w:val="22"/>
              </w:rPr>
              <w:t>Evaluative thinking and high-quality evaluation evidence are widely used to inform policy and spending decisions</w:t>
            </w:r>
          </w:p>
        </w:tc>
        <w:tc>
          <w:tcPr>
            <w:tcW w:w="3504" w:type="dxa"/>
          </w:tcPr>
          <w:p w14:paraId="2FCB1E65" w14:textId="5EDDABAD" w:rsidR="007269D8" w:rsidRPr="00E42007" w:rsidRDefault="007269D8" w:rsidP="007269D8">
            <w:pPr>
              <w:rPr>
                <w:rFonts w:cstheme="minorHAnsi"/>
                <w:szCs w:val="22"/>
              </w:rPr>
            </w:pPr>
            <w:r w:rsidRPr="00E42007">
              <w:rPr>
                <w:rFonts w:cstheme="minorHAnsi"/>
                <w:sz w:val="22"/>
                <w:szCs w:val="22"/>
              </w:rPr>
              <w:t>Perception of entity staff that evaluation evidence is used to inform policy development and spending decisions</w:t>
            </w:r>
          </w:p>
        </w:tc>
        <w:tc>
          <w:tcPr>
            <w:tcW w:w="2233" w:type="dxa"/>
          </w:tcPr>
          <w:p w14:paraId="1E59D918" w14:textId="790FF4BE" w:rsidR="007269D8" w:rsidRPr="00E42007" w:rsidRDefault="007269D8" w:rsidP="007269D8">
            <w:pPr>
              <w:rPr>
                <w:rFonts w:cstheme="minorHAnsi"/>
                <w:szCs w:val="22"/>
              </w:rPr>
            </w:pPr>
            <w:r w:rsidRPr="00E42007">
              <w:rPr>
                <w:rFonts w:cstheme="minorHAnsi"/>
                <w:sz w:val="22"/>
                <w:szCs w:val="22"/>
              </w:rPr>
              <w:t>Commonwealth Evaluation Survey</w:t>
            </w:r>
          </w:p>
        </w:tc>
      </w:tr>
      <w:tr w:rsidR="003272D5" w:rsidRPr="00E42007" w14:paraId="2B30BC1F" w14:textId="77777777" w:rsidTr="007A1E84">
        <w:tc>
          <w:tcPr>
            <w:tcW w:w="9361" w:type="dxa"/>
            <w:gridSpan w:val="3"/>
            <w:shd w:val="clear" w:color="auto" w:fill="CDD5E1" w:themeFill="accent1" w:themeFillTint="33"/>
          </w:tcPr>
          <w:p w14:paraId="39DB3FF0" w14:textId="0D195187" w:rsidR="007269D8" w:rsidRPr="00E42007" w:rsidRDefault="007269D8">
            <w:pPr>
              <w:rPr>
                <w:rFonts w:cstheme="minorHAnsi"/>
                <w:i/>
                <w:iCs/>
                <w:color w:val="000000" w:themeColor="text1"/>
                <w:szCs w:val="22"/>
              </w:rPr>
            </w:pPr>
            <w:r>
              <w:rPr>
                <w:rFonts w:cstheme="minorHAnsi"/>
                <w:i/>
                <w:iCs/>
                <w:color w:val="000000" w:themeColor="text1"/>
                <w:sz w:val="22"/>
                <w:szCs w:val="22"/>
              </w:rPr>
              <w:t>Stream 4: Evaluation capability building</w:t>
            </w:r>
          </w:p>
        </w:tc>
      </w:tr>
      <w:tr w:rsidR="003272D5" w:rsidRPr="00E42007" w14:paraId="70F2981E" w14:textId="77777777" w:rsidTr="005B1BA8">
        <w:tc>
          <w:tcPr>
            <w:tcW w:w="9361" w:type="dxa"/>
            <w:gridSpan w:val="3"/>
            <w:shd w:val="clear" w:color="auto" w:fill="FFFFFF" w:themeFill="background1"/>
          </w:tcPr>
          <w:p w14:paraId="38D2256D" w14:textId="5C1BCC10" w:rsidR="00B30E43" w:rsidRPr="00E42007" w:rsidRDefault="00B30E43" w:rsidP="00B30E43">
            <w:pPr>
              <w:rPr>
                <w:rFonts w:cstheme="minorHAnsi"/>
                <w:sz w:val="22"/>
                <w:szCs w:val="22"/>
              </w:rPr>
            </w:pPr>
            <w:r w:rsidRPr="00D202B5">
              <w:rPr>
                <w:rFonts w:cstheme="minorHAnsi"/>
                <w:i/>
                <w:iCs/>
                <w:color w:val="000000" w:themeColor="text1"/>
                <w:sz w:val="22"/>
                <w:szCs w:val="22"/>
              </w:rPr>
              <w:t>O</w:t>
            </w:r>
            <w:r w:rsidR="005B1BA8">
              <w:rPr>
                <w:rFonts w:cstheme="minorHAnsi"/>
                <w:i/>
                <w:iCs/>
                <w:color w:val="000000" w:themeColor="text1"/>
                <w:sz w:val="22"/>
                <w:szCs w:val="22"/>
              </w:rPr>
              <w:t xml:space="preserve">utcome </w:t>
            </w:r>
            <w:r w:rsidRPr="00D202B5">
              <w:rPr>
                <w:rFonts w:cstheme="minorHAnsi"/>
                <w:i/>
                <w:iCs/>
                <w:color w:val="000000" w:themeColor="text1"/>
                <w:sz w:val="22"/>
                <w:szCs w:val="22"/>
              </w:rPr>
              <w:t xml:space="preserve">4.1: </w:t>
            </w:r>
          </w:p>
        </w:tc>
      </w:tr>
      <w:tr w:rsidR="00AC7BA5" w:rsidRPr="00E42007" w14:paraId="497F6211" w14:textId="77777777" w:rsidTr="007A1E84">
        <w:tc>
          <w:tcPr>
            <w:tcW w:w="3624" w:type="dxa"/>
          </w:tcPr>
          <w:p w14:paraId="25C2A8B7" w14:textId="270ACA78" w:rsidR="00B30E43" w:rsidRPr="00E42007" w:rsidRDefault="00B30E43" w:rsidP="00B30E43">
            <w:pPr>
              <w:rPr>
                <w:rFonts w:cstheme="minorHAnsi"/>
                <w:i/>
                <w:iCs/>
                <w:color w:val="000000" w:themeColor="text1"/>
                <w:sz w:val="22"/>
                <w:szCs w:val="22"/>
              </w:rPr>
            </w:pPr>
            <w:r w:rsidRPr="00E42007">
              <w:rPr>
                <w:rFonts w:cstheme="minorHAnsi"/>
                <w:color w:val="000000" w:themeColor="text1"/>
                <w:sz w:val="22"/>
                <w:szCs w:val="22"/>
              </w:rPr>
              <w:t xml:space="preserve">Increased capability across the APS to design, procure and deliver high-quality, </w:t>
            </w:r>
            <w:r w:rsidR="00FB56E7">
              <w:rPr>
                <w:rFonts w:cstheme="minorHAnsi"/>
                <w:color w:val="000000" w:themeColor="text1"/>
                <w:sz w:val="22"/>
                <w:szCs w:val="22"/>
              </w:rPr>
              <w:t xml:space="preserve">ethical and </w:t>
            </w:r>
            <w:r w:rsidRPr="00E42007">
              <w:rPr>
                <w:rFonts w:cstheme="minorHAnsi"/>
                <w:color w:val="000000" w:themeColor="text1"/>
                <w:sz w:val="22"/>
                <w:szCs w:val="22"/>
              </w:rPr>
              <w:t>culturally appropriate evaluation</w:t>
            </w:r>
          </w:p>
        </w:tc>
        <w:tc>
          <w:tcPr>
            <w:tcW w:w="3504" w:type="dxa"/>
          </w:tcPr>
          <w:p w14:paraId="37CF4B06" w14:textId="77777777" w:rsidR="00B30E43" w:rsidRPr="00E42007" w:rsidRDefault="00B30E43" w:rsidP="00B30E43">
            <w:pPr>
              <w:rPr>
                <w:rFonts w:cstheme="minorHAnsi"/>
                <w:sz w:val="22"/>
                <w:szCs w:val="22"/>
              </w:rPr>
            </w:pPr>
            <w:r w:rsidRPr="00E42007">
              <w:rPr>
                <w:rFonts w:cstheme="minorHAnsi"/>
                <w:sz w:val="22"/>
                <w:szCs w:val="22"/>
              </w:rPr>
              <w:t>Increase in number of entities producing evaluation reports</w:t>
            </w:r>
          </w:p>
        </w:tc>
        <w:tc>
          <w:tcPr>
            <w:tcW w:w="2233" w:type="dxa"/>
          </w:tcPr>
          <w:p w14:paraId="267DF727" w14:textId="77777777" w:rsidR="00B30E43" w:rsidRPr="00E42007" w:rsidRDefault="00B30E43" w:rsidP="00B30E43">
            <w:pPr>
              <w:rPr>
                <w:rFonts w:cstheme="minorHAnsi"/>
                <w:sz w:val="22"/>
                <w:szCs w:val="22"/>
              </w:rPr>
            </w:pPr>
            <w:r w:rsidRPr="00E42007">
              <w:rPr>
                <w:rFonts w:cstheme="minorHAnsi"/>
                <w:sz w:val="22"/>
                <w:szCs w:val="22"/>
              </w:rPr>
              <w:t>Commonwealth Evaluation Survey</w:t>
            </w:r>
          </w:p>
        </w:tc>
      </w:tr>
      <w:tr w:rsidR="00AC7BA5" w:rsidRPr="00E42007" w14:paraId="628CA87A" w14:textId="77777777" w:rsidTr="007A1E84">
        <w:tc>
          <w:tcPr>
            <w:tcW w:w="3624" w:type="dxa"/>
          </w:tcPr>
          <w:p w14:paraId="5A8373C7" w14:textId="2EE30E9D" w:rsidR="00B30E43" w:rsidRPr="00E42007" w:rsidRDefault="00B30E43" w:rsidP="00B30E43">
            <w:pPr>
              <w:rPr>
                <w:rFonts w:cstheme="minorHAnsi"/>
                <w:color w:val="000000" w:themeColor="text1"/>
                <w:sz w:val="22"/>
                <w:szCs w:val="22"/>
              </w:rPr>
            </w:pPr>
          </w:p>
        </w:tc>
        <w:tc>
          <w:tcPr>
            <w:tcW w:w="3504" w:type="dxa"/>
          </w:tcPr>
          <w:p w14:paraId="7FFD78AC" w14:textId="3DB25849" w:rsidR="00B30E43" w:rsidRPr="00E42007" w:rsidRDefault="00B30E43" w:rsidP="00B30E43">
            <w:pPr>
              <w:rPr>
                <w:rFonts w:cstheme="minorHAnsi"/>
                <w:sz w:val="22"/>
                <w:szCs w:val="22"/>
              </w:rPr>
            </w:pPr>
          </w:p>
        </w:tc>
        <w:tc>
          <w:tcPr>
            <w:tcW w:w="2233" w:type="dxa"/>
          </w:tcPr>
          <w:p w14:paraId="3A0B6774" w14:textId="1B17F46F" w:rsidR="00B30E43" w:rsidRPr="00E42007" w:rsidRDefault="00B30E43" w:rsidP="00B30E43">
            <w:pPr>
              <w:rPr>
                <w:rFonts w:cstheme="minorHAnsi"/>
                <w:sz w:val="22"/>
                <w:szCs w:val="22"/>
              </w:rPr>
            </w:pPr>
          </w:p>
        </w:tc>
      </w:tr>
    </w:tbl>
    <w:p w14:paraId="3CEDFA61" w14:textId="77777777" w:rsidR="00583508" w:rsidRDefault="00583508" w:rsidP="00312F6E">
      <w:pPr>
        <w:pStyle w:val="DoubleDot"/>
        <w:numPr>
          <w:ilvl w:val="0"/>
          <w:numId w:val="0"/>
        </w:numPr>
        <w:rPr>
          <w:highlight w:val="yellow"/>
        </w:rPr>
        <w:sectPr w:rsidR="00583508" w:rsidSect="000D5ACF">
          <w:headerReference w:type="even" r:id="rId32"/>
          <w:headerReference w:type="default" r:id="rId33"/>
          <w:footerReference w:type="even" r:id="rId34"/>
          <w:footerReference w:type="default" r:id="rId35"/>
          <w:headerReference w:type="first" r:id="rId36"/>
          <w:footerReference w:type="first" r:id="rId37"/>
          <w:pgSz w:w="11906" w:h="16838" w:code="9"/>
          <w:pgMar w:top="1843" w:right="1417" w:bottom="1417" w:left="1417" w:header="709" w:footer="709" w:gutter="0"/>
          <w:cols w:space="708"/>
          <w:titlePg/>
          <w:docGrid w:linePitch="360"/>
        </w:sectPr>
      </w:pPr>
    </w:p>
    <w:p w14:paraId="1A72A885" w14:textId="37CCB9D3" w:rsidR="00583508" w:rsidRPr="00D002A2" w:rsidRDefault="00FD0D6F" w:rsidP="00D002A2">
      <w:pPr>
        <w:pStyle w:val="Heading1"/>
      </w:pPr>
      <w:bookmarkStart w:id="25" w:name="_Toc175056202"/>
      <w:bookmarkStart w:id="26" w:name="_Hlk171594864"/>
      <w:r>
        <w:t>Appendix</w:t>
      </w:r>
      <w:r w:rsidR="00583508">
        <w:t xml:space="preserve"> </w:t>
      </w:r>
      <w:r w:rsidR="00B5604D">
        <w:t>A</w:t>
      </w:r>
      <w:r w:rsidR="00583508" w:rsidRPr="00A5407F">
        <w:t xml:space="preserve">: The ACE </w:t>
      </w:r>
      <w:r w:rsidR="007E03A7">
        <w:t>t</w:t>
      </w:r>
      <w:r w:rsidR="00583508" w:rsidRPr="00A5407F">
        <w:t xml:space="preserve">heory of </w:t>
      </w:r>
      <w:r w:rsidR="007E03A7">
        <w:t>c</w:t>
      </w:r>
      <w:r w:rsidR="00583508" w:rsidRPr="00A5407F">
        <w:t>hange</w:t>
      </w:r>
      <w:bookmarkEnd w:id="25"/>
    </w:p>
    <w:bookmarkEnd w:id="26"/>
    <w:p w14:paraId="7C4AF9F7" w14:textId="1B7A80C1" w:rsidR="00583508" w:rsidRDefault="005E61EB" w:rsidP="00567514">
      <w:pPr>
        <w:pStyle w:val="Caption"/>
        <w:keepNext/>
      </w:pPr>
      <w:r>
        <w:t xml:space="preserve">Figure </w:t>
      </w:r>
      <w:fldSimple w:instr=" SEQ Figure \* ARABIC ">
        <w:r w:rsidR="00D93540">
          <w:rPr>
            <w:noProof/>
          </w:rPr>
          <w:t>2</w:t>
        </w:r>
      </w:fldSimple>
      <w:r>
        <w:t>: Theory of change</w:t>
      </w:r>
      <w:r w:rsidR="00632519">
        <w:t xml:space="preserve"> (</w:t>
      </w:r>
      <w:r w:rsidR="00734F37">
        <w:t>note this is a living theory of change and will be updated to reflect lessons learned during implementation and emerging issues)</w:t>
      </w:r>
    </w:p>
    <w:p w14:paraId="56C27B12" w14:textId="573B9900" w:rsidR="00AC7BA5" w:rsidRDefault="001D360C" w:rsidP="00583508">
      <w:pPr>
        <w:sectPr w:rsidR="00AC7BA5" w:rsidSect="00D002A2">
          <w:pgSz w:w="16838" w:h="11906" w:orient="landscape" w:code="9"/>
          <w:pgMar w:top="1417" w:right="1843" w:bottom="1417" w:left="1417" w:header="709" w:footer="709" w:gutter="0"/>
          <w:cols w:space="708"/>
          <w:docGrid w:linePitch="360"/>
        </w:sectPr>
      </w:pPr>
      <w:r>
        <w:rPr>
          <w:noProof/>
        </w:rPr>
        <w:drawing>
          <wp:inline distT="0" distB="0" distL="0" distR="0" wp14:anchorId="246986D1" wp14:editId="3402F024">
            <wp:extent cx="8622030" cy="4673600"/>
            <wp:effectExtent l="0" t="0" r="0" b="0"/>
            <wp:docPr id="126237446"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7446" name="Picture 5" descr="A screenshot of a computer&#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622030" cy="4673600"/>
                    </a:xfrm>
                    <a:prstGeom prst="rect">
                      <a:avLst/>
                    </a:prstGeom>
                  </pic:spPr>
                </pic:pic>
              </a:graphicData>
            </a:graphic>
          </wp:inline>
        </w:drawing>
      </w:r>
    </w:p>
    <w:p w14:paraId="2FB840B9" w14:textId="77777777" w:rsidR="00F64A51" w:rsidRPr="00583508" w:rsidRDefault="00F64A51" w:rsidP="00583508"/>
    <w:p w14:paraId="6088F13D" w14:textId="41E34360" w:rsidR="00377756" w:rsidRPr="00D002A2" w:rsidRDefault="00377756" w:rsidP="00377756">
      <w:pPr>
        <w:pStyle w:val="Heading1"/>
      </w:pPr>
      <w:bookmarkStart w:id="27" w:name="_Toc175056203"/>
      <w:r>
        <w:t xml:space="preserve">Appendix </w:t>
      </w:r>
      <w:r w:rsidR="00B5604D">
        <w:t>B</w:t>
      </w:r>
      <w:r w:rsidRPr="00A5407F">
        <w:t xml:space="preserve">: The ACE </w:t>
      </w:r>
      <w:r>
        <w:t>service offering</w:t>
      </w:r>
      <w:bookmarkEnd w:id="27"/>
    </w:p>
    <w:p w14:paraId="3E17AC80" w14:textId="009BAC92" w:rsidR="00623796" w:rsidRDefault="00623796">
      <w:pPr>
        <w:spacing w:before="0" w:after="160" w:line="259" w:lineRule="auto"/>
      </w:pPr>
    </w:p>
    <w:p w14:paraId="355A31B8" w14:textId="15F7F66E" w:rsidR="00AC1A68" w:rsidRPr="00CE3C9C" w:rsidRDefault="00AC1A68" w:rsidP="00AC1A68">
      <w:pPr>
        <w:rPr>
          <w:rFonts w:ascii="Calibri" w:hAnsi="Calibri" w:cs="Calibri"/>
        </w:rPr>
      </w:pPr>
      <w:r w:rsidRPr="007A56B8">
        <w:t>The ACE offers a range of services to Commonwealth entities and APS staff.</w:t>
      </w:r>
    </w:p>
    <w:p w14:paraId="603230EA" w14:textId="77DA73A6" w:rsidR="00AC1A68" w:rsidRDefault="00AC1A68" w:rsidP="00AC1A68">
      <w:pPr>
        <w:pStyle w:val="Heading2"/>
        <w:rPr>
          <w:rFonts w:cs="Calibri"/>
        </w:rPr>
      </w:pPr>
      <w:bookmarkStart w:id="28" w:name="_Toc175056204"/>
      <w:r>
        <w:rPr>
          <w:rFonts w:cs="Calibri"/>
        </w:rPr>
        <w:t xml:space="preserve">Services </w:t>
      </w:r>
      <w:r w:rsidR="00CE0D48">
        <w:rPr>
          <w:rFonts w:cs="Calibri"/>
        </w:rPr>
        <w:t>for</w:t>
      </w:r>
      <w:r>
        <w:rPr>
          <w:rFonts w:cs="Calibri"/>
        </w:rPr>
        <w:t xml:space="preserve"> Commonwealth entities</w:t>
      </w:r>
      <w:bookmarkEnd w:id="28"/>
    </w:p>
    <w:p w14:paraId="008B6F62" w14:textId="15BF9FD4" w:rsidR="00AC1A68" w:rsidRPr="007A56B8" w:rsidRDefault="00AC1A68" w:rsidP="00AC1A68">
      <w:r w:rsidRPr="007A56B8">
        <w:t xml:space="preserve">We provide services for Commonwealth entities in two areas: </w:t>
      </w:r>
    </w:p>
    <w:p w14:paraId="003CA513" w14:textId="77777777" w:rsidR="00AC1A68" w:rsidRPr="007A56B8" w:rsidRDefault="00AC1A68" w:rsidP="007A56B8">
      <w:pPr>
        <w:pStyle w:val="Bullet"/>
      </w:pPr>
      <w:r w:rsidRPr="007A56B8">
        <w:t xml:space="preserve">development and delivery of impact evaluation partnerships </w:t>
      </w:r>
    </w:p>
    <w:p w14:paraId="31956C4C" w14:textId="77777777" w:rsidR="00AC1A68" w:rsidRPr="007A56B8" w:rsidRDefault="00AC1A68" w:rsidP="007A56B8">
      <w:pPr>
        <w:pStyle w:val="Bullet"/>
      </w:pPr>
      <w:r w:rsidRPr="007A56B8">
        <w:t>consulting support for evaluation planning and use.</w:t>
      </w:r>
    </w:p>
    <w:p w14:paraId="4C686CE5" w14:textId="77777777" w:rsidR="00AC1A68" w:rsidRPr="00DC6674" w:rsidRDefault="00AC1A68" w:rsidP="00DC6674">
      <w:pPr>
        <w:rPr>
          <w:rFonts w:ascii="Calibri" w:hAnsi="Calibri" w:cs="Calibri"/>
        </w:rPr>
      </w:pPr>
    </w:p>
    <w:p w14:paraId="5D2673FE" w14:textId="77777777" w:rsidR="00AC1A68" w:rsidRDefault="00AC1A68" w:rsidP="00AC1A68">
      <w:pPr>
        <w:pStyle w:val="Heading3"/>
        <w:rPr>
          <w:rFonts w:cs="Calibri"/>
        </w:rPr>
      </w:pPr>
      <w:bookmarkStart w:id="29" w:name="_Toc175056205"/>
      <w:r>
        <w:rPr>
          <w:rFonts w:cs="Calibri"/>
        </w:rPr>
        <w:t>Impact evaluation partnerships</w:t>
      </w:r>
      <w:bookmarkEnd w:id="29"/>
    </w:p>
    <w:p w14:paraId="273CB935" w14:textId="77777777" w:rsidR="00AC1A68" w:rsidRPr="007A56B8" w:rsidRDefault="00AC1A68" w:rsidP="00AC1A68">
      <w:r w:rsidRPr="007A56B8">
        <w:t>We offer the following services to develop and deliver impact evaluation partnerships with Commonwealth entities:</w:t>
      </w:r>
    </w:p>
    <w:p w14:paraId="5F99E93D" w14:textId="77777777" w:rsidR="00AC1A68" w:rsidRPr="007A56B8" w:rsidRDefault="00AC1A68" w:rsidP="007A56B8">
      <w:pPr>
        <w:pStyle w:val="Bullet"/>
      </w:pPr>
      <w:r w:rsidRPr="007A56B8">
        <w:t>Research design: support for designing impact evaluations and ensuring ethical standards</w:t>
      </w:r>
    </w:p>
    <w:p w14:paraId="2E95B1D6" w14:textId="77777777" w:rsidR="00AC1A68" w:rsidRPr="007A56B8" w:rsidRDefault="00AC1A68" w:rsidP="007A56B8">
      <w:pPr>
        <w:pStyle w:val="Bullet"/>
      </w:pPr>
      <w:r w:rsidRPr="007A56B8">
        <w:t xml:space="preserve">Evaluation delivery: conducting impact evaluations </w:t>
      </w:r>
    </w:p>
    <w:p w14:paraId="3FD42F11" w14:textId="77777777" w:rsidR="00AC1A68" w:rsidRPr="007A56B8" w:rsidRDefault="00AC1A68" w:rsidP="007A56B8">
      <w:pPr>
        <w:pStyle w:val="Bullet"/>
      </w:pPr>
      <w:r w:rsidRPr="007A56B8">
        <w:t>Data cleaning and analysis: preparing data for accurate analysis</w:t>
      </w:r>
    </w:p>
    <w:p w14:paraId="4A1E6E3A" w14:textId="77777777" w:rsidR="00AC1A68" w:rsidRPr="007A56B8" w:rsidRDefault="00AC1A68" w:rsidP="007A56B8">
      <w:pPr>
        <w:pStyle w:val="Bullet"/>
      </w:pPr>
      <w:r w:rsidRPr="007A56B8">
        <w:t>Reporting and use: creating reports and helping use findings effectively.</w:t>
      </w:r>
    </w:p>
    <w:p w14:paraId="3E4142FE" w14:textId="78E29B8E" w:rsidR="00490CF3" w:rsidRPr="00DC6674" w:rsidRDefault="34E94CA1" w:rsidP="00AC1A68">
      <w:r w:rsidRPr="007A56B8">
        <w:t xml:space="preserve">In 2023-24, we commenced </w:t>
      </w:r>
      <w:r w:rsidR="007A56B8">
        <w:t>three</w:t>
      </w:r>
      <w:r w:rsidR="00AC1A68" w:rsidRPr="007A56B8">
        <w:t xml:space="preserve"> partnerships through which ACE provides expert staff, ethics reviews, data access, and academic support while partners contribute resources, oversight, and governance. </w:t>
      </w:r>
    </w:p>
    <w:p w14:paraId="5D79F4C2" w14:textId="3A11218F" w:rsidR="00AC1A68" w:rsidRPr="00CE3C9C" w:rsidRDefault="00AC1A68" w:rsidP="00CE3C9C">
      <w:pPr>
        <w:pStyle w:val="Heading4"/>
      </w:pPr>
      <w:r w:rsidRPr="00CE3C9C">
        <w:t>The Department of Employment and Workforce Relations partnership</w:t>
      </w:r>
    </w:p>
    <w:p w14:paraId="7C3327BA" w14:textId="5A79770F" w:rsidR="00490CF3" w:rsidRPr="00DC6674" w:rsidRDefault="00AC1A68" w:rsidP="00AC1A68">
      <w:r w:rsidRPr="00F84907">
        <w:t>This partnership will deliver 5 trials over 3 years to test online employment services. Two ACE staff have been seconded to the department to assist with ethics review, trial design, and pre-analysis plans.</w:t>
      </w:r>
    </w:p>
    <w:p w14:paraId="2DEC91D4" w14:textId="0F8BAB31" w:rsidR="00AC1A68" w:rsidRPr="00CE3C9C" w:rsidRDefault="00AC1A68" w:rsidP="00CE3C9C">
      <w:pPr>
        <w:pStyle w:val="Heading4"/>
      </w:pPr>
      <w:r w:rsidRPr="00CE3C9C">
        <w:t>The Department of Health and Aged Care partnership</w:t>
      </w:r>
    </w:p>
    <w:p w14:paraId="4A3FE2E1" w14:textId="14BA3B18" w:rsidR="00490CF3" w:rsidRPr="00DC6674" w:rsidRDefault="00AC1A68" w:rsidP="00AC1A68">
      <w:r w:rsidRPr="007A56B8">
        <w:t>We are exploring impact evaluations for primary health care and population health initiatives.</w:t>
      </w:r>
    </w:p>
    <w:p w14:paraId="7E880364" w14:textId="4F7EB057" w:rsidR="00AC1A68" w:rsidRPr="00CE3C9C" w:rsidRDefault="00AC1A68" w:rsidP="00CE3C9C">
      <w:pPr>
        <w:pStyle w:val="Heading4"/>
      </w:pPr>
      <w:r w:rsidRPr="00CE3C9C">
        <w:t>The Department of Social Services partnership</w:t>
      </w:r>
    </w:p>
    <w:p w14:paraId="42F711CF" w14:textId="00F9AADC" w:rsidR="00AC1A68" w:rsidRPr="007A56B8" w:rsidRDefault="00AC1A68" w:rsidP="00AC1A68">
      <w:r w:rsidRPr="007A56B8">
        <w:t>We are exploring impact evaluations for disability support, early childhood development, and ending gender-based violence.</w:t>
      </w:r>
    </w:p>
    <w:p w14:paraId="1B72FD0E" w14:textId="77777777" w:rsidR="00AC1A68" w:rsidRDefault="00AC1A68" w:rsidP="00AC1A68">
      <w:pPr>
        <w:rPr>
          <w:rFonts w:ascii="Calibri" w:hAnsi="Calibri" w:cs="Calibri"/>
        </w:rPr>
      </w:pPr>
    </w:p>
    <w:p w14:paraId="2562C72C" w14:textId="77777777" w:rsidR="00AC1A68" w:rsidRDefault="00AC1A68" w:rsidP="00AC1A68">
      <w:pPr>
        <w:pStyle w:val="Heading3"/>
        <w:rPr>
          <w:rFonts w:cs="Calibri"/>
        </w:rPr>
      </w:pPr>
      <w:bookmarkStart w:id="30" w:name="_Toc175056206"/>
      <w:r>
        <w:rPr>
          <w:rFonts w:cs="Calibri"/>
        </w:rPr>
        <w:t>Consulting support for evaluation planning and use</w:t>
      </w:r>
      <w:bookmarkEnd w:id="30"/>
    </w:p>
    <w:p w14:paraId="597FA897" w14:textId="77777777" w:rsidR="00AC1A68" w:rsidRPr="007A56B8" w:rsidRDefault="00AC1A68" w:rsidP="00AC1A68">
      <w:r w:rsidRPr="007A56B8">
        <w:t>We offer the following services to APS entities:</w:t>
      </w:r>
    </w:p>
    <w:p w14:paraId="11739F3F" w14:textId="77777777" w:rsidR="00AC1A68" w:rsidRPr="007A56B8" w:rsidRDefault="00AC1A68" w:rsidP="007A56B8">
      <w:pPr>
        <w:pStyle w:val="Bullet"/>
      </w:pPr>
      <w:r w:rsidRPr="007A56B8">
        <w:t>tailored support to embed evaluation, helping entities meet policy requirements</w:t>
      </w:r>
    </w:p>
    <w:p w14:paraId="1BB0E711" w14:textId="77777777" w:rsidR="00AC1A68" w:rsidRPr="007A56B8" w:rsidRDefault="00AC1A68" w:rsidP="007A56B8">
      <w:pPr>
        <w:pStyle w:val="Bullet"/>
      </w:pPr>
      <w:r w:rsidRPr="007A56B8">
        <w:t>targeted support for New Policy Proposals in collaboration with departmental evaluation units</w:t>
      </w:r>
    </w:p>
    <w:p w14:paraId="64D33654" w14:textId="22FCA218" w:rsidR="00AC1A68" w:rsidRPr="00DC6674" w:rsidRDefault="00AC1A68" w:rsidP="00AC1A68">
      <w:pPr>
        <w:pStyle w:val="Bullet"/>
      </w:pPr>
      <w:r w:rsidRPr="007A56B8">
        <w:t>supporting Post-Implementation Reviews, ensuring compliance with the Australian Government Guide to Policy Impact Analysis.</w:t>
      </w:r>
    </w:p>
    <w:p w14:paraId="15D827AF" w14:textId="77777777" w:rsidR="00AC1A68" w:rsidRDefault="00AC1A68" w:rsidP="00AC1A68">
      <w:pPr>
        <w:pStyle w:val="Heading2"/>
        <w:rPr>
          <w:rFonts w:cs="Calibri"/>
        </w:rPr>
      </w:pPr>
      <w:bookmarkStart w:id="31" w:name="_Toc175056207"/>
      <w:r>
        <w:rPr>
          <w:rFonts w:cs="Calibri"/>
        </w:rPr>
        <w:t>Services for APS staff</w:t>
      </w:r>
      <w:bookmarkEnd w:id="31"/>
      <w:r>
        <w:rPr>
          <w:rFonts w:cs="Calibri"/>
        </w:rPr>
        <w:t xml:space="preserve"> </w:t>
      </w:r>
    </w:p>
    <w:p w14:paraId="14EDD05F" w14:textId="4C67C3EB" w:rsidR="00AC1A68" w:rsidRPr="00DC6674" w:rsidRDefault="00AC1A68" w:rsidP="00AC1A68">
      <w:r w:rsidRPr="007A56B8">
        <w:t>We provide evaluation leadership and promotion services as well as a range of capacity building services for APS staff.</w:t>
      </w:r>
    </w:p>
    <w:p w14:paraId="025F7FEB" w14:textId="77777777" w:rsidR="00AC1A68" w:rsidRPr="006C20CF" w:rsidRDefault="00AC1A68" w:rsidP="00EE1D4A">
      <w:pPr>
        <w:pStyle w:val="Heading3"/>
        <w:rPr>
          <w:rFonts w:cs="Calibri"/>
        </w:rPr>
      </w:pPr>
      <w:bookmarkStart w:id="32" w:name="_Toc175056208"/>
      <w:r w:rsidRPr="006C20CF">
        <w:rPr>
          <w:rFonts w:cs="Calibri"/>
        </w:rPr>
        <w:t>Evaluation leadership and promotion</w:t>
      </w:r>
      <w:bookmarkEnd w:id="32"/>
      <w:r w:rsidRPr="006C20CF">
        <w:rPr>
          <w:rFonts w:cs="Calibri"/>
        </w:rPr>
        <w:t xml:space="preserve"> </w:t>
      </w:r>
    </w:p>
    <w:p w14:paraId="34CA69A2" w14:textId="78CE5E5E" w:rsidR="00AC1A68" w:rsidRPr="007A56B8" w:rsidRDefault="00AC1A68" w:rsidP="00AC1A68">
      <w:r w:rsidRPr="007A56B8">
        <w:t>Our services in this area consist of:</w:t>
      </w:r>
    </w:p>
    <w:p w14:paraId="54432A57" w14:textId="77777777" w:rsidR="00AC1A68" w:rsidRPr="006C20CF" w:rsidRDefault="00AC1A68" w:rsidP="00EE1D4A">
      <w:pPr>
        <w:pStyle w:val="Heading4"/>
        <w:rPr>
          <w:rFonts w:ascii="Calibri" w:hAnsi="Calibri" w:cs="Calibri"/>
        </w:rPr>
      </w:pPr>
      <w:r w:rsidRPr="006C20CF">
        <w:rPr>
          <w:rFonts w:ascii="Calibri" w:hAnsi="Calibri" w:cs="Calibri"/>
        </w:rPr>
        <w:t>The Commonwealth Evaluation Reference Group</w:t>
      </w:r>
    </w:p>
    <w:p w14:paraId="62C3F7C1" w14:textId="7BAA0CB8" w:rsidR="00AC1A68" w:rsidRPr="00DC6674" w:rsidRDefault="00AC1A68" w:rsidP="00AC1A68">
      <w:r w:rsidRPr="007A56B8">
        <w:t>This group provides cross-government leadership and coordination to embed a culture of evaluation across the APS. Membership of the group is open to senior executives and managers with evaluation responsibility or skills</w:t>
      </w:r>
      <w:r w:rsidR="00363894" w:rsidRPr="007A56B8">
        <w:t>.</w:t>
      </w:r>
    </w:p>
    <w:p w14:paraId="1304860D" w14:textId="77777777" w:rsidR="00AC1A68" w:rsidRPr="006C20CF" w:rsidRDefault="00AC1A68" w:rsidP="00EE1D4A">
      <w:pPr>
        <w:pStyle w:val="Heading4"/>
        <w:rPr>
          <w:rFonts w:ascii="Calibri" w:hAnsi="Calibri" w:cs="Calibri"/>
        </w:rPr>
      </w:pPr>
      <w:r w:rsidRPr="006C20CF">
        <w:rPr>
          <w:rFonts w:ascii="Calibri" w:hAnsi="Calibri" w:cs="Calibri"/>
        </w:rPr>
        <w:t>The Commonwealth Evaluation Community of Practice</w:t>
      </w:r>
    </w:p>
    <w:p w14:paraId="5C521104" w14:textId="6F8809E6" w:rsidR="00AC1A68" w:rsidRPr="00DC6674" w:rsidRDefault="00AC1A68" w:rsidP="00AC1A68">
      <w:r w:rsidRPr="007A56B8">
        <w:t>This Community of Practice provides a forum for people interested in evaluation to learn, share, and build capability. The group is open to all Commonwealth officials with an interest in evaluation.</w:t>
      </w:r>
    </w:p>
    <w:p w14:paraId="5363AE27" w14:textId="77777777" w:rsidR="00AC1A68" w:rsidRPr="006C20CF" w:rsidRDefault="00AC1A68" w:rsidP="00EE1D4A">
      <w:pPr>
        <w:pStyle w:val="Heading4"/>
        <w:rPr>
          <w:rFonts w:ascii="Calibri" w:hAnsi="Calibri" w:cs="Calibri"/>
        </w:rPr>
      </w:pPr>
      <w:r w:rsidRPr="006C20CF">
        <w:rPr>
          <w:rFonts w:ascii="Calibri" w:hAnsi="Calibri" w:cs="Calibri"/>
        </w:rPr>
        <w:t>The Impact Evaluation Practitioners Network</w:t>
      </w:r>
    </w:p>
    <w:p w14:paraId="1C3C4C89" w14:textId="36F8D7AD" w:rsidR="00AC1A68" w:rsidRPr="007A56B8" w:rsidRDefault="00AC1A68" w:rsidP="00DC6674">
      <w:r w:rsidRPr="007A56B8">
        <w:t>This network connects impact evaluation practitioners from government and academia across Australia and provides a forum for building relationships and accessing advice.</w:t>
      </w:r>
    </w:p>
    <w:p w14:paraId="5050EA93" w14:textId="77777777" w:rsidR="00AC1A68" w:rsidRPr="006C20CF" w:rsidRDefault="00AC1A68" w:rsidP="00EE1D4A">
      <w:pPr>
        <w:pStyle w:val="Heading4"/>
        <w:rPr>
          <w:rFonts w:asciiTheme="minorHAnsi" w:hAnsiTheme="minorHAnsi" w:cstheme="minorHAnsi"/>
        </w:rPr>
      </w:pPr>
      <w:r w:rsidRPr="006C20CF">
        <w:rPr>
          <w:rFonts w:asciiTheme="minorHAnsi" w:hAnsiTheme="minorHAnsi" w:cstheme="minorHAnsi"/>
        </w:rPr>
        <w:t>Conferences and Events</w:t>
      </w:r>
    </w:p>
    <w:p w14:paraId="0A2EC822" w14:textId="221C64CE" w:rsidR="00AC1A68" w:rsidRPr="006C20CF" w:rsidRDefault="00AC1A68" w:rsidP="00AC1A68">
      <w:pPr>
        <w:rPr>
          <w:rFonts w:cs="Calibri Light"/>
        </w:rPr>
      </w:pPr>
      <w:r w:rsidRPr="007A56B8">
        <w:t xml:space="preserve">We promote and contribute to events for professional networking, learning and collaboration. In June 2024, we held an Impact Evaluation Showcase event that brought together over 1000 people from </w:t>
      </w:r>
      <w:r w:rsidRPr="006C20CF">
        <w:rPr>
          <w:rFonts w:cs="Calibri Light"/>
        </w:rPr>
        <w:t xml:space="preserve">across government, academia and civil society. </w:t>
      </w:r>
    </w:p>
    <w:p w14:paraId="3FC07C25" w14:textId="77777777" w:rsidR="00AC1A68" w:rsidRPr="006C20CF" w:rsidRDefault="00AC1A68" w:rsidP="00AC1A68">
      <w:pPr>
        <w:pStyle w:val="Heading3"/>
        <w:rPr>
          <w:rFonts w:cs="Calibri"/>
        </w:rPr>
      </w:pPr>
      <w:bookmarkStart w:id="33" w:name="_Toc175056209"/>
      <w:r w:rsidRPr="006C20CF">
        <w:rPr>
          <w:rFonts w:cs="Calibri"/>
        </w:rPr>
        <w:t>Capacity Building</w:t>
      </w:r>
      <w:bookmarkEnd w:id="33"/>
    </w:p>
    <w:p w14:paraId="5926EC30" w14:textId="65EF0A0E" w:rsidR="00AC1A68" w:rsidRPr="006C20CF" w:rsidRDefault="00AC1A68" w:rsidP="00AC1A68">
      <w:pPr>
        <w:rPr>
          <w:rFonts w:cs="Calibri Light"/>
        </w:rPr>
      </w:pPr>
      <w:r w:rsidRPr="006C20CF">
        <w:rPr>
          <w:rFonts w:cs="Calibri Light"/>
        </w:rPr>
        <w:t xml:space="preserve">We provide the following services to build evaluation </w:t>
      </w:r>
      <w:r w:rsidR="00777D67" w:rsidRPr="006C20CF">
        <w:rPr>
          <w:rFonts w:cs="Calibri Light"/>
        </w:rPr>
        <w:t xml:space="preserve">capacity and </w:t>
      </w:r>
      <w:r w:rsidRPr="006C20CF">
        <w:rPr>
          <w:rFonts w:cs="Calibri Light"/>
        </w:rPr>
        <w:t>capability in the APS.</w:t>
      </w:r>
    </w:p>
    <w:p w14:paraId="453FE53F" w14:textId="77777777" w:rsidR="00AC1A68" w:rsidRPr="006C20CF" w:rsidRDefault="00AC1A68" w:rsidP="007D0326">
      <w:pPr>
        <w:pStyle w:val="Heading4"/>
        <w:rPr>
          <w:rFonts w:ascii="Calibri" w:hAnsi="Calibri" w:cs="Calibri"/>
        </w:rPr>
      </w:pPr>
      <w:r w:rsidRPr="006C20CF">
        <w:rPr>
          <w:rFonts w:ascii="Calibri" w:hAnsi="Calibri" w:cs="Calibri"/>
        </w:rPr>
        <w:t>Training Resources, Support, and Delivery</w:t>
      </w:r>
    </w:p>
    <w:p w14:paraId="3F4A8CBC" w14:textId="77777777" w:rsidR="00AC1A68" w:rsidRPr="006C20CF" w:rsidRDefault="00AC1A68" w:rsidP="00AC1A68">
      <w:pPr>
        <w:rPr>
          <w:rFonts w:cs="Calibri Light"/>
        </w:rPr>
      </w:pPr>
      <w:r w:rsidRPr="006C20CF">
        <w:rPr>
          <w:rFonts w:cs="Calibri Light"/>
        </w:rPr>
        <w:t>We develop and deliver training resources and courses to strengthen evaluation capability. Online training modules will be available through APSLearn from August 2024.</w:t>
      </w:r>
    </w:p>
    <w:p w14:paraId="2A05E2E3" w14:textId="77777777" w:rsidR="00AC1A68" w:rsidRPr="006C20CF" w:rsidRDefault="00AC1A68" w:rsidP="00AC1A68">
      <w:pPr>
        <w:rPr>
          <w:rFonts w:cs="Calibri Light"/>
          <w:b/>
          <w:bCs/>
        </w:rPr>
      </w:pPr>
    </w:p>
    <w:p w14:paraId="3EDDE918" w14:textId="77777777" w:rsidR="00AC1A68" w:rsidRPr="006C20CF" w:rsidRDefault="00AC1A68" w:rsidP="007D0326">
      <w:pPr>
        <w:pStyle w:val="Heading4"/>
        <w:rPr>
          <w:rFonts w:asciiTheme="minorHAnsi" w:hAnsiTheme="minorHAnsi" w:cstheme="minorHAnsi"/>
        </w:rPr>
      </w:pPr>
      <w:r w:rsidRPr="006C20CF">
        <w:rPr>
          <w:rFonts w:asciiTheme="minorHAnsi" w:hAnsiTheme="minorHAnsi" w:cstheme="minorHAnsi"/>
        </w:rPr>
        <w:t>APS Evaluation Profession</w:t>
      </w:r>
    </w:p>
    <w:p w14:paraId="68CA204F" w14:textId="013F6D86" w:rsidR="00AC1A68" w:rsidRPr="006C20CF" w:rsidRDefault="00AC1A68" w:rsidP="00DC6674">
      <w:pPr>
        <w:rPr>
          <w:rFonts w:cs="Calibri Light"/>
        </w:rPr>
      </w:pPr>
      <w:r w:rsidRPr="006C20CF">
        <w:rPr>
          <w:rFonts w:cs="Calibri Light"/>
        </w:rPr>
        <w:t>The APS Evaluation Profession will build specialist evaluation capability across the APS from graduate to executive level, in partnership with the Australian Public Service Commission. The Profession will launch in late 2024</w:t>
      </w:r>
      <w:r w:rsidR="00614242" w:rsidRPr="006C20CF">
        <w:rPr>
          <w:rFonts w:cs="Calibri Light"/>
        </w:rPr>
        <w:t>.</w:t>
      </w:r>
      <w:r w:rsidRPr="006C20CF">
        <w:rPr>
          <w:rFonts w:cs="Calibri Light"/>
        </w:rPr>
        <w:t xml:space="preserve"> </w:t>
      </w:r>
    </w:p>
    <w:p w14:paraId="2D466BF7" w14:textId="77777777" w:rsidR="00AC1A68" w:rsidRPr="006C20CF" w:rsidRDefault="00AC1A68" w:rsidP="007D0326">
      <w:pPr>
        <w:pStyle w:val="Heading4"/>
        <w:rPr>
          <w:rFonts w:ascii="Calibri" w:hAnsi="Calibri" w:cs="Calibri"/>
        </w:rPr>
      </w:pPr>
      <w:r w:rsidRPr="006C20CF">
        <w:rPr>
          <w:rFonts w:ascii="Calibri" w:hAnsi="Calibri" w:cs="Calibri"/>
        </w:rPr>
        <w:t>The Commonwealth Evaluation Toolkit</w:t>
      </w:r>
    </w:p>
    <w:p w14:paraId="3D210F35" w14:textId="08D41152" w:rsidR="00AC1A68" w:rsidRPr="006C20CF" w:rsidRDefault="00AC1A68" w:rsidP="00AC1A68">
      <w:pPr>
        <w:rPr>
          <w:rFonts w:cs="Calibri Light"/>
        </w:rPr>
      </w:pPr>
      <w:r w:rsidRPr="006C20CF">
        <w:rPr>
          <w:rFonts w:cs="Calibri Light"/>
          <w:color w:val="333333"/>
          <w:shd w:val="clear" w:color="auto" w:fill="FFFFFF"/>
        </w:rPr>
        <w:t>The Toolkit provides practical guidance and supporting resources to help entities to monitor and evaluate government programs and activities.</w:t>
      </w:r>
    </w:p>
    <w:p w14:paraId="38514883" w14:textId="77777777" w:rsidR="00AC1A68" w:rsidRPr="006C20CF" w:rsidRDefault="00AC1A68" w:rsidP="00AC1A68">
      <w:pPr>
        <w:pStyle w:val="Heading2"/>
        <w:rPr>
          <w:rFonts w:cs="Calibri"/>
        </w:rPr>
      </w:pPr>
      <w:bookmarkStart w:id="34" w:name="_Toc175056210"/>
      <w:r w:rsidRPr="006C20CF">
        <w:rPr>
          <w:rFonts w:cs="Calibri"/>
        </w:rPr>
        <w:t>How to access our services</w:t>
      </w:r>
      <w:bookmarkEnd w:id="34"/>
    </w:p>
    <w:p w14:paraId="1A469D63" w14:textId="558957B6" w:rsidR="00377756" w:rsidRPr="006C20CF" w:rsidRDefault="00AC1A68">
      <w:pPr>
        <w:spacing w:before="0" w:after="160" w:line="259" w:lineRule="auto"/>
        <w:rPr>
          <w:rFonts w:cs="Calibri Light"/>
          <w:b/>
          <w:color w:val="5D779D" w:themeColor="accent3"/>
          <w:kern w:val="32"/>
          <w:sz w:val="44"/>
          <w:szCs w:val="36"/>
        </w:rPr>
      </w:pPr>
      <w:r w:rsidRPr="006C20CF">
        <w:rPr>
          <w:rFonts w:cs="Calibri Light"/>
        </w:rPr>
        <w:t>To access our services or ask for further details, contact evaluation@treasury.gov.au</w:t>
      </w:r>
    </w:p>
    <w:p w14:paraId="6750A39B" w14:textId="77777777" w:rsidR="00F924AA" w:rsidRDefault="00F924AA" w:rsidP="004800A7">
      <w:pPr>
        <w:pStyle w:val="Heading1"/>
        <w:sectPr w:rsidR="00F924AA" w:rsidSect="00D202B5">
          <w:pgSz w:w="11906" w:h="16838" w:code="9"/>
          <w:pgMar w:top="1843" w:right="1417" w:bottom="1417" w:left="1417" w:header="709" w:footer="709" w:gutter="0"/>
          <w:cols w:space="708"/>
          <w:docGrid w:linePitch="360"/>
        </w:sectPr>
      </w:pPr>
    </w:p>
    <w:p w14:paraId="02B60C5B" w14:textId="5F042006" w:rsidR="004800A7" w:rsidRPr="006128CB" w:rsidRDefault="00FD0D6F" w:rsidP="004800A7">
      <w:pPr>
        <w:pStyle w:val="Heading1"/>
      </w:pPr>
      <w:bookmarkStart w:id="35" w:name="_Toc175056211"/>
      <w:r>
        <w:t>Appendix</w:t>
      </w:r>
      <w:r w:rsidR="004800A7" w:rsidRPr="006128CB">
        <w:t xml:space="preserve"> </w:t>
      </w:r>
      <w:r w:rsidR="004B7A63">
        <w:t>C</w:t>
      </w:r>
      <w:r w:rsidR="004800A7" w:rsidRPr="006128CB">
        <w:t xml:space="preserve">: Outputs &amp; </w:t>
      </w:r>
      <w:r w:rsidR="007E03A7">
        <w:t>t</w:t>
      </w:r>
      <w:r w:rsidR="004800A7" w:rsidRPr="006128CB">
        <w:t>argets</w:t>
      </w:r>
      <w:bookmarkEnd w:id="35"/>
    </w:p>
    <w:p w14:paraId="463180D6" w14:textId="77777777" w:rsidR="00A63D50" w:rsidRDefault="00A63D50" w:rsidP="003F64C5"/>
    <w:p w14:paraId="2449D659" w14:textId="398CAC4F" w:rsidR="009A287B" w:rsidRDefault="000466D6" w:rsidP="003F64C5">
      <w:r>
        <w:t>The table below lists the outputs and targets for each of the first four ACE outcomes. The delivery of these outputs is expected to result in the</w:t>
      </w:r>
      <w:r w:rsidR="008A349C">
        <w:t>se four</w:t>
      </w:r>
      <w:r>
        <w:t xml:space="preserve"> outcome</w:t>
      </w:r>
      <w:r w:rsidR="00DA580E">
        <w:t>s</w:t>
      </w:r>
      <w:r>
        <w:t xml:space="preserve">. </w:t>
      </w:r>
      <w:r w:rsidR="006634B0">
        <w:t xml:space="preserve">Outcomes five to nine </w:t>
      </w:r>
      <w:r>
        <w:t xml:space="preserve">are anticipated to flow from </w:t>
      </w:r>
      <w:r w:rsidR="00304B7E">
        <w:t>the</w:t>
      </w:r>
      <w:r w:rsidR="006F5DAF">
        <w:t xml:space="preserve"> first four </w:t>
      </w:r>
      <w:r w:rsidR="00304B7E">
        <w:t>outcomes.</w:t>
      </w:r>
    </w:p>
    <w:tbl>
      <w:tblPr>
        <w:tblW w:w="15189" w:type="dxa"/>
        <w:tblInd w:w="-292" w:type="dxa"/>
        <w:tblLayout w:type="fixed"/>
        <w:tblCellMar>
          <w:left w:w="0" w:type="dxa"/>
          <w:right w:w="0" w:type="dxa"/>
        </w:tblCellMar>
        <w:tblLook w:val="0420" w:firstRow="1" w:lastRow="0" w:firstColumn="0" w:lastColumn="0" w:noHBand="0" w:noVBand="1"/>
      </w:tblPr>
      <w:tblGrid>
        <w:gridCol w:w="8081"/>
        <w:gridCol w:w="1559"/>
        <w:gridCol w:w="1559"/>
        <w:gridCol w:w="1559"/>
        <w:gridCol w:w="1476"/>
        <w:gridCol w:w="955"/>
      </w:tblGrid>
      <w:tr w:rsidR="003F64C5" w:rsidRPr="00EC1E01" w14:paraId="51E9ED79" w14:textId="77777777" w:rsidTr="1997D3BC">
        <w:trPr>
          <w:trHeight w:val="483"/>
          <w:tblHeader/>
        </w:trPr>
        <w:tc>
          <w:tcPr>
            <w:tcW w:w="15189" w:type="dxa"/>
            <w:gridSpan w:val="6"/>
            <w:tcBorders>
              <w:top w:val="single" w:sz="6" w:space="0" w:color="CACAC8"/>
              <w:left w:val="single" w:sz="6" w:space="0" w:color="CACAC8"/>
              <w:bottom w:val="single" w:sz="4" w:space="0" w:color="auto"/>
              <w:right w:val="single" w:sz="6" w:space="0" w:color="CACAC8"/>
            </w:tcBorders>
            <w:shd w:val="clear" w:color="auto" w:fill="2C384A" w:themeFill="accent1"/>
          </w:tcPr>
          <w:p w14:paraId="7B67A320" w14:textId="10FE67D0" w:rsidR="003F64C5" w:rsidRPr="00EC1E01" w:rsidRDefault="003F64C5">
            <w:pPr>
              <w:pStyle w:val="Bullet"/>
              <w:numPr>
                <w:ilvl w:val="0"/>
                <w:numId w:val="0"/>
              </w:numPr>
              <w:ind w:left="520" w:hanging="520"/>
              <w:rPr>
                <w:rFonts w:asciiTheme="minorHAnsi" w:hAnsiTheme="minorHAnsi" w:cstheme="minorHAnsi"/>
                <w:b/>
                <w:bCs/>
                <w:szCs w:val="22"/>
              </w:rPr>
            </w:pPr>
            <w:r w:rsidRPr="00EC1E01">
              <w:rPr>
                <w:rFonts w:asciiTheme="minorHAnsi" w:hAnsiTheme="minorHAnsi" w:cstheme="minorHAnsi"/>
                <w:b/>
                <w:bCs/>
                <w:color w:val="FFFFFF" w:themeColor="background1"/>
                <w:szCs w:val="22"/>
              </w:rPr>
              <w:t xml:space="preserve">Outcome </w:t>
            </w:r>
            <w:r w:rsidR="00430520" w:rsidRPr="00EC1E01">
              <w:rPr>
                <w:rFonts w:asciiTheme="minorHAnsi" w:hAnsiTheme="minorHAnsi" w:cstheme="minorHAnsi"/>
                <w:b/>
                <w:bCs/>
                <w:color w:val="FFFFFF" w:themeColor="background1"/>
                <w:szCs w:val="22"/>
              </w:rPr>
              <w:t>1.1</w:t>
            </w:r>
            <w:r w:rsidRPr="00EC1E01">
              <w:rPr>
                <w:rFonts w:asciiTheme="minorHAnsi" w:hAnsiTheme="minorHAnsi" w:cstheme="minorHAnsi"/>
                <w:b/>
                <w:bCs/>
                <w:color w:val="FFFFFF" w:themeColor="background1"/>
                <w:szCs w:val="22"/>
              </w:rPr>
              <w:t xml:space="preserve">: Increased awareness of system requirements for and benefits of high-quality, </w:t>
            </w:r>
            <w:r w:rsidR="0002574E">
              <w:rPr>
                <w:rFonts w:asciiTheme="minorHAnsi" w:hAnsiTheme="minorHAnsi" w:cstheme="minorHAnsi"/>
                <w:b/>
                <w:bCs/>
                <w:color w:val="FFFFFF" w:themeColor="background1"/>
                <w:szCs w:val="22"/>
              </w:rPr>
              <w:t xml:space="preserve">ethical and </w:t>
            </w:r>
            <w:r w:rsidRPr="00EC1E01">
              <w:rPr>
                <w:rFonts w:asciiTheme="minorHAnsi" w:hAnsiTheme="minorHAnsi" w:cstheme="minorHAnsi"/>
                <w:b/>
                <w:bCs/>
                <w:color w:val="FFFFFF" w:themeColor="background1"/>
                <w:szCs w:val="22"/>
              </w:rPr>
              <w:t>culturally appropriate evaluation</w:t>
            </w:r>
          </w:p>
        </w:tc>
      </w:tr>
      <w:tr w:rsidR="003F64C5" w:rsidRPr="00EC1E01" w14:paraId="37DFE57D" w14:textId="77777777" w:rsidTr="1997D3BC">
        <w:trPr>
          <w:trHeight w:val="422"/>
          <w:tblHeader/>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64815B3" w14:textId="77777777" w:rsidR="003F64C5" w:rsidRPr="00EC1E01" w:rsidRDefault="003F64C5">
            <w:pPr>
              <w:rPr>
                <w:rFonts w:asciiTheme="minorHAnsi" w:hAnsiTheme="minorHAnsi" w:cstheme="minorHAnsi"/>
                <w:color w:val="00B0F0"/>
                <w:szCs w:val="22"/>
              </w:rPr>
            </w:pPr>
            <w:r w:rsidRPr="00EC1E01">
              <w:rPr>
                <w:rFonts w:asciiTheme="minorHAnsi" w:hAnsiTheme="minorHAnsi" w:cstheme="minorHAnsi"/>
                <w:b/>
                <w:bCs/>
                <w:color w:val="000000" w:themeColor="text1"/>
                <w:szCs w:val="22"/>
              </w:rPr>
              <w:t>Outputs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675263A" w14:textId="77777777" w:rsidR="003F64C5" w:rsidRPr="00EC1E01" w:rsidRDefault="003F64C5">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374873BC" w14:textId="77777777" w:rsidR="003F64C5" w:rsidRPr="00EC1E01" w:rsidRDefault="003F64C5">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2023-24</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18CC604" w14:textId="77777777" w:rsidR="003F64C5" w:rsidRPr="00EC1E01" w:rsidRDefault="003F64C5">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409575AC" w14:textId="77777777" w:rsidR="003F64C5" w:rsidRPr="00EC1E01" w:rsidRDefault="003F64C5">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2024-25</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0D028D1" w14:textId="77777777" w:rsidR="003F64C5" w:rsidRPr="00EC1E01" w:rsidRDefault="003F64C5">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0CBAB1E5" w14:textId="77777777" w:rsidR="003F64C5" w:rsidRPr="00EC1E01" w:rsidRDefault="003F64C5">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2025-26</w:t>
            </w:r>
          </w:p>
        </w:tc>
        <w:tc>
          <w:tcPr>
            <w:tcW w:w="1476" w:type="dxa"/>
            <w:tcBorders>
              <w:top w:val="single" w:sz="4" w:space="0" w:color="auto"/>
              <w:left w:val="single" w:sz="4" w:space="0" w:color="auto"/>
              <w:bottom w:val="single" w:sz="4" w:space="0" w:color="auto"/>
              <w:right w:val="single" w:sz="4" w:space="0" w:color="auto"/>
            </w:tcBorders>
          </w:tcPr>
          <w:p w14:paraId="71475B1B" w14:textId="77777777" w:rsidR="003F64C5" w:rsidRPr="00EC1E01" w:rsidRDefault="003F64C5">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597F0E7F" w14:textId="77777777" w:rsidR="003F64C5" w:rsidRPr="00EC1E01" w:rsidRDefault="003F64C5">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2026-27</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A5C095B" w14:textId="77777777" w:rsidR="003F64C5" w:rsidRPr="00EC1E01" w:rsidRDefault="003F64C5">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Data source</w:t>
            </w:r>
          </w:p>
        </w:tc>
      </w:tr>
      <w:tr w:rsidR="003F64C5" w:rsidRPr="00EC1E01" w14:paraId="01606A36" w14:textId="77777777" w:rsidTr="1997D3BC">
        <w:trPr>
          <w:trHeight w:val="275"/>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373C8F3" w14:textId="05828BAB"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1.1 </w:t>
            </w:r>
            <w:r w:rsidR="00432005" w:rsidRPr="00EC1E01">
              <w:rPr>
                <w:rFonts w:asciiTheme="minorHAnsi" w:hAnsiTheme="minorHAnsi" w:cstheme="minorHAnsi"/>
                <w:szCs w:val="22"/>
              </w:rPr>
              <w:t>Commonwealth</w:t>
            </w:r>
            <w:r w:rsidRPr="00EC1E01">
              <w:rPr>
                <w:rFonts w:asciiTheme="minorHAnsi" w:hAnsiTheme="minorHAnsi" w:cstheme="minorHAnsi"/>
                <w:szCs w:val="22"/>
              </w:rPr>
              <w:t xml:space="preserve"> Evaluation Reference Group meetings held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BF0D245" w14:textId="06FBB2FA" w:rsidR="003F64C5" w:rsidRPr="00EC1E01" w:rsidRDefault="00C55CD2">
            <w:pPr>
              <w:rPr>
                <w:rFonts w:asciiTheme="minorHAnsi" w:hAnsiTheme="minorHAnsi" w:cstheme="minorHAnsi"/>
                <w:szCs w:val="22"/>
              </w:rPr>
            </w:pPr>
            <w:r>
              <w:rPr>
                <w:rFonts w:asciiTheme="minorHAnsi" w:hAnsiTheme="minorHAnsi" w:cstheme="minorHAnsi"/>
                <w:szCs w:val="22"/>
              </w:rPr>
              <w:t>2</w:t>
            </w:r>
            <w:r w:rsidR="003F64C5" w:rsidRPr="00EC1E01">
              <w:rPr>
                <w:rFonts w:asciiTheme="minorHAnsi" w:hAnsiTheme="minorHAnsi" w:cstheme="minorHAnsi"/>
                <w:szCs w:val="22"/>
              </w:rPr>
              <w:t xml:space="preserve"> meetings held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0BF5930" w14:textId="6D888E05" w:rsidR="003F64C5" w:rsidRPr="00EC1E01" w:rsidRDefault="00C55CD2">
            <w:pPr>
              <w:rPr>
                <w:rFonts w:asciiTheme="minorHAnsi" w:hAnsiTheme="minorHAnsi" w:cstheme="minorHAnsi"/>
                <w:szCs w:val="22"/>
              </w:rPr>
            </w:pPr>
            <w:r>
              <w:rPr>
                <w:rFonts w:asciiTheme="minorHAnsi" w:hAnsiTheme="minorHAnsi" w:cstheme="minorHAnsi"/>
                <w:szCs w:val="22"/>
              </w:rPr>
              <w:t xml:space="preserve">4 </w:t>
            </w:r>
            <w:r w:rsidR="003F64C5" w:rsidRPr="00EC1E01">
              <w:rPr>
                <w:rFonts w:asciiTheme="minorHAnsi" w:hAnsiTheme="minorHAnsi" w:cstheme="minorHAnsi"/>
                <w:szCs w:val="22"/>
              </w:rPr>
              <w:t>meetings held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7CD6226" w14:textId="2ACE5B4F" w:rsidR="003F64C5" w:rsidRPr="00EC1E01" w:rsidRDefault="00C55CD2">
            <w:pPr>
              <w:rPr>
                <w:rFonts w:asciiTheme="minorHAnsi" w:hAnsiTheme="minorHAnsi" w:cstheme="minorHAnsi"/>
                <w:szCs w:val="22"/>
              </w:rPr>
            </w:pPr>
            <w:r>
              <w:rPr>
                <w:rFonts w:asciiTheme="minorHAnsi" w:hAnsiTheme="minorHAnsi" w:cstheme="minorHAnsi"/>
                <w:szCs w:val="22"/>
              </w:rPr>
              <w:t xml:space="preserve">4 </w:t>
            </w:r>
            <w:r w:rsidR="003F64C5" w:rsidRPr="00EC1E01">
              <w:rPr>
                <w:rFonts w:asciiTheme="minorHAnsi" w:hAnsiTheme="minorHAnsi" w:cstheme="minorHAnsi"/>
                <w:szCs w:val="22"/>
              </w:rPr>
              <w:t>meetings held</w:t>
            </w:r>
          </w:p>
        </w:tc>
        <w:tc>
          <w:tcPr>
            <w:tcW w:w="1476" w:type="dxa"/>
            <w:tcBorders>
              <w:top w:val="single" w:sz="4" w:space="0" w:color="auto"/>
              <w:left w:val="single" w:sz="4" w:space="0" w:color="auto"/>
              <w:bottom w:val="single" w:sz="4" w:space="0" w:color="auto"/>
              <w:right w:val="single" w:sz="4" w:space="0" w:color="auto"/>
            </w:tcBorders>
          </w:tcPr>
          <w:p w14:paraId="7D3B323A" w14:textId="69DB73C0" w:rsidR="003F64C5" w:rsidRPr="00EC1E01" w:rsidRDefault="00C55CD2">
            <w:pPr>
              <w:rPr>
                <w:rFonts w:asciiTheme="minorHAnsi" w:hAnsiTheme="minorHAnsi" w:cstheme="minorHAnsi"/>
                <w:szCs w:val="22"/>
              </w:rPr>
            </w:pPr>
            <w:r>
              <w:rPr>
                <w:rFonts w:asciiTheme="minorHAnsi" w:hAnsiTheme="minorHAnsi" w:cstheme="minorHAnsi"/>
                <w:szCs w:val="22"/>
              </w:rPr>
              <w:t>4</w:t>
            </w:r>
            <w:r w:rsidR="003F64C5" w:rsidRPr="00EC1E01">
              <w:rPr>
                <w:rFonts w:asciiTheme="minorHAnsi" w:hAnsiTheme="minorHAnsi" w:cstheme="minorHAnsi"/>
                <w:szCs w:val="22"/>
              </w:rPr>
              <w:t xml:space="preserve"> meetings held</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302E6E2"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ACE tracker</w:t>
            </w:r>
          </w:p>
        </w:tc>
      </w:tr>
      <w:tr w:rsidR="003F64C5" w:rsidRPr="00EC1E01" w14:paraId="2AF09E27" w14:textId="77777777" w:rsidTr="1997D3BC">
        <w:trPr>
          <w:trHeight w:val="510"/>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AD741A0" w14:textId="554268E4" w:rsidR="003F64C5" w:rsidRPr="00EC1E01" w:rsidRDefault="003F64C5">
            <w:pPr>
              <w:rPr>
                <w:rFonts w:asciiTheme="minorHAnsi" w:hAnsiTheme="minorHAnsi" w:cstheme="minorHAnsi"/>
                <w:szCs w:val="22"/>
              </w:rPr>
            </w:pPr>
            <w:r w:rsidRPr="00EC1E01">
              <w:rPr>
                <w:rFonts w:asciiTheme="minorHAnsi" w:hAnsiTheme="minorHAnsi" w:cstheme="minorHAnsi"/>
                <w:szCs w:val="22"/>
              </w:rPr>
              <w:t>1.2 Evaluation Community of Practice events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EFD972D" w14:textId="748812A7" w:rsidR="003F64C5" w:rsidRPr="00EC1E01" w:rsidRDefault="00C55CD2">
            <w:pPr>
              <w:rPr>
                <w:rFonts w:asciiTheme="minorHAnsi" w:hAnsiTheme="minorHAnsi" w:cstheme="minorHAnsi"/>
                <w:szCs w:val="22"/>
              </w:rPr>
            </w:pPr>
            <w:r>
              <w:rPr>
                <w:rFonts w:asciiTheme="minorHAnsi" w:hAnsiTheme="minorHAnsi" w:cstheme="minorHAnsi"/>
                <w:szCs w:val="22"/>
              </w:rPr>
              <w:t xml:space="preserve">15 </w:t>
            </w:r>
            <w:r w:rsidR="003F64C5" w:rsidRPr="00EC1E01">
              <w:rPr>
                <w:rFonts w:asciiTheme="minorHAnsi" w:hAnsiTheme="minorHAnsi" w:cstheme="minorHAnsi"/>
                <w:szCs w:val="22"/>
              </w:rPr>
              <w:t>events held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19D8F0F" w14:textId="269455AB" w:rsidR="003F64C5" w:rsidRPr="00EC1E01" w:rsidRDefault="00C55CD2">
            <w:pPr>
              <w:rPr>
                <w:rFonts w:asciiTheme="minorHAnsi" w:hAnsiTheme="minorHAnsi" w:cstheme="minorHAnsi"/>
                <w:szCs w:val="22"/>
              </w:rPr>
            </w:pPr>
            <w:r>
              <w:rPr>
                <w:rFonts w:asciiTheme="minorHAnsi" w:hAnsiTheme="minorHAnsi" w:cstheme="minorHAnsi"/>
                <w:szCs w:val="22"/>
              </w:rPr>
              <w:t>15</w:t>
            </w:r>
            <w:r w:rsidR="003F64C5" w:rsidRPr="00EC1E01">
              <w:rPr>
                <w:rFonts w:asciiTheme="minorHAnsi" w:hAnsiTheme="minorHAnsi" w:cstheme="minorHAnsi"/>
                <w:szCs w:val="22"/>
              </w:rPr>
              <w:t xml:space="preserve"> events held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4861A00" w14:textId="6F7A4586" w:rsidR="003F64C5" w:rsidRPr="00EC1E01" w:rsidRDefault="00C55CD2">
            <w:pPr>
              <w:rPr>
                <w:rFonts w:asciiTheme="minorHAnsi" w:hAnsiTheme="minorHAnsi" w:cstheme="minorHAnsi"/>
                <w:szCs w:val="22"/>
              </w:rPr>
            </w:pPr>
            <w:r>
              <w:rPr>
                <w:rFonts w:asciiTheme="minorHAnsi" w:hAnsiTheme="minorHAnsi" w:cstheme="minorHAnsi"/>
                <w:szCs w:val="22"/>
              </w:rPr>
              <w:t>15</w:t>
            </w:r>
            <w:r w:rsidR="003F64C5" w:rsidRPr="00EC1E01">
              <w:rPr>
                <w:rFonts w:asciiTheme="minorHAnsi" w:hAnsiTheme="minorHAnsi" w:cstheme="minorHAnsi"/>
                <w:szCs w:val="22"/>
              </w:rPr>
              <w:t xml:space="preserve"> events held</w:t>
            </w:r>
          </w:p>
        </w:tc>
        <w:tc>
          <w:tcPr>
            <w:tcW w:w="1476" w:type="dxa"/>
            <w:tcBorders>
              <w:top w:val="single" w:sz="4" w:space="0" w:color="auto"/>
              <w:left w:val="single" w:sz="4" w:space="0" w:color="auto"/>
              <w:bottom w:val="single" w:sz="4" w:space="0" w:color="auto"/>
              <w:right w:val="single" w:sz="4" w:space="0" w:color="auto"/>
            </w:tcBorders>
          </w:tcPr>
          <w:p w14:paraId="37A04CE4" w14:textId="1B21DB9C" w:rsidR="003F64C5" w:rsidRPr="00EC1E01" w:rsidRDefault="00C55CD2">
            <w:pPr>
              <w:rPr>
                <w:rFonts w:asciiTheme="minorHAnsi" w:hAnsiTheme="minorHAnsi" w:cstheme="minorHAnsi"/>
                <w:szCs w:val="22"/>
              </w:rPr>
            </w:pPr>
            <w:r>
              <w:rPr>
                <w:rFonts w:asciiTheme="minorHAnsi" w:hAnsiTheme="minorHAnsi" w:cstheme="minorHAnsi"/>
                <w:szCs w:val="22"/>
              </w:rPr>
              <w:t>15b</w:t>
            </w:r>
            <w:r w:rsidR="003F64C5" w:rsidRPr="00EC1E01">
              <w:rPr>
                <w:rFonts w:asciiTheme="minorHAnsi" w:hAnsiTheme="minorHAnsi" w:cstheme="minorHAnsi"/>
                <w:szCs w:val="22"/>
              </w:rPr>
              <w:t>events held</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BB286F8"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ACE tracker</w:t>
            </w:r>
          </w:p>
        </w:tc>
      </w:tr>
      <w:tr w:rsidR="003F64C5" w:rsidRPr="00EC1E01" w14:paraId="06DA5AE3" w14:textId="77777777" w:rsidTr="00C55CD2">
        <w:trPr>
          <w:trHeight w:val="649"/>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BF011A3" w14:textId="6DA1B3BF" w:rsidR="003F64C5" w:rsidRPr="00EC1E01" w:rsidRDefault="003F64C5">
            <w:pPr>
              <w:rPr>
                <w:rFonts w:asciiTheme="minorHAnsi" w:hAnsiTheme="minorHAnsi" w:cstheme="minorHAnsi"/>
                <w:szCs w:val="22"/>
              </w:rPr>
            </w:pPr>
            <w:r w:rsidRPr="00EC1E01">
              <w:rPr>
                <w:rFonts w:asciiTheme="minorHAnsi" w:hAnsiTheme="minorHAnsi" w:cstheme="minorHAnsi"/>
                <w:szCs w:val="22"/>
              </w:rPr>
              <w:t>1.3 Commonwealth Evaluation Units Forum</w:t>
            </w:r>
            <w:r w:rsidRPr="00EC1E01" w:rsidDel="00E45333">
              <w:rPr>
                <w:rFonts w:asciiTheme="minorHAnsi" w:hAnsiTheme="minorHAnsi" w:cstheme="minorHAnsi"/>
                <w:szCs w:val="22"/>
              </w:rPr>
              <w:t xml:space="preserve"> </w:t>
            </w:r>
            <w:r w:rsidRPr="00EC1E01">
              <w:rPr>
                <w:rFonts w:asciiTheme="minorHAnsi" w:hAnsiTheme="minorHAnsi" w:cstheme="minorHAnsi"/>
                <w:szCs w:val="22"/>
              </w:rPr>
              <w:t>held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vAlign w:val="center"/>
          </w:tcPr>
          <w:p w14:paraId="73E18163" w14:textId="6C3D4114" w:rsidR="003F64C5" w:rsidRPr="00EC1E01" w:rsidRDefault="00C55CD2">
            <w:pPr>
              <w:rPr>
                <w:rFonts w:asciiTheme="minorHAnsi" w:hAnsiTheme="minorHAnsi" w:cstheme="minorHAnsi"/>
                <w:szCs w:val="22"/>
              </w:rPr>
            </w:pPr>
            <w:r>
              <w:rPr>
                <w:rFonts w:asciiTheme="minorHAnsi" w:hAnsiTheme="minorHAnsi" w:cstheme="minorHAnsi"/>
                <w:szCs w:val="22"/>
              </w:rPr>
              <w:t>1</w:t>
            </w:r>
            <w:r w:rsidR="003F64C5" w:rsidRPr="00EC1E01">
              <w:rPr>
                <w:rFonts w:asciiTheme="minorHAnsi" w:hAnsiTheme="minorHAnsi" w:cstheme="minorHAnsi"/>
                <w:szCs w:val="22"/>
              </w:rPr>
              <w:t xml:space="preserve"> </w:t>
            </w:r>
            <w:r w:rsidR="0E17DFA9" w:rsidRPr="00EC1E01">
              <w:rPr>
                <w:rFonts w:asciiTheme="minorHAnsi" w:hAnsiTheme="minorHAnsi" w:cstheme="minorHAnsi"/>
                <w:szCs w:val="22"/>
              </w:rPr>
              <w:t xml:space="preserve">forum </w:t>
            </w:r>
            <w:r w:rsidR="003F64C5" w:rsidRPr="00EC1E01">
              <w:rPr>
                <w:rFonts w:asciiTheme="minorHAnsi" w:hAnsiTheme="minorHAnsi" w:cstheme="minorHAnsi"/>
                <w:szCs w:val="22"/>
              </w:rPr>
              <w:t xml:space="preserve">held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D2DB7D0" w14:textId="3FF581B7" w:rsidR="003F64C5" w:rsidRPr="00EC1E01" w:rsidRDefault="00C55CD2">
            <w:pPr>
              <w:rPr>
                <w:rFonts w:asciiTheme="minorHAnsi" w:hAnsiTheme="minorHAnsi" w:cstheme="minorHAnsi"/>
                <w:szCs w:val="22"/>
              </w:rPr>
            </w:pPr>
            <w:r>
              <w:rPr>
                <w:rFonts w:asciiTheme="minorHAnsi" w:hAnsiTheme="minorHAnsi" w:cstheme="minorHAnsi"/>
                <w:szCs w:val="22"/>
              </w:rPr>
              <w:t xml:space="preserve">1 </w:t>
            </w:r>
            <w:r w:rsidR="6BE826F0" w:rsidRPr="00EC1E01">
              <w:rPr>
                <w:rFonts w:asciiTheme="minorHAnsi" w:hAnsiTheme="minorHAnsi" w:cstheme="minorHAnsi"/>
                <w:szCs w:val="22"/>
              </w:rPr>
              <w:t xml:space="preserve">forum </w:t>
            </w:r>
            <w:r w:rsidR="003F64C5" w:rsidRPr="00EC1E01">
              <w:rPr>
                <w:rFonts w:asciiTheme="minorHAnsi" w:hAnsiTheme="minorHAnsi" w:cstheme="minorHAnsi"/>
                <w:szCs w:val="22"/>
              </w:rPr>
              <w:t xml:space="preserve">held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DF18259" w14:textId="21D2314E" w:rsidR="003F64C5" w:rsidRPr="00EC1E01" w:rsidRDefault="00C55CD2">
            <w:pPr>
              <w:rPr>
                <w:rFonts w:asciiTheme="minorHAnsi" w:hAnsiTheme="minorHAnsi" w:cstheme="minorHAnsi"/>
                <w:szCs w:val="22"/>
              </w:rPr>
            </w:pPr>
            <w:r>
              <w:rPr>
                <w:rFonts w:asciiTheme="minorHAnsi" w:hAnsiTheme="minorHAnsi" w:cstheme="minorHAnsi"/>
                <w:szCs w:val="22"/>
              </w:rPr>
              <w:t xml:space="preserve">1 </w:t>
            </w:r>
            <w:r w:rsidR="5852E5F4" w:rsidRPr="00EC1E01">
              <w:rPr>
                <w:rFonts w:asciiTheme="minorHAnsi" w:hAnsiTheme="minorHAnsi" w:cstheme="minorHAnsi"/>
                <w:szCs w:val="22"/>
              </w:rPr>
              <w:t xml:space="preserve">forum </w:t>
            </w:r>
            <w:r w:rsidR="003F64C5" w:rsidRPr="00EC1E01">
              <w:rPr>
                <w:rFonts w:asciiTheme="minorHAnsi" w:hAnsiTheme="minorHAnsi" w:cstheme="minorHAnsi"/>
                <w:szCs w:val="22"/>
              </w:rPr>
              <w:t xml:space="preserve">held </w:t>
            </w:r>
          </w:p>
        </w:tc>
        <w:tc>
          <w:tcPr>
            <w:tcW w:w="1476" w:type="dxa"/>
            <w:tcBorders>
              <w:top w:val="single" w:sz="4" w:space="0" w:color="auto"/>
              <w:left w:val="single" w:sz="4" w:space="0" w:color="auto"/>
              <w:bottom w:val="single" w:sz="4" w:space="0" w:color="auto"/>
              <w:right w:val="single" w:sz="4" w:space="0" w:color="auto"/>
            </w:tcBorders>
          </w:tcPr>
          <w:p w14:paraId="45227DBA" w14:textId="65CC09D0" w:rsidR="003F64C5" w:rsidRPr="00EC1E01" w:rsidRDefault="00C55CD2">
            <w:pPr>
              <w:rPr>
                <w:rFonts w:asciiTheme="minorHAnsi" w:hAnsiTheme="minorHAnsi" w:cstheme="minorHAnsi"/>
                <w:szCs w:val="22"/>
              </w:rPr>
            </w:pPr>
            <w:r>
              <w:rPr>
                <w:rFonts w:asciiTheme="minorHAnsi" w:hAnsiTheme="minorHAnsi" w:cstheme="minorHAnsi"/>
                <w:szCs w:val="22"/>
              </w:rPr>
              <w:t>1</w:t>
            </w:r>
            <w:r w:rsidR="003F64C5" w:rsidRPr="00EC1E01">
              <w:rPr>
                <w:rFonts w:asciiTheme="minorHAnsi" w:hAnsiTheme="minorHAnsi" w:cstheme="minorHAnsi"/>
                <w:szCs w:val="22"/>
              </w:rPr>
              <w:t xml:space="preserve"> </w:t>
            </w:r>
            <w:r w:rsidR="231ADC8F" w:rsidRPr="00EC1E01">
              <w:rPr>
                <w:rFonts w:asciiTheme="minorHAnsi" w:hAnsiTheme="minorHAnsi" w:cstheme="minorHAnsi"/>
                <w:szCs w:val="22"/>
              </w:rPr>
              <w:t xml:space="preserve">forum </w:t>
            </w:r>
            <w:r w:rsidR="003F64C5" w:rsidRPr="00EC1E01">
              <w:rPr>
                <w:rFonts w:asciiTheme="minorHAnsi" w:hAnsiTheme="minorHAnsi" w:cstheme="minorHAnsi"/>
                <w:szCs w:val="22"/>
              </w:rPr>
              <w:t>held</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73E29E7"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ACE tracker</w:t>
            </w:r>
          </w:p>
        </w:tc>
      </w:tr>
      <w:tr w:rsidR="003F64C5" w:rsidRPr="00EC1E01" w14:paraId="5F75F27D" w14:textId="77777777" w:rsidTr="1997D3BC">
        <w:trPr>
          <w:trHeight w:val="230"/>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01DD7363" w14:textId="04E9C7FF" w:rsidR="003F64C5" w:rsidRPr="00EC1E01" w:rsidRDefault="003F64C5">
            <w:pPr>
              <w:rPr>
                <w:rFonts w:asciiTheme="minorHAnsi" w:hAnsiTheme="minorHAnsi" w:cstheme="minorHAnsi"/>
                <w:szCs w:val="22"/>
              </w:rPr>
            </w:pPr>
            <w:r w:rsidRPr="00EC1E01">
              <w:rPr>
                <w:rFonts w:asciiTheme="minorHAnsi" w:hAnsiTheme="minorHAnsi" w:cstheme="minorHAnsi"/>
                <w:szCs w:val="22"/>
              </w:rPr>
              <w:t>1.4 Impact Evaluation Practitioners Network meetings held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7A043EE" w14:textId="1876085E" w:rsidR="003F64C5" w:rsidRPr="00EC1E01" w:rsidRDefault="0171727B">
            <w:pPr>
              <w:rPr>
                <w:rFonts w:asciiTheme="minorHAnsi" w:hAnsiTheme="minorHAnsi" w:cstheme="minorHAnsi"/>
                <w:szCs w:val="22"/>
              </w:rPr>
            </w:pPr>
            <w:r w:rsidRPr="00EC1E01">
              <w:rPr>
                <w:rFonts w:asciiTheme="minorHAnsi" w:hAnsiTheme="minorHAnsi" w:cstheme="minorHAnsi"/>
                <w:szCs w:val="22"/>
              </w:rPr>
              <w:t xml:space="preserve">Network </w:t>
            </w:r>
            <w:r w:rsidR="003F64C5" w:rsidRPr="00EC1E01">
              <w:rPr>
                <w:rFonts w:asciiTheme="minorHAnsi" w:hAnsiTheme="minorHAnsi" w:cstheme="minorHAnsi"/>
                <w:szCs w:val="22"/>
              </w:rPr>
              <w:t xml:space="preserve">established with at least </w:t>
            </w:r>
            <w:r w:rsidR="00403057" w:rsidRPr="00EC1E01">
              <w:rPr>
                <w:rFonts w:asciiTheme="minorHAnsi" w:hAnsiTheme="minorHAnsi" w:cstheme="minorHAnsi"/>
                <w:szCs w:val="22"/>
              </w:rPr>
              <w:t>40</w:t>
            </w:r>
            <w:r w:rsidR="003F64C5" w:rsidRPr="00EC1E01">
              <w:rPr>
                <w:rFonts w:asciiTheme="minorHAnsi" w:hAnsiTheme="minorHAnsi" w:cstheme="minorHAnsi"/>
                <w:szCs w:val="22"/>
              </w:rPr>
              <w:t xml:space="preserve"> members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vAlign w:val="center"/>
          </w:tcPr>
          <w:p w14:paraId="000C22BF" w14:textId="613182C3"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Membership grows by </w:t>
            </w:r>
            <w:r w:rsidR="00F1233B" w:rsidRPr="00EC1E01">
              <w:rPr>
                <w:rFonts w:asciiTheme="minorHAnsi" w:hAnsiTheme="minorHAnsi" w:cstheme="minorHAnsi"/>
                <w:szCs w:val="22"/>
              </w:rPr>
              <w:t>20</w:t>
            </w:r>
            <w:r w:rsidRPr="00EC1E01">
              <w:rPr>
                <w:rFonts w:asciiTheme="minorHAnsi" w:hAnsiTheme="minorHAnsi" w:cstheme="minorHAnsi"/>
                <w:szCs w:val="22"/>
              </w:rPr>
              <w:t>%</w:t>
            </w:r>
          </w:p>
          <w:p w14:paraId="5C0572A5" w14:textId="44355B24" w:rsidR="00E11BE1" w:rsidRPr="00EC1E01" w:rsidRDefault="00E11BE1">
            <w:pPr>
              <w:rPr>
                <w:rFonts w:asciiTheme="minorHAnsi" w:hAnsiTheme="minorHAnsi" w:cstheme="minorHAnsi"/>
                <w:szCs w:val="22"/>
              </w:rPr>
            </w:pPr>
            <w:r w:rsidRPr="00EC1E01">
              <w:rPr>
                <w:rFonts w:asciiTheme="minorHAnsi" w:hAnsiTheme="minorHAnsi" w:cstheme="minorHAnsi"/>
                <w:szCs w:val="22"/>
              </w:rPr>
              <w:t>Network members take ownership of network through hosting events and</w:t>
            </w:r>
            <w:r w:rsidR="00CA5117" w:rsidRPr="00EC1E01">
              <w:rPr>
                <w:rFonts w:asciiTheme="minorHAnsi" w:hAnsiTheme="minorHAnsi" w:cstheme="minorHAnsi"/>
                <w:szCs w:val="22"/>
              </w:rPr>
              <w:t xml:space="preserve"> involvement in secretariat</w:t>
            </w:r>
            <w:r w:rsidRPr="00EC1E01">
              <w:rPr>
                <w:rFonts w:asciiTheme="minorHAnsi" w:hAnsiTheme="minorHAnsi" w:cstheme="minorHAnsi"/>
                <w:szCs w:val="22"/>
              </w:rPr>
              <w:t xml:space="preserve"> </w:t>
            </w:r>
          </w:p>
          <w:p w14:paraId="4A5AC652" w14:textId="716C1F9B" w:rsidR="00746F3A" w:rsidRPr="00EC1E01" w:rsidRDefault="007347EF">
            <w:pPr>
              <w:rPr>
                <w:rFonts w:asciiTheme="minorHAnsi" w:hAnsiTheme="minorHAnsi" w:cstheme="minorHAnsi"/>
                <w:szCs w:val="22"/>
              </w:rPr>
            </w:pPr>
            <w:r w:rsidRPr="00EC1E01">
              <w:rPr>
                <w:rFonts w:asciiTheme="minorHAnsi" w:hAnsiTheme="minorHAnsi" w:cstheme="minorHAnsi"/>
                <w:szCs w:val="22"/>
              </w:rPr>
              <w:t>Good engagement at n</w:t>
            </w:r>
            <w:r w:rsidR="00746F3A" w:rsidRPr="00EC1E01">
              <w:rPr>
                <w:rFonts w:asciiTheme="minorHAnsi" w:hAnsiTheme="minorHAnsi" w:cstheme="minorHAnsi"/>
                <w:szCs w:val="22"/>
              </w:rPr>
              <w:t>etwork</w:t>
            </w:r>
            <w:r w:rsidRPr="00EC1E01">
              <w:rPr>
                <w:rFonts w:asciiTheme="minorHAnsi" w:hAnsiTheme="minorHAnsi" w:cstheme="minorHAnsi"/>
                <w:szCs w:val="22"/>
              </w:rPr>
              <w:t xml:space="preserve"> events (</w:t>
            </w:r>
            <w:r w:rsidR="00F305BA" w:rsidRPr="00EC1E01">
              <w:rPr>
                <w:rFonts w:asciiTheme="minorHAnsi" w:hAnsiTheme="minorHAnsi" w:cstheme="minorHAnsi"/>
                <w:szCs w:val="22"/>
              </w:rPr>
              <w:t>at least 50% of members attend online sessions)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vAlign w:val="center"/>
          </w:tcPr>
          <w:p w14:paraId="2134ABEE" w14:textId="30E08C4F"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Membership </w:t>
            </w:r>
            <w:r w:rsidR="00CA5117" w:rsidRPr="00EC1E01">
              <w:rPr>
                <w:rFonts w:asciiTheme="minorHAnsi" w:hAnsiTheme="minorHAnsi" w:cstheme="minorHAnsi"/>
                <w:szCs w:val="22"/>
              </w:rPr>
              <w:t xml:space="preserve">numbers are sustained or </w:t>
            </w:r>
            <w:r w:rsidRPr="00EC1E01">
              <w:rPr>
                <w:rFonts w:asciiTheme="minorHAnsi" w:hAnsiTheme="minorHAnsi" w:cstheme="minorHAnsi"/>
                <w:szCs w:val="22"/>
              </w:rPr>
              <w:t>grow</w:t>
            </w:r>
          </w:p>
          <w:p w14:paraId="177725DD" w14:textId="7B205D5E" w:rsidR="00CA5117" w:rsidRPr="00EC1E01" w:rsidRDefault="003B037C">
            <w:pPr>
              <w:rPr>
                <w:rFonts w:asciiTheme="minorHAnsi" w:hAnsiTheme="minorHAnsi" w:cstheme="minorHAnsi"/>
                <w:szCs w:val="22"/>
              </w:rPr>
            </w:pPr>
            <w:r w:rsidRPr="00EC1E01">
              <w:rPr>
                <w:rFonts w:asciiTheme="minorHAnsi" w:hAnsiTheme="minorHAnsi" w:cstheme="minorHAnsi"/>
                <w:szCs w:val="22"/>
              </w:rPr>
              <w:t>Network continues to have an active secretariat</w:t>
            </w:r>
            <w:r w:rsidR="00DF7554" w:rsidRPr="00EC1E01">
              <w:rPr>
                <w:rFonts w:asciiTheme="minorHAnsi" w:hAnsiTheme="minorHAnsi" w:cstheme="minorHAnsi"/>
                <w:szCs w:val="22"/>
              </w:rPr>
              <w:t xml:space="preserve">, </w:t>
            </w:r>
            <w:r w:rsidRPr="00EC1E01">
              <w:rPr>
                <w:rFonts w:asciiTheme="minorHAnsi" w:hAnsiTheme="minorHAnsi" w:cstheme="minorHAnsi"/>
                <w:szCs w:val="22"/>
              </w:rPr>
              <w:t>hold regular events</w:t>
            </w:r>
            <w:r w:rsidR="00DF7554" w:rsidRPr="00EC1E01">
              <w:rPr>
                <w:rFonts w:asciiTheme="minorHAnsi" w:hAnsiTheme="minorHAnsi" w:cstheme="minorHAnsi"/>
                <w:szCs w:val="22"/>
              </w:rPr>
              <w:t xml:space="preserve"> and </w:t>
            </w:r>
            <w:r w:rsidR="00C06AF1" w:rsidRPr="00EC1E01">
              <w:rPr>
                <w:rFonts w:asciiTheme="minorHAnsi" w:hAnsiTheme="minorHAnsi" w:cstheme="minorHAnsi"/>
                <w:szCs w:val="22"/>
              </w:rPr>
              <w:t>good engagement with events</w:t>
            </w:r>
          </w:p>
        </w:tc>
        <w:tc>
          <w:tcPr>
            <w:tcW w:w="1476" w:type="dxa"/>
            <w:tcBorders>
              <w:top w:val="single" w:sz="4" w:space="0" w:color="auto"/>
              <w:left w:val="single" w:sz="4" w:space="0" w:color="auto"/>
              <w:bottom w:val="single" w:sz="4" w:space="0" w:color="auto"/>
              <w:right w:val="single" w:sz="4" w:space="0" w:color="auto"/>
            </w:tcBorders>
            <w:vAlign w:val="center"/>
          </w:tcPr>
          <w:p w14:paraId="0DB8391A" w14:textId="4C5B7EA5"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Membership </w:t>
            </w:r>
            <w:r w:rsidR="00CA5117" w:rsidRPr="00EC1E01">
              <w:rPr>
                <w:rFonts w:asciiTheme="minorHAnsi" w:hAnsiTheme="minorHAnsi" w:cstheme="minorHAnsi"/>
                <w:szCs w:val="22"/>
              </w:rPr>
              <w:t xml:space="preserve">numbers are sustained or </w:t>
            </w:r>
            <w:r w:rsidRPr="00EC1E01">
              <w:rPr>
                <w:rFonts w:asciiTheme="minorHAnsi" w:hAnsiTheme="minorHAnsi" w:cstheme="minorHAnsi"/>
                <w:szCs w:val="22"/>
              </w:rPr>
              <w:t>grow</w:t>
            </w:r>
          </w:p>
          <w:p w14:paraId="50F43C3E" w14:textId="63245444" w:rsidR="003B037C" w:rsidRPr="00EC1E01" w:rsidRDefault="003B037C">
            <w:pPr>
              <w:rPr>
                <w:rFonts w:asciiTheme="minorHAnsi" w:hAnsiTheme="minorHAnsi" w:cstheme="minorHAnsi"/>
                <w:szCs w:val="22"/>
              </w:rPr>
            </w:pPr>
            <w:r w:rsidRPr="00EC1E01">
              <w:rPr>
                <w:rFonts w:asciiTheme="minorHAnsi" w:hAnsiTheme="minorHAnsi" w:cstheme="minorHAnsi"/>
                <w:szCs w:val="22"/>
              </w:rPr>
              <w:t>Network continues to have an active secretariat and hold regular events</w:t>
            </w:r>
            <w:r w:rsidR="00C06AF1" w:rsidRPr="00EC1E01">
              <w:rPr>
                <w:rFonts w:asciiTheme="minorHAnsi" w:hAnsiTheme="minorHAnsi" w:cstheme="minorHAnsi"/>
                <w:szCs w:val="22"/>
              </w:rPr>
              <w:t xml:space="preserve"> and good engagement with events</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4B7EFC3"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ACE tracker</w:t>
            </w:r>
          </w:p>
        </w:tc>
      </w:tr>
      <w:tr w:rsidR="003F64C5" w:rsidRPr="00EC1E01" w14:paraId="2924E682" w14:textId="77777777" w:rsidTr="1997D3BC">
        <w:trPr>
          <w:trHeight w:val="230"/>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AE49FC5" w14:textId="5F9B3A71" w:rsidR="003F64C5" w:rsidRPr="00EC1E01" w:rsidRDefault="003F64C5">
            <w:pPr>
              <w:rPr>
                <w:rFonts w:asciiTheme="minorHAnsi" w:hAnsiTheme="minorHAnsi" w:cstheme="minorHAnsi"/>
                <w:szCs w:val="22"/>
              </w:rPr>
            </w:pPr>
            <w:r w:rsidRPr="00EC1E01">
              <w:rPr>
                <w:rFonts w:asciiTheme="minorHAnsi" w:hAnsiTheme="minorHAnsi" w:cstheme="minorHAnsi"/>
                <w:szCs w:val="22"/>
              </w:rPr>
              <w:t>1.5 Conferences and events (e.g</w:t>
            </w:r>
            <w:r w:rsidR="000331D6" w:rsidRPr="00EC1E01">
              <w:rPr>
                <w:rFonts w:asciiTheme="minorHAnsi" w:hAnsiTheme="minorHAnsi" w:cstheme="minorHAnsi"/>
                <w:szCs w:val="22"/>
              </w:rPr>
              <w:t>.,</w:t>
            </w:r>
            <w:r w:rsidRPr="00EC1E01">
              <w:rPr>
                <w:rFonts w:asciiTheme="minorHAnsi" w:hAnsiTheme="minorHAnsi" w:cstheme="minorHAnsi"/>
                <w:szCs w:val="22"/>
              </w:rPr>
              <w:t xml:space="preserve"> Impact Evaluation Showcase, seminars) held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DDD3B6F"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Impact Evaluation Showcase held</w:t>
            </w:r>
          </w:p>
          <w:p w14:paraId="3FD213CB" w14:textId="45090BC9" w:rsidR="00F5304E" w:rsidRPr="00EC1E01" w:rsidRDefault="00F5304E">
            <w:pPr>
              <w:rPr>
                <w:rFonts w:asciiTheme="minorHAnsi" w:hAnsiTheme="minorHAnsi" w:cstheme="minorHAnsi"/>
                <w:szCs w:val="22"/>
              </w:rPr>
            </w:pPr>
            <w:r w:rsidRPr="00EC1E01">
              <w:rPr>
                <w:rFonts w:asciiTheme="minorHAnsi" w:hAnsiTheme="minorHAnsi" w:cstheme="minorHAnsi"/>
                <w:szCs w:val="22"/>
              </w:rPr>
              <w:t xml:space="preserve">Substantive contribution to </w:t>
            </w:r>
            <w:r w:rsidR="00480581" w:rsidRPr="00EC1E01">
              <w:rPr>
                <w:rFonts w:asciiTheme="minorHAnsi" w:hAnsiTheme="minorHAnsi" w:cstheme="minorHAnsi"/>
                <w:szCs w:val="22"/>
              </w:rPr>
              <w:t>at least 3 evaluation conferences or events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vAlign w:val="center"/>
          </w:tcPr>
          <w:p w14:paraId="794E3AAB" w14:textId="43D10539" w:rsidR="00480581" w:rsidRPr="00EC1E01" w:rsidRDefault="00480581" w:rsidP="1997D3BC">
            <w:pPr>
              <w:rPr>
                <w:rFonts w:asciiTheme="minorHAnsi" w:hAnsiTheme="minorHAnsi" w:cstheme="minorHAnsi"/>
                <w:szCs w:val="22"/>
              </w:rPr>
            </w:pPr>
            <w:r w:rsidRPr="00EC1E01">
              <w:rPr>
                <w:rFonts w:asciiTheme="minorHAnsi" w:hAnsiTheme="minorHAnsi" w:cstheme="minorHAnsi"/>
                <w:szCs w:val="22"/>
              </w:rPr>
              <w:t xml:space="preserve">Substantive contribution to at least </w:t>
            </w:r>
            <w:r w:rsidR="001010FE" w:rsidRPr="00EC1E01">
              <w:rPr>
                <w:rFonts w:asciiTheme="minorHAnsi" w:hAnsiTheme="minorHAnsi" w:cstheme="minorHAnsi"/>
                <w:szCs w:val="22"/>
              </w:rPr>
              <w:t>2</w:t>
            </w:r>
            <w:r w:rsidRPr="00EC1E01">
              <w:rPr>
                <w:rFonts w:asciiTheme="minorHAnsi" w:hAnsiTheme="minorHAnsi" w:cstheme="minorHAnsi"/>
                <w:szCs w:val="22"/>
              </w:rPr>
              <w:t xml:space="preserve"> evaluation conferences or events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vAlign w:val="center"/>
          </w:tcPr>
          <w:p w14:paraId="4DE2B3B1" w14:textId="77777777" w:rsidR="00EA638D" w:rsidRPr="00EC1E01" w:rsidRDefault="003F64C5">
            <w:pPr>
              <w:rPr>
                <w:rFonts w:asciiTheme="minorHAnsi" w:hAnsiTheme="minorHAnsi" w:cstheme="minorHAnsi"/>
                <w:szCs w:val="22"/>
              </w:rPr>
            </w:pPr>
            <w:r w:rsidRPr="00EC1E01">
              <w:rPr>
                <w:rFonts w:asciiTheme="minorHAnsi" w:hAnsiTheme="minorHAnsi" w:cstheme="minorHAnsi"/>
                <w:szCs w:val="22"/>
              </w:rPr>
              <w:t>Conference/</w:t>
            </w:r>
          </w:p>
          <w:p w14:paraId="2B63A851"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Showcase held</w:t>
            </w:r>
          </w:p>
          <w:p w14:paraId="492DAFDA" w14:textId="7455FDA9" w:rsidR="00480581" w:rsidRPr="00EC1E01" w:rsidRDefault="00480581">
            <w:pPr>
              <w:rPr>
                <w:rFonts w:asciiTheme="minorHAnsi" w:hAnsiTheme="minorHAnsi" w:cstheme="minorHAnsi"/>
                <w:szCs w:val="22"/>
              </w:rPr>
            </w:pPr>
            <w:r w:rsidRPr="00EC1E01">
              <w:rPr>
                <w:rFonts w:asciiTheme="minorHAnsi" w:hAnsiTheme="minorHAnsi" w:cstheme="minorHAnsi"/>
                <w:szCs w:val="22"/>
              </w:rPr>
              <w:t xml:space="preserve">Substantive contribution to at least </w:t>
            </w:r>
            <w:r w:rsidR="001010FE" w:rsidRPr="00EC1E01">
              <w:rPr>
                <w:rFonts w:asciiTheme="minorHAnsi" w:hAnsiTheme="minorHAnsi" w:cstheme="minorHAnsi"/>
                <w:szCs w:val="22"/>
              </w:rPr>
              <w:t>2</w:t>
            </w:r>
            <w:r w:rsidRPr="00EC1E01">
              <w:rPr>
                <w:rFonts w:asciiTheme="minorHAnsi" w:hAnsiTheme="minorHAnsi" w:cstheme="minorHAnsi"/>
                <w:szCs w:val="22"/>
              </w:rPr>
              <w:t xml:space="preserve"> evaluation conferences or events</w:t>
            </w:r>
          </w:p>
        </w:tc>
        <w:tc>
          <w:tcPr>
            <w:tcW w:w="1476" w:type="dxa"/>
            <w:tcBorders>
              <w:top w:val="single" w:sz="4" w:space="0" w:color="auto"/>
              <w:left w:val="single" w:sz="4" w:space="0" w:color="auto"/>
              <w:bottom w:val="single" w:sz="4" w:space="0" w:color="auto"/>
              <w:right w:val="single" w:sz="4" w:space="0" w:color="auto"/>
            </w:tcBorders>
          </w:tcPr>
          <w:p w14:paraId="2A7F4471" w14:textId="09D3E8FF" w:rsidR="003F64C5" w:rsidRPr="00EC1E01" w:rsidRDefault="003F64C5" w:rsidP="1997D3BC">
            <w:pPr>
              <w:rPr>
                <w:rFonts w:asciiTheme="minorHAnsi" w:hAnsiTheme="minorHAnsi" w:cstheme="minorHAnsi"/>
                <w:szCs w:val="22"/>
              </w:rPr>
            </w:pPr>
          </w:p>
          <w:p w14:paraId="7B3BF063" w14:textId="215CD923" w:rsidR="00480581" w:rsidRPr="00EC1E01" w:rsidRDefault="00480581">
            <w:pPr>
              <w:rPr>
                <w:rFonts w:asciiTheme="minorHAnsi" w:hAnsiTheme="minorHAnsi" w:cstheme="minorHAnsi"/>
                <w:szCs w:val="22"/>
              </w:rPr>
            </w:pPr>
            <w:r w:rsidRPr="00EC1E01">
              <w:rPr>
                <w:rFonts w:asciiTheme="minorHAnsi" w:hAnsiTheme="minorHAnsi" w:cstheme="minorHAnsi"/>
                <w:szCs w:val="22"/>
              </w:rPr>
              <w:t xml:space="preserve">Substantive contribution to at least </w:t>
            </w:r>
            <w:r w:rsidR="001010FE" w:rsidRPr="00EC1E01">
              <w:rPr>
                <w:rFonts w:asciiTheme="minorHAnsi" w:hAnsiTheme="minorHAnsi" w:cstheme="minorHAnsi"/>
                <w:szCs w:val="22"/>
              </w:rPr>
              <w:t>2</w:t>
            </w:r>
            <w:r w:rsidRPr="00EC1E01">
              <w:rPr>
                <w:rFonts w:asciiTheme="minorHAnsi" w:hAnsiTheme="minorHAnsi" w:cstheme="minorHAnsi"/>
                <w:szCs w:val="22"/>
              </w:rPr>
              <w:t xml:space="preserve"> evaluation conferences or events</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5820C76"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ACE tracker</w:t>
            </w:r>
          </w:p>
        </w:tc>
      </w:tr>
      <w:tr w:rsidR="003F64C5" w:rsidRPr="00EC1E01" w14:paraId="7D830168" w14:textId="77777777" w:rsidTr="1997D3BC">
        <w:trPr>
          <w:trHeight w:val="758"/>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07ABC253" w14:textId="77EF8944" w:rsidR="003F64C5" w:rsidRPr="00EC1E01" w:rsidRDefault="003F64C5">
            <w:pPr>
              <w:rPr>
                <w:rFonts w:asciiTheme="minorHAnsi" w:hAnsiTheme="minorHAnsi" w:cstheme="minorHAnsi"/>
                <w:szCs w:val="22"/>
              </w:rPr>
            </w:pPr>
            <w:r w:rsidRPr="00EC1E01">
              <w:rPr>
                <w:rFonts w:asciiTheme="minorHAnsi" w:hAnsiTheme="minorHAnsi" w:cstheme="minorHAnsi"/>
                <w:szCs w:val="22"/>
              </w:rPr>
              <w:t>1.6 Commonwealth Evaluation Survey</w:t>
            </w:r>
            <w:r w:rsidRPr="00EC1E01" w:rsidDel="000C184F">
              <w:rPr>
                <w:rFonts w:asciiTheme="minorHAnsi" w:hAnsiTheme="minorHAnsi" w:cstheme="minorHAnsi"/>
                <w:szCs w:val="22"/>
              </w:rPr>
              <w:t xml:space="preserve"> </w:t>
            </w:r>
            <w:r w:rsidRPr="00EC1E01">
              <w:rPr>
                <w:rFonts w:asciiTheme="minorHAnsi" w:hAnsiTheme="minorHAnsi" w:cstheme="minorHAnsi"/>
                <w:szCs w:val="22"/>
              </w:rPr>
              <w:t xml:space="preserve">conducted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34AAD5C" w14:textId="3B71DE01"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Survey designed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2E9A000" w14:textId="1A5EA036"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Survey conducted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7AC0A53" w14:textId="3BF7EC4C"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 </w:t>
            </w:r>
            <w:r w:rsidR="00125E4D" w:rsidRPr="00EC1E01">
              <w:rPr>
                <w:rFonts w:asciiTheme="minorHAnsi" w:hAnsiTheme="minorHAnsi" w:cstheme="minorHAnsi"/>
                <w:szCs w:val="22"/>
              </w:rPr>
              <w:t>N/A</w:t>
            </w:r>
          </w:p>
        </w:tc>
        <w:tc>
          <w:tcPr>
            <w:tcW w:w="1476" w:type="dxa"/>
            <w:tcBorders>
              <w:top w:val="single" w:sz="4" w:space="0" w:color="auto"/>
              <w:left w:val="single" w:sz="4" w:space="0" w:color="auto"/>
              <w:bottom w:val="single" w:sz="4" w:space="0" w:color="auto"/>
              <w:right w:val="single" w:sz="4" w:space="0" w:color="auto"/>
            </w:tcBorders>
          </w:tcPr>
          <w:p w14:paraId="3E14E253" w14:textId="79A45872" w:rsidR="003F64C5" w:rsidRPr="00EC1E01" w:rsidRDefault="003F64C5">
            <w:pPr>
              <w:rPr>
                <w:rFonts w:asciiTheme="minorHAnsi" w:hAnsiTheme="minorHAnsi" w:cstheme="minorHAnsi"/>
                <w:szCs w:val="22"/>
              </w:rPr>
            </w:pPr>
            <w:r w:rsidRPr="00EC1E01">
              <w:rPr>
                <w:rFonts w:asciiTheme="minorHAnsi" w:hAnsiTheme="minorHAnsi" w:cstheme="minorHAnsi"/>
                <w:szCs w:val="22"/>
              </w:rPr>
              <w:t>Survey conducted</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23B71A1"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Survey</w:t>
            </w:r>
          </w:p>
        </w:tc>
      </w:tr>
      <w:tr w:rsidR="003F64C5" w:rsidRPr="00EC1E01" w14:paraId="51829947" w14:textId="77777777" w:rsidTr="1997D3BC">
        <w:trPr>
          <w:trHeight w:val="429"/>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5D9DD68" w14:textId="30E20A65"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1.7 State of Evaluation </w:t>
            </w:r>
            <w:r w:rsidRPr="00EC1E01" w:rsidDel="000C184F">
              <w:rPr>
                <w:rFonts w:asciiTheme="minorHAnsi" w:hAnsiTheme="minorHAnsi" w:cstheme="minorHAnsi"/>
                <w:szCs w:val="22"/>
              </w:rPr>
              <w:t>r</w:t>
            </w:r>
            <w:r w:rsidRPr="00EC1E01">
              <w:rPr>
                <w:rFonts w:asciiTheme="minorHAnsi" w:hAnsiTheme="minorHAnsi" w:cstheme="minorHAnsi"/>
                <w:szCs w:val="22"/>
              </w:rPr>
              <w:t>eport produced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20FA48A" w14:textId="4A94BAAA" w:rsidR="003F64C5" w:rsidRPr="00EC1E01" w:rsidRDefault="00ED7A45">
            <w:pPr>
              <w:rPr>
                <w:rFonts w:asciiTheme="minorHAnsi" w:hAnsiTheme="minorHAnsi" w:cstheme="minorHAnsi"/>
                <w:szCs w:val="22"/>
              </w:rPr>
            </w:pPr>
            <w:r w:rsidRPr="00EC1E01">
              <w:rPr>
                <w:rFonts w:asciiTheme="minorHAnsi" w:hAnsiTheme="minorHAnsi" w:cstheme="minorHAnsi"/>
                <w:szCs w:val="22"/>
              </w:rPr>
              <w:t xml:space="preserve">Develop approach for </w:t>
            </w:r>
            <w:r w:rsidR="003F64C5" w:rsidRPr="00EC1E01">
              <w:rPr>
                <w:rFonts w:asciiTheme="minorHAnsi" w:hAnsiTheme="minorHAnsi" w:cstheme="minorHAnsi"/>
                <w:szCs w:val="22"/>
              </w:rPr>
              <w:t xml:space="preserve">report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D282018" w14:textId="546D1AA1" w:rsidR="003F64C5" w:rsidRPr="00EC1E01" w:rsidRDefault="000A5CA2">
            <w:pPr>
              <w:rPr>
                <w:rFonts w:asciiTheme="minorHAnsi" w:hAnsiTheme="minorHAnsi" w:cstheme="minorHAnsi"/>
                <w:szCs w:val="22"/>
              </w:rPr>
            </w:pPr>
            <w:r w:rsidRPr="00EC1E01">
              <w:rPr>
                <w:rFonts w:asciiTheme="minorHAnsi" w:hAnsiTheme="minorHAnsi" w:cstheme="minorHAnsi"/>
                <w:szCs w:val="22"/>
              </w:rPr>
              <w:t>R</w:t>
            </w:r>
            <w:r w:rsidR="003F64C5" w:rsidRPr="00EC1E01">
              <w:rPr>
                <w:rFonts w:asciiTheme="minorHAnsi" w:hAnsiTheme="minorHAnsi" w:cstheme="minorHAnsi"/>
                <w:szCs w:val="22"/>
              </w:rPr>
              <w:t>eport produced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7640A05" w14:textId="66DC6205" w:rsidR="003F64C5" w:rsidRPr="00EC1E01" w:rsidRDefault="00125E4D">
            <w:pPr>
              <w:rPr>
                <w:rFonts w:asciiTheme="minorHAnsi" w:hAnsiTheme="minorHAnsi" w:cstheme="minorHAnsi"/>
                <w:szCs w:val="22"/>
              </w:rPr>
            </w:pPr>
            <w:r w:rsidRPr="00EC1E01">
              <w:rPr>
                <w:rFonts w:asciiTheme="minorHAnsi" w:hAnsiTheme="minorHAnsi" w:cstheme="minorHAnsi"/>
                <w:szCs w:val="22"/>
              </w:rPr>
              <w:t>Interim u</w:t>
            </w:r>
            <w:r w:rsidR="00244C83" w:rsidRPr="00EC1E01">
              <w:rPr>
                <w:rFonts w:asciiTheme="minorHAnsi" w:hAnsiTheme="minorHAnsi" w:cstheme="minorHAnsi"/>
                <w:szCs w:val="22"/>
              </w:rPr>
              <w:t xml:space="preserve">pdate </w:t>
            </w:r>
            <w:r w:rsidR="003F64C5" w:rsidRPr="00EC1E01">
              <w:rPr>
                <w:rFonts w:asciiTheme="minorHAnsi" w:hAnsiTheme="minorHAnsi" w:cstheme="minorHAnsi"/>
                <w:szCs w:val="22"/>
              </w:rPr>
              <w:t>produced</w:t>
            </w:r>
          </w:p>
        </w:tc>
        <w:tc>
          <w:tcPr>
            <w:tcW w:w="1476" w:type="dxa"/>
            <w:tcBorders>
              <w:top w:val="single" w:sz="4" w:space="0" w:color="auto"/>
              <w:left w:val="single" w:sz="4" w:space="0" w:color="auto"/>
              <w:bottom w:val="single" w:sz="4" w:space="0" w:color="auto"/>
              <w:right w:val="single" w:sz="4" w:space="0" w:color="auto"/>
            </w:tcBorders>
          </w:tcPr>
          <w:p w14:paraId="43E1185D" w14:textId="6087D357" w:rsidR="003F64C5" w:rsidRPr="00EC1E01" w:rsidRDefault="007F55FD">
            <w:pPr>
              <w:rPr>
                <w:rFonts w:asciiTheme="minorHAnsi" w:hAnsiTheme="minorHAnsi" w:cstheme="minorHAnsi"/>
                <w:szCs w:val="22"/>
              </w:rPr>
            </w:pPr>
            <w:r w:rsidRPr="00EC1E01">
              <w:rPr>
                <w:rFonts w:asciiTheme="minorHAnsi" w:hAnsiTheme="minorHAnsi" w:cstheme="minorHAnsi"/>
                <w:szCs w:val="22"/>
              </w:rPr>
              <w:t>R</w:t>
            </w:r>
            <w:r w:rsidR="003F64C5" w:rsidRPr="00EC1E01">
              <w:rPr>
                <w:rFonts w:asciiTheme="minorHAnsi" w:hAnsiTheme="minorHAnsi" w:cstheme="minorHAnsi"/>
                <w:szCs w:val="22"/>
              </w:rPr>
              <w:t>eport produced</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D708A9E" w14:textId="6F1C16EB" w:rsidR="003F64C5" w:rsidRPr="00EC1E01" w:rsidRDefault="007F55FD">
            <w:pPr>
              <w:rPr>
                <w:rFonts w:asciiTheme="minorHAnsi" w:hAnsiTheme="minorHAnsi" w:cstheme="minorHAnsi"/>
                <w:szCs w:val="22"/>
              </w:rPr>
            </w:pPr>
            <w:r w:rsidRPr="00EC1E01">
              <w:rPr>
                <w:rFonts w:asciiTheme="minorHAnsi" w:hAnsiTheme="minorHAnsi" w:cstheme="minorHAnsi"/>
                <w:szCs w:val="22"/>
              </w:rPr>
              <w:t>Report</w:t>
            </w:r>
          </w:p>
        </w:tc>
      </w:tr>
      <w:tr w:rsidR="003F64C5" w:rsidRPr="00EC1E01" w14:paraId="6A90EFF0" w14:textId="77777777" w:rsidTr="1997D3BC">
        <w:trPr>
          <w:trHeight w:val="523"/>
        </w:trPr>
        <w:tc>
          <w:tcPr>
            <w:tcW w:w="808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A3F1662" w14:textId="56D95B4D" w:rsidR="003F64C5" w:rsidRPr="00EC1E01" w:rsidRDefault="003F64C5">
            <w:pPr>
              <w:rPr>
                <w:rFonts w:asciiTheme="minorHAnsi" w:hAnsiTheme="minorHAnsi" w:cstheme="minorHAnsi"/>
                <w:szCs w:val="22"/>
              </w:rPr>
            </w:pPr>
            <w:r w:rsidRPr="00EC1E01">
              <w:rPr>
                <w:rFonts w:asciiTheme="minorHAnsi" w:hAnsiTheme="minorHAnsi" w:cstheme="minorHAnsi"/>
                <w:szCs w:val="22"/>
              </w:rPr>
              <w:t>1.8 Evaluation Maturity Model developed and promoted</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014A5C10" w14:textId="6F00F89C"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Scope options for </w:t>
            </w:r>
            <w:r w:rsidR="0064324E" w:rsidRPr="00EC1E01">
              <w:rPr>
                <w:rFonts w:asciiTheme="minorHAnsi" w:hAnsiTheme="minorHAnsi" w:cstheme="minorHAnsi"/>
                <w:szCs w:val="22"/>
              </w:rPr>
              <w:t xml:space="preserve">Evaluation Maturity </w:t>
            </w:r>
            <w:r w:rsidR="000C184F" w:rsidRPr="00EC1E01">
              <w:rPr>
                <w:rFonts w:asciiTheme="minorHAnsi" w:hAnsiTheme="minorHAnsi" w:cstheme="minorHAnsi"/>
                <w:szCs w:val="22"/>
              </w:rPr>
              <w:t>Model</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CBA769B" w14:textId="200D01AD" w:rsidR="003F64C5" w:rsidRPr="00EC1E01" w:rsidRDefault="003F64C5">
            <w:pPr>
              <w:rPr>
                <w:rFonts w:asciiTheme="minorHAnsi" w:hAnsiTheme="minorHAnsi" w:cstheme="minorHAnsi"/>
                <w:szCs w:val="22"/>
              </w:rPr>
            </w:pPr>
            <w:r w:rsidRPr="00EC1E01">
              <w:rPr>
                <w:rFonts w:asciiTheme="minorHAnsi" w:hAnsiTheme="minorHAnsi" w:cstheme="minorHAnsi"/>
                <w:szCs w:val="22"/>
              </w:rPr>
              <w:t xml:space="preserve">Design, pilot and implement </w:t>
            </w:r>
            <w:r w:rsidR="000C184F" w:rsidRPr="00EC1E01">
              <w:rPr>
                <w:rFonts w:asciiTheme="minorHAnsi" w:hAnsiTheme="minorHAnsi" w:cstheme="minorHAnsi"/>
                <w:szCs w:val="22"/>
              </w:rPr>
              <w:t>Model</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864D2E8" w14:textId="0A509C2D" w:rsidR="003F64C5" w:rsidRPr="00EC1E01" w:rsidRDefault="000671B5">
            <w:pPr>
              <w:rPr>
                <w:rFonts w:asciiTheme="minorHAnsi" w:hAnsiTheme="minorHAnsi" w:cstheme="minorHAnsi"/>
                <w:szCs w:val="22"/>
              </w:rPr>
            </w:pPr>
            <w:r w:rsidRPr="00EC1E01">
              <w:rPr>
                <w:rFonts w:asciiTheme="minorHAnsi" w:hAnsiTheme="minorHAnsi" w:cstheme="minorHAnsi"/>
                <w:szCs w:val="22"/>
              </w:rPr>
              <w:t>Five</w:t>
            </w:r>
            <w:r w:rsidR="0064324E" w:rsidRPr="00EC1E01">
              <w:rPr>
                <w:rFonts w:asciiTheme="minorHAnsi" w:hAnsiTheme="minorHAnsi" w:cstheme="minorHAnsi"/>
                <w:szCs w:val="22"/>
              </w:rPr>
              <w:t xml:space="preserve"> </w:t>
            </w:r>
            <w:r w:rsidR="003F64C5" w:rsidRPr="00EC1E01">
              <w:rPr>
                <w:rFonts w:asciiTheme="minorHAnsi" w:hAnsiTheme="minorHAnsi" w:cstheme="minorHAnsi"/>
                <w:szCs w:val="22"/>
              </w:rPr>
              <w:t>entities use</w:t>
            </w:r>
            <w:r w:rsidR="000C184F" w:rsidRPr="00EC1E01">
              <w:rPr>
                <w:rFonts w:asciiTheme="minorHAnsi" w:hAnsiTheme="minorHAnsi" w:cstheme="minorHAnsi"/>
                <w:szCs w:val="22"/>
              </w:rPr>
              <w:t xml:space="preserve"> Model</w:t>
            </w:r>
            <w:r w:rsidR="003F64C5" w:rsidRPr="00EC1E01" w:rsidDel="000C184F">
              <w:rPr>
                <w:rFonts w:asciiTheme="minorHAnsi" w:hAnsiTheme="minorHAnsi" w:cstheme="minorHAnsi"/>
                <w:szCs w:val="22"/>
              </w:rPr>
              <w:t xml:space="preserve"> </w:t>
            </w:r>
            <w:r w:rsidR="003F64C5" w:rsidRPr="00EC1E01">
              <w:rPr>
                <w:rFonts w:asciiTheme="minorHAnsi" w:hAnsiTheme="minorHAnsi" w:cstheme="minorHAnsi"/>
                <w:szCs w:val="22"/>
              </w:rPr>
              <w:t>to assess maturity</w:t>
            </w:r>
          </w:p>
        </w:tc>
        <w:tc>
          <w:tcPr>
            <w:tcW w:w="1476" w:type="dxa"/>
            <w:tcBorders>
              <w:top w:val="single" w:sz="4" w:space="0" w:color="auto"/>
              <w:left w:val="single" w:sz="4" w:space="0" w:color="auto"/>
              <w:bottom w:val="single" w:sz="4" w:space="0" w:color="auto"/>
              <w:right w:val="single" w:sz="4" w:space="0" w:color="auto"/>
            </w:tcBorders>
          </w:tcPr>
          <w:p w14:paraId="0EFBCEE9" w14:textId="69B72FFA" w:rsidR="003F64C5" w:rsidRPr="00EC1E01" w:rsidRDefault="000671B5">
            <w:pPr>
              <w:rPr>
                <w:rFonts w:asciiTheme="minorHAnsi" w:hAnsiTheme="minorHAnsi" w:cstheme="minorHAnsi"/>
                <w:szCs w:val="22"/>
              </w:rPr>
            </w:pPr>
            <w:r w:rsidRPr="00EC1E01">
              <w:rPr>
                <w:rFonts w:asciiTheme="minorHAnsi" w:hAnsiTheme="minorHAnsi" w:cstheme="minorHAnsi"/>
                <w:szCs w:val="22"/>
              </w:rPr>
              <w:t>Ten</w:t>
            </w:r>
            <w:r w:rsidR="003F64C5" w:rsidRPr="00EC1E01">
              <w:rPr>
                <w:rFonts w:asciiTheme="minorHAnsi" w:hAnsiTheme="minorHAnsi" w:cstheme="minorHAnsi"/>
                <w:szCs w:val="22"/>
              </w:rPr>
              <w:t xml:space="preserve"> entities us</w:t>
            </w:r>
            <w:r w:rsidR="002B0F56" w:rsidRPr="00EC1E01">
              <w:rPr>
                <w:rFonts w:asciiTheme="minorHAnsi" w:hAnsiTheme="minorHAnsi" w:cstheme="minorHAnsi"/>
                <w:szCs w:val="22"/>
              </w:rPr>
              <w:t>e Model</w:t>
            </w:r>
            <w:r w:rsidR="003F64C5" w:rsidRPr="00EC1E01">
              <w:rPr>
                <w:rFonts w:asciiTheme="minorHAnsi" w:hAnsiTheme="minorHAnsi" w:cstheme="minorHAnsi"/>
                <w:szCs w:val="22"/>
              </w:rPr>
              <w:t xml:space="preserve"> to assess maturity</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D3D7A7D" w14:textId="77777777" w:rsidR="003F64C5" w:rsidRPr="00EC1E01" w:rsidRDefault="003F64C5">
            <w:pPr>
              <w:rPr>
                <w:rFonts w:asciiTheme="minorHAnsi" w:hAnsiTheme="minorHAnsi" w:cstheme="minorHAnsi"/>
                <w:szCs w:val="22"/>
              </w:rPr>
            </w:pPr>
            <w:r w:rsidRPr="00EC1E01">
              <w:rPr>
                <w:rFonts w:asciiTheme="minorHAnsi" w:hAnsiTheme="minorHAnsi" w:cstheme="minorHAnsi"/>
                <w:szCs w:val="22"/>
              </w:rPr>
              <w:t>ACE tracker</w:t>
            </w:r>
          </w:p>
        </w:tc>
      </w:tr>
    </w:tbl>
    <w:p w14:paraId="3E746BC4" w14:textId="77777777" w:rsidR="003F64C5" w:rsidRPr="00EC1E01" w:rsidRDefault="003F64C5" w:rsidP="003F64C5">
      <w:pPr>
        <w:rPr>
          <w:rFonts w:asciiTheme="minorHAnsi" w:hAnsiTheme="minorHAnsi" w:cstheme="minorHAnsi"/>
          <w:szCs w:val="22"/>
        </w:rPr>
      </w:pPr>
    </w:p>
    <w:tbl>
      <w:tblPr>
        <w:tblW w:w="15143" w:type="dxa"/>
        <w:tblInd w:w="-292" w:type="dxa"/>
        <w:tblLayout w:type="fixed"/>
        <w:tblCellMar>
          <w:left w:w="0" w:type="dxa"/>
          <w:right w:w="0" w:type="dxa"/>
        </w:tblCellMar>
        <w:tblLook w:val="0420" w:firstRow="1" w:lastRow="0" w:firstColumn="0" w:lastColumn="0" w:noHBand="0" w:noVBand="1"/>
      </w:tblPr>
      <w:tblGrid>
        <w:gridCol w:w="7939"/>
        <w:gridCol w:w="1701"/>
        <w:gridCol w:w="1843"/>
        <w:gridCol w:w="1417"/>
        <w:gridCol w:w="1334"/>
        <w:gridCol w:w="909"/>
      </w:tblGrid>
      <w:tr w:rsidR="00373918" w:rsidRPr="00EC1E01" w14:paraId="42BD20F4" w14:textId="77777777" w:rsidTr="00490CF3">
        <w:trPr>
          <w:trHeight w:val="571"/>
          <w:tblHeader/>
        </w:trPr>
        <w:tc>
          <w:tcPr>
            <w:tcW w:w="15143" w:type="dxa"/>
            <w:gridSpan w:val="6"/>
            <w:tcBorders>
              <w:top w:val="single" w:sz="4" w:space="0" w:color="auto"/>
              <w:left w:val="single" w:sz="4" w:space="0" w:color="auto"/>
              <w:bottom w:val="single" w:sz="4" w:space="0" w:color="auto"/>
              <w:right w:val="single" w:sz="4" w:space="0" w:color="auto"/>
            </w:tcBorders>
            <w:shd w:val="clear" w:color="auto" w:fill="2C384A" w:themeFill="accent1"/>
          </w:tcPr>
          <w:p w14:paraId="3A8606BC" w14:textId="49B9B64A" w:rsidR="00373918" w:rsidRPr="00EC1E01" w:rsidRDefault="00373918">
            <w:pPr>
              <w:pStyle w:val="Bullet"/>
              <w:numPr>
                <w:ilvl w:val="0"/>
                <w:numId w:val="0"/>
              </w:numPr>
              <w:ind w:left="520" w:hanging="520"/>
              <w:rPr>
                <w:rFonts w:asciiTheme="minorHAnsi" w:hAnsiTheme="minorHAnsi" w:cstheme="minorHAnsi"/>
                <w:b/>
                <w:bCs/>
                <w:color w:val="FFFFFF" w:themeColor="background1"/>
                <w:szCs w:val="22"/>
              </w:rPr>
            </w:pPr>
            <w:r w:rsidRPr="00EC1E01">
              <w:rPr>
                <w:rFonts w:asciiTheme="minorHAnsi" w:hAnsiTheme="minorHAnsi" w:cstheme="minorHAnsi"/>
                <w:b/>
                <w:bCs/>
                <w:color w:val="FFFFFF" w:themeColor="background1"/>
                <w:szCs w:val="22"/>
              </w:rPr>
              <w:t>Outcome 2</w:t>
            </w:r>
            <w:r w:rsidR="00430520" w:rsidRPr="00EC1E01">
              <w:rPr>
                <w:rFonts w:asciiTheme="minorHAnsi" w:hAnsiTheme="minorHAnsi" w:cstheme="minorHAnsi"/>
                <w:b/>
                <w:bCs/>
                <w:color w:val="FFFFFF" w:themeColor="background1"/>
                <w:szCs w:val="22"/>
              </w:rPr>
              <w:t>.1</w:t>
            </w:r>
            <w:r w:rsidRPr="00EC1E01">
              <w:rPr>
                <w:rFonts w:asciiTheme="minorHAnsi" w:hAnsiTheme="minorHAnsi" w:cstheme="minorHAnsi"/>
                <w:b/>
                <w:bCs/>
                <w:color w:val="FFFFFF" w:themeColor="background1"/>
                <w:szCs w:val="22"/>
              </w:rPr>
              <w:t>: Impact evaluation partnerships demonstrate benefit of experimental and quasi-experimental methods</w:t>
            </w:r>
          </w:p>
        </w:tc>
      </w:tr>
      <w:tr w:rsidR="00373918" w:rsidRPr="00EC1E01" w14:paraId="18987444" w14:textId="77777777" w:rsidTr="00490CF3">
        <w:trPr>
          <w:trHeight w:val="422"/>
          <w:tblHeader/>
        </w:trPr>
        <w:tc>
          <w:tcPr>
            <w:tcW w:w="793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CA6157E" w14:textId="77777777" w:rsidR="00373918" w:rsidRPr="00EC1E01" w:rsidRDefault="00373918">
            <w:pPr>
              <w:rPr>
                <w:rFonts w:asciiTheme="minorHAnsi" w:hAnsiTheme="minorHAnsi" w:cstheme="minorHAnsi"/>
                <w:color w:val="00B0F0"/>
                <w:szCs w:val="22"/>
              </w:rPr>
            </w:pPr>
            <w:r w:rsidRPr="00EC1E01">
              <w:rPr>
                <w:rFonts w:asciiTheme="minorHAnsi" w:hAnsiTheme="minorHAnsi" w:cstheme="minorHAnsi"/>
                <w:b/>
                <w:bCs/>
                <w:color w:val="000000" w:themeColor="text1"/>
                <w:szCs w:val="22"/>
              </w:rPr>
              <w:t>Outputs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A936F58" w14:textId="77777777" w:rsidR="00373918" w:rsidRPr="00EC1E01" w:rsidRDefault="00373918">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45236473" w14:textId="77777777" w:rsidR="00373918" w:rsidRPr="00EC1E01" w:rsidRDefault="00373918">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2023-24</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9D175AD" w14:textId="77777777" w:rsidR="00373918" w:rsidRPr="00EC1E01" w:rsidRDefault="00373918">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739C6F3F" w14:textId="77777777" w:rsidR="00373918" w:rsidRPr="00EC1E01" w:rsidRDefault="00373918">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2024-25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364B866" w14:textId="77777777" w:rsidR="00373918" w:rsidRPr="00EC1E01" w:rsidRDefault="00373918">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5A030C47" w14:textId="77777777" w:rsidR="00373918" w:rsidRPr="00EC1E01" w:rsidRDefault="00373918">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2025-26</w:t>
            </w:r>
          </w:p>
        </w:tc>
        <w:tc>
          <w:tcPr>
            <w:tcW w:w="1334" w:type="dxa"/>
            <w:tcBorders>
              <w:top w:val="single" w:sz="4" w:space="0" w:color="auto"/>
              <w:left w:val="single" w:sz="4" w:space="0" w:color="auto"/>
              <w:bottom w:val="single" w:sz="4" w:space="0" w:color="auto"/>
              <w:right w:val="single" w:sz="4" w:space="0" w:color="auto"/>
            </w:tcBorders>
          </w:tcPr>
          <w:p w14:paraId="41FAD6DC" w14:textId="77777777" w:rsidR="00373918" w:rsidRPr="00EC1E01" w:rsidRDefault="00373918">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4F11924F" w14:textId="77777777" w:rsidR="00373918" w:rsidRPr="00EC1E01" w:rsidRDefault="00373918">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2026-27</w:t>
            </w:r>
          </w:p>
        </w:tc>
        <w:tc>
          <w:tcPr>
            <w:tcW w:w="90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026B91D" w14:textId="77777777" w:rsidR="00373918" w:rsidRPr="00EC1E01" w:rsidRDefault="00373918">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Data source</w:t>
            </w:r>
          </w:p>
        </w:tc>
      </w:tr>
      <w:tr w:rsidR="00373918" w:rsidRPr="00EC1E01" w14:paraId="15CCD840" w14:textId="77777777" w:rsidTr="00490CF3">
        <w:trPr>
          <w:trHeight w:val="275"/>
        </w:trPr>
        <w:tc>
          <w:tcPr>
            <w:tcW w:w="793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BB10961" w14:textId="5CBE5144" w:rsidR="00373918" w:rsidRPr="00EC1E01" w:rsidRDefault="00373918">
            <w:pPr>
              <w:rPr>
                <w:rFonts w:asciiTheme="minorHAnsi" w:hAnsiTheme="minorHAnsi" w:cstheme="minorHAnsi"/>
                <w:szCs w:val="22"/>
              </w:rPr>
            </w:pPr>
            <w:r w:rsidRPr="00EC1E01">
              <w:rPr>
                <w:rFonts w:asciiTheme="minorHAnsi" w:hAnsiTheme="minorHAnsi" w:cstheme="minorHAnsi"/>
                <w:szCs w:val="22"/>
              </w:rPr>
              <w:t>2.1 Impact evaluations (IEs) using randomised controlled trials</w:t>
            </w:r>
            <w:r w:rsidR="002A208F" w:rsidRPr="00EC1E01">
              <w:rPr>
                <w:rFonts w:asciiTheme="minorHAnsi" w:hAnsiTheme="minorHAnsi" w:cstheme="minorHAnsi"/>
                <w:szCs w:val="22"/>
              </w:rPr>
              <w:t xml:space="preserve"> </w:t>
            </w:r>
            <w:r w:rsidRPr="00EC1E01">
              <w:rPr>
                <w:rFonts w:asciiTheme="minorHAnsi" w:hAnsiTheme="minorHAnsi" w:cstheme="minorHAnsi"/>
                <w:szCs w:val="22"/>
              </w:rPr>
              <w:t>and quasi-experimental methods designed, delivered and published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1C19C50" w14:textId="3A40EBA7" w:rsidR="00373918" w:rsidRPr="00EC1E01" w:rsidRDefault="00373918">
            <w:pPr>
              <w:rPr>
                <w:rFonts w:asciiTheme="minorHAnsi" w:hAnsiTheme="minorHAnsi" w:cstheme="minorHAnsi"/>
                <w:szCs w:val="22"/>
              </w:rPr>
            </w:pPr>
            <w:r w:rsidRPr="00EC1E01">
              <w:rPr>
                <w:rFonts w:asciiTheme="minorHAnsi" w:hAnsiTheme="minorHAnsi" w:cstheme="minorHAnsi"/>
                <w:szCs w:val="22"/>
              </w:rPr>
              <w:t xml:space="preserve">5 IE discovery processes </w:t>
            </w:r>
            <w:r w:rsidR="007C575B" w:rsidRPr="00EC1E01">
              <w:rPr>
                <w:rFonts w:asciiTheme="minorHAnsi" w:hAnsiTheme="minorHAnsi" w:cstheme="minorHAnsi"/>
                <w:szCs w:val="22"/>
              </w:rPr>
              <w:t>commenced</w:t>
            </w:r>
          </w:p>
          <w:p w14:paraId="3B968D3E" w14:textId="77777777" w:rsidR="00373918" w:rsidRPr="00EC1E01" w:rsidRDefault="00373918">
            <w:pPr>
              <w:rPr>
                <w:rFonts w:asciiTheme="minorHAnsi" w:hAnsiTheme="minorHAnsi" w:cstheme="minorHAnsi"/>
                <w:szCs w:val="22"/>
              </w:rPr>
            </w:pPr>
            <w:r w:rsidRPr="00EC1E01">
              <w:rPr>
                <w:rFonts w:asciiTheme="minorHAnsi" w:hAnsiTheme="minorHAnsi" w:cstheme="minorHAnsi"/>
                <w:szCs w:val="22"/>
              </w:rPr>
              <w:t xml:space="preserve">3 IE partnerships established </w:t>
            </w:r>
          </w:p>
          <w:p w14:paraId="19B557BF" w14:textId="0C408CC0" w:rsidR="00373918" w:rsidRPr="00EC1E01" w:rsidRDefault="00373918">
            <w:pPr>
              <w:rPr>
                <w:rFonts w:asciiTheme="minorHAnsi" w:hAnsiTheme="minorHAnsi" w:cstheme="minorHAnsi"/>
                <w:szCs w:val="22"/>
              </w:rPr>
            </w:pPr>
            <w:r w:rsidRPr="00EC1E01">
              <w:rPr>
                <w:rFonts w:asciiTheme="minorHAnsi" w:hAnsiTheme="minorHAnsi" w:cstheme="minorHAnsi"/>
                <w:szCs w:val="22"/>
              </w:rPr>
              <w:t xml:space="preserve">4 IEs commenced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CF3F428" w14:textId="78565DE3" w:rsidR="00373918" w:rsidRPr="00EC1E01" w:rsidRDefault="001F7D73">
            <w:pPr>
              <w:rPr>
                <w:rFonts w:asciiTheme="minorHAnsi" w:hAnsiTheme="minorHAnsi" w:cstheme="minorHAnsi"/>
                <w:szCs w:val="22"/>
              </w:rPr>
            </w:pPr>
            <w:r w:rsidRPr="00EC1E01">
              <w:rPr>
                <w:rFonts w:asciiTheme="minorHAnsi" w:hAnsiTheme="minorHAnsi" w:cstheme="minorHAnsi"/>
                <w:szCs w:val="22"/>
              </w:rPr>
              <w:t>Up to 5</w:t>
            </w:r>
            <w:r w:rsidR="00373918" w:rsidRPr="00EC1E01">
              <w:rPr>
                <w:rFonts w:asciiTheme="minorHAnsi" w:hAnsiTheme="minorHAnsi" w:cstheme="minorHAnsi"/>
                <w:szCs w:val="22"/>
              </w:rPr>
              <w:t xml:space="preserve"> IE discovery processes </w:t>
            </w:r>
            <w:r w:rsidRPr="00EC1E01">
              <w:rPr>
                <w:rFonts w:asciiTheme="minorHAnsi" w:hAnsiTheme="minorHAnsi" w:cstheme="minorHAnsi"/>
                <w:szCs w:val="22"/>
              </w:rPr>
              <w:t>commenced</w:t>
            </w:r>
            <w:r w:rsidR="00492B02" w:rsidRPr="00EC1E01">
              <w:rPr>
                <w:rFonts w:asciiTheme="minorHAnsi" w:hAnsiTheme="minorHAnsi" w:cstheme="minorHAnsi"/>
                <w:szCs w:val="22"/>
              </w:rPr>
              <w:t xml:space="preserve"> and up to 4 IEs commenced</w:t>
            </w:r>
            <w:r w:rsidRPr="00EC1E01">
              <w:rPr>
                <w:rFonts w:asciiTheme="minorHAnsi" w:hAnsiTheme="minorHAnsi" w:cstheme="minorHAnsi"/>
                <w:szCs w:val="22"/>
              </w:rPr>
              <w:t xml:space="preserve">, </w:t>
            </w:r>
            <w:r w:rsidR="008E2AF8" w:rsidRPr="00EC1E01">
              <w:rPr>
                <w:rFonts w:asciiTheme="minorHAnsi" w:hAnsiTheme="minorHAnsi" w:cstheme="minorHAnsi"/>
                <w:szCs w:val="22"/>
              </w:rPr>
              <w:t>depending on number of IEs already underway or completed</w:t>
            </w:r>
          </w:p>
          <w:p w14:paraId="15EA7E19" w14:textId="77777777" w:rsidR="00373918" w:rsidRPr="00EC1E01" w:rsidRDefault="00373918">
            <w:pPr>
              <w:rPr>
                <w:rFonts w:asciiTheme="minorHAnsi" w:hAnsiTheme="minorHAnsi" w:cstheme="minorHAnsi"/>
                <w:szCs w:val="22"/>
              </w:rPr>
            </w:pPr>
            <w:r w:rsidRPr="00EC1E01">
              <w:rPr>
                <w:rFonts w:asciiTheme="minorHAnsi" w:hAnsiTheme="minorHAnsi" w:cstheme="minorHAnsi"/>
                <w:szCs w:val="22"/>
              </w:rPr>
              <w:t xml:space="preserve">1 additional IE partnership established </w:t>
            </w:r>
          </w:p>
          <w:p w14:paraId="5FF43735" w14:textId="2B198DFE" w:rsidR="00373918" w:rsidRPr="00EC1E01" w:rsidRDefault="000A5AD7">
            <w:pPr>
              <w:rPr>
                <w:rFonts w:asciiTheme="minorHAnsi" w:hAnsiTheme="minorHAnsi" w:cstheme="minorHAnsi"/>
                <w:szCs w:val="22"/>
              </w:rPr>
            </w:pPr>
            <w:r w:rsidRPr="00EC1E01">
              <w:rPr>
                <w:rFonts w:asciiTheme="minorHAnsi" w:hAnsiTheme="minorHAnsi" w:cstheme="minorHAnsi"/>
                <w:szCs w:val="22"/>
              </w:rPr>
              <w:t>Deliver and publish IEs once outcome data is available and analysis is completed</w:t>
            </w:r>
          </w:p>
          <w:p w14:paraId="36F6D9F3" w14:textId="1E968E8A" w:rsidR="00373918" w:rsidRPr="00EC1E01" w:rsidRDefault="00373918">
            <w:pP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2AE46BD" w14:textId="77777777" w:rsidR="008E2AF8" w:rsidRPr="00EC1E01" w:rsidRDefault="008E2AF8" w:rsidP="008E2AF8">
            <w:pPr>
              <w:rPr>
                <w:rFonts w:asciiTheme="minorHAnsi" w:hAnsiTheme="minorHAnsi" w:cstheme="minorHAnsi"/>
                <w:szCs w:val="22"/>
              </w:rPr>
            </w:pPr>
            <w:r w:rsidRPr="00EC1E01">
              <w:rPr>
                <w:rFonts w:asciiTheme="minorHAnsi" w:hAnsiTheme="minorHAnsi" w:cstheme="minorHAnsi"/>
                <w:szCs w:val="22"/>
              </w:rPr>
              <w:t>Up to 5 IE discovery processes commenced, depending on number of IEs already underway or completed</w:t>
            </w:r>
          </w:p>
          <w:p w14:paraId="18A16ABF" w14:textId="77777777" w:rsidR="00373918" w:rsidRPr="00EC1E01" w:rsidRDefault="00373918">
            <w:pPr>
              <w:rPr>
                <w:rFonts w:asciiTheme="minorHAnsi" w:hAnsiTheme="minorHAnsi" w:cstheme="minorHAnsi"/>
                <w:szCs w:val="22"/>
              </w:rPr>
            </w:pPr>
            <w:r w:rsidRPr="00EC1E01">
              <w:rPr>
                <w:rFonts w:asciiTheme="minorHAnsi" w:hAnsiTheme="minorHAnsi" w:cstheme="minorHAnsi"/>
                <w:szCs w:val="22"/>
              </w:rPr>
              <w:t xml:space="preserve">1 additional IE partnership established </w:t>
            </w:r>
          </w:p>
          <w:p w14:paraId="73B211C6" w14:textId="77777777" w:rsidR="009C20AD" w:rsidRPr="00EC1E01" w:rsidRDefault="009C20AD" w:rsidP="009C20AD">
            <w:pPr>
              <w:rPr>
                <w:rFonts w:asciiTheme="minorHAnsi" w:hAnsiTheme="minorHAnsi" w:cstheme="minorHAnsi"/>
                <w:szCs w:val="22"/>
              </w:rPr>
            </w:pPr>
            <w:r w:rsidRPr="00EC1E01">
              <w:rPr>
                <w:rFonts w:asciiTheme="minorHAnsi" w:hAnsiTheme="minorHAnsi" w:cstheme="minorHAnsi"/>
                <w:szCs w:val="22"/>
              </w:rPr>
              <w:t>Deliver and publish IEs once outcome data is available and analysis is completed</w:t>
            </w:r>
            <w:r w:rsidRPr="00EC1E01" w:rsidDel="009C20AD">
              <w:rPr>
                <w:rFonts w:asciiTheme="minorHAnsi" w:hAnsiTheme="minorHAnsi" w:cstheme="minorHAnsi"/>
                <w:szCs w:val="22"/>
              </w:rPr>
              <w:t xml:space="preserve"> </w:t>
            </w:r>
          </w:p>
          <w:p w14:paraId="34FEA114" w14:textId="7D3D6F64" w:rsidR="00373918" w:rsidRPr="00EC1E01" w:rsidRDefault="00373918" w:rsidP="009C20AD">
            <w:pPr>
              <w:rPr>
                <w:rFonts w:asciiTheme="minorHAnsi" w:hAnsiTheme="minorHAnsi" w:cstheme="minorHAnsi"/>
                <w:szCs w:val="22"/>
              </w:rPr>
            </w:pPr>
          </w:p>
        </w:tc>
        <w:tc>
          <w:tcPr>
            <w:tcW w:w="1334" w:type="dxa"/>
            <w:tcBorders>
              <w:top w:val="single" w:sz="4" w:space="0" w:color="auto"/>
              <w:left w:val="single" w:sz="4" w:space="0" w:color="auto"/>
              <w:bottom w:val="single" w:sz="4" w:space="0" w:color="auto"/>
              <w:right w:val="single" w:sz="4" w:space="0" w:color="auto"/>
            </w:tcBorders>
          </w:tcPr>
          <w:p w14:paraId="7DD2C984" w14:textId="0991C7F8" w:rsidR="00373918" w:rsidRPr="00EC1E01" w:rsidRDefault="009C20AD">
            <w:pPr>
              <w:rPr>
                <w:rFonts w:asciiTheme="minorHAnsi" w:hAnsiTheme="minorHAnsi" w:cstheme="minorHAnsi"/>
                <w:szCs w:val="22"/>
              </w:rPr>
            </w:pPr>
            <w:r w:rsidRPr="00EC1E01">
              <w:rPr>
                <w:rFonts w:asciiTheme="minorHAnsi" w:hAnsiTheme="minorHAnsi" w:cstheme="minorHAnsi"/>
                <w:szCs w:val="22"/>
              </w:rPr>
              <w:t>Up to 5 IE discovery processes commenced, depending on number of IEs already underway or completed</w:t>
            </w:r>
            <w:r w:rsidRPr="00EC1E01" w:rsidDel="009C20AD">
              <w:rPr>
                <w:rFonts w:asciiTheme="minorHAnsi" w:hAnsiTheme="minorHAnsi" w:cstheme="minorHAnsi"/>
                <w:szCs w:val="22"/>
              </w:rPr>
              <w:t xml:space="preserve"> </w:t>
            </w:r>
            <w:r w:rsidR="008E2AF8" w:rsidRPr="00EC1E01">
              <w:rPr>
                <w:rFonts w:asciiTheme="minorHAnsi" w:hAnsiTheme="minorHAnsi" w:cstheme="minorHAnsi"/>
                <w:szCs w:val="22"/>
              </w:rPr>
              <w:t>Sustain existing partnerships</w:t>
            </w:r>
            <w:r w:rsidRPr="00EC1E01">
              <w:rPr>
                <w:rFonts w:asciiTheme="minorHAnsi" w:hAnsiTheme="minorHAnsi" w:cstheme="minorHAnsi"/>
                <w:szCs w:val="22"/>
              </w:rPr>
              <w:t xml:space="preserve"> (or add new partnerships as existing ones expire)</w:t>
            </w:r>
            <w:r w:rsidR="00373918" w:rsidRPr="00EC1E01">
              <w:rPr>
                <w:rFonts w:asciiTheme="minorHAnsi" w:hAnsiTheme="minorHAnsi" w:cstheme="minorHAnsi"/>
                <w:szCs w:val="22"/>
              </w:rPr>
              <w:t xml:space="preserve"> </w:t>
            </w:r>
          </w:p>
          <w:p w14:paraId="1A89D600" w14:textId="77777777" w:rsidR="00373918" w:rsidRPr="00EC1E01" w:rsidRDefault="00373918">
            <w:pPr>
              <w:rPr>
                <w:rFonts w:asciiTheme="minorHAnsi" w:hAnsiTheme="minorHAnsi" w:cstheme="minorHAnsi"/>
                <w:szCs w:val="22"/>
              </w:rPr>
            </w:pPr>
          </w:p>
        </w:tc>
        <w:tc>
          <w:tcPr>
            <w:tcW w:w="90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4E37A05" w14:textId="77777777" w:rsidR="00373918" w:rsidRPr="00EC1E01" w:rsidRDefault="00373918">
            <w:pPr>
              <w:rPr>
                <w:rFonts w:asciiTheme="minorHAnsi" w:hAnsiTheme="minorHAnsi" w:cstheme="minorHAnsi"/>
                <w:szCs w:val="22"/>
              </w:rPr>
            </w:pPr>
            <w:r w:rsidRPr="00EC1E01">
              <w:rPr>
                <w:rFonts w:asciiTheme="minorHAnsi" w:hAnsiTheme="minorHAnsi" w:cstheme="minorHAnsi"/>
                <w:szCs w:val="22"/>
              </w:rPr>
              <w:t>ACE tracker</w:t>
            </w:r>
          </w:p>
        </w:tc>
      </w:tr>
      <w:tr w:rsidR="00373918" w:rsidRPr="00EC1E01" w14:paraId="38DE15D8" w14:textId="77777777" w:rsidTr="00490CF3">
        <w:trPr>
          <w:trHeight w:val="510"/>
        </w:trPr>
        <w:tc>
          <w:tcPr>
            <w:tcW w:w="793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E90DF32" w14:textId="77777777" w:rsidR="00373918" w:rsidRPr="00EC1E01" w:rsidRDefault="00373918">
            <w:pPr>
              <w:rPr>
                <w:rFonts w:asciiTheme="minorHAnsi" w:hAnsiTheme="minorHAnsi" w:cstheme="minorHAnsi"/>
                <w:szCs w:val="22"/>
              </w:rPr>
            </w:pPr>
            <w:r w:rsidRPr="00EC1E01">
              <w:rPr>
                <w:rFonts w:asciiTheme="minorHAnsi" w:hAnsiTheme="minorHAnsi" w:cstheme="minorHAnsi"/>
                <w:szCs w:val="22"/>
              </w:rPr>
              <w:t>2.2 Technical advice provided to support delivery of impact evaluation (IE)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6CF7A19" w14:textId="080BE314" w:rsidR="00373918" w:rsidRPr="00EC1E01" w:rsidRDefault="004A63A6">
            <w:pPr>
              <w:rPr>
                <w:rFonts w:asciiTheme="minorHAnsi" w:hAnsiTheme="minorHAnsi" w:cstheme="minorHAnsi"/>
                <w:szCs w:val="22"/>
              </w:rPr>
            </w:pPr>
            <w:r w:rsidRPr="00EC1E01">
              <w:rPr>
                <w:rFonts w:asciiTheme="minorHAnsi" w:hAnsiTheme="minorHAnsi" w:cstheme="minorHAnsi"/>
                <w:szCs w:val="22"/>
              </w:rPr>
              <w:t xml:space="preserve">5x technical advice on IE plans, design, data or analysis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08BF184" w14:textId="71B0E89B" w:rsidR="00373918" w:rsidRPr="00EC1E01" w:rsidRDefault="00192628">
            <w:pPr>
              <w:rPr>
                <w:rFonts w:asciiTheme="minorHAnsi" w:hAnsiTheme="minorHAnsi" w:cstheme="minorHAnsi"/>
                <w:szCs w:val="22"/>
              </w:rPr>
            </w:pPr>
            <w:r w:rsidRPr="00EC1E01">
              <w:rPr>
                <w:rFonts w:asciiTheme="minorHAnsi" w:hAnsiTheme="minorHAnsi" w:cstheme="minorHAnsi"/>
                <w:szCs w:val="22"/>
              </w:rPr>
              <w:t xml:space="preserve">10x technical advice on IE plans, design, data or analysis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3BD2607" w14:textId="108210F5" w:rsidR="00373918" w:rsidRPr="00EC1E01" w:rsidRDefault="00192628">
            <w:pPr>
              <w:rPr>
                <w:rFonts w:asciiTheme="minorHAnsi" w:hAnsiTheme="minorHAnsi" w:cstheme="minorHAnsi"/>
                <w:szCs w:val="22"/>
              </w:rPr>
            </w:pPr>
            <w:r w:rsidRPr="00EC1E01">
              <w:rPr>
                <w:rFonts w:asciiTheme="minorHAnsi" w:hAnsiTheme="minorHAnsi" w:cstheme="minorHAnsi"/>
                <w:szCs w:val="22"/>
              </w:rPr>
              <w:t>10x technical advice on IE plans, design, data or analysis</w:t>
            </w:r>
            <w:r w:rsidRPr="00EC1E01" w:rsidDel="00192628">
              <w:rPr>
                <w:rFonts w:asciiTheme="minorHAnsi" w:hAnsiTheme="minorHAnsi" w:cstheme="minorHAnsi"/>
                <w:szCs w:val="22"/>
              </w:rPr>
              <w:t xml:space="preserve"> </w:t>
            </w:r>
          </w:p>
        </w:tc>
        <w:tc>
          <w:tcPr>
            <w:tcW w:w="1334" w:type="dxa"/>
            <w:tcBorders>
              <w:top w:val="single" w:sz="4" w:space="0" w:color="auto"/>
              <w:left w:val="single" w:sz="4" w:space="0" w:color="auto"/>
              <w:bottom w:val="single" w:sz="4" w:space="0" w:color="auto"/>
              <w:right w:val="single" w:sz="4" w:space="0" w:color="auto"/>
            </w:tcBorders>
          </w:tcPr>
          <w:p w14:paraId="7A68A28C" w14:textId="5EC5D4FB" w:rsidR="00373918" w:rsidRPr="00EC1E01" w:rsidRDefault="00192628">
            <w:pPr>
              <w:rPr>
                <w:rFonts w:asciiTheme="minorHAnsi" w:hAnsiTheme="minorHAnsi" w:cstheme="minorHAnsi"/>
                <w:szCs w:val="22"/>
              </w:rPr>
            </w:pPr>
            <w:r w:rsidRPr="00EC1E01">
              <w:rPr>
                <w:rFonts w:asciiTheme="minorHAnsi" w:hAnsiTheme="minorHAnsi" w:cstheme="minorHAnsi"/>
                <w:szCs w:val="22"/>
              </w:rPr>
              <w:t>10x technical advice on IE plans, design, data or analysis</w:t>
            </w:r>
          </w:p>
        </w:tc>
        <w:tc>
          <w:tcPr>
            <w:tcW w:w="909"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B30C40E" w14:textId="77777777" w:rsidR="00373918" w:rsidRPr="00EC1E01" w:rsidRDefault="00373918">
            <w:pPr>
              <w:rPr>
                <w:rFonts w:asciiTheme="minorHAnsi" w:hAnsiTheme="minorHAnsi" w:cstheme="minorHAnsi"/>
                <w:szCs w:val="22"/>
              </w:rPr>
            </w:pPr>
            <w:r w:rsidRPr="00EC1E01">
              <w:rPr>
                <w:rFonts w:asciiTheme="minorHAnsi" w:hAnsiTheme="minorHAnsi" w:cstheme="minorHAnsi"/>
                <w:szCs w:val="22"/>
              </w:rPr>
              <w:t>ACE tracker</w:t>
            </w:r>
          </w:p>
        </w:tc>
      </w:tr>
    </w:tbl>
    <w:p w14:paraId="71A6FEE9" w14:textId="77777777" w:rsidR="00373918" w:rsidRPr="00EC1E01" w:rsidRDefault="00373918" w:rsidP="003F64C5">
      <w:pPr>
        <w:rPr>
          <w:rFonts w:asciiTheme="minorHAnsi" w:hAnsiTheme="minorHAnsi" w:cstheme="minorHAnsi"/>
          <w:szCs w:val="22"/>
        </w:rPr>
      </w:pPr>
    </w:p>
    <w:tbl>
      <w:tblPr>
        <w:tblW w:w="15189" w:type="dxa"/>
        <w:tblInd w:w="-292" w:type="dxa"/>
        <w:tblLayout w:type="fixed"/>
        <w:tblCellMar>
          <w:left w:w="0" w:type="dxa"/>
          <w:right w:w="0" w:type="dxa"/>
        </w:tblCellMar>
        <w:tblLook w:val="0420" w:firstRow="1" w:lastRow="0" w:firstColumn="0" w:lastColumn="0" w:noHBand="0" w:noVBand="1"/>
      </w:tblPr>
      <w:tblGrid>
        <w:gridCol w:w="7372"/>
        <w:gridCol w:w="1843"/>
        <w:gridCol w:w="1701"/>
        <w:gridCol w:w="1701"/>
        <w:gridCol w:w="1617"/>
        <w:gridCol w:w="955"/>
      </w:tblGrid>
      <w:tr w:rsidR="00E3026C" w:rsidRPr="00EC1E01" w14:paraId="386455A2" w14:textId="77777777" w:rsidTr="00EB754F">
        <w:trPr>
          <w:trHeight w:val="611"/>
          <w:tblHeader/>
        </w:trPr>
        <w:tc>
          <w:tcPr>
            <w:tcW w:w="15189" w:type="dxa"/>
            <w:gridSpan w:val="6"/>
            <w:tcBorders>
              <w:bottom w:val="single" w:sz="4" w:space="0" w:color="auto"/>
            </w:tcBorders>
            <w:shd w:val="clear" w:color="auto" w:fill="2C384A" w:themeFill="accent1"/>
          </w:tcPr>
          <w:p w14:paraId="0D881398" w14:textId="1C144BE3" w:rsidR="00E3026C" w:rsidRPr="00EC1E01" w:rsidRDefault="00E3026C">
            <w:pPr>
              <w:pStyle w:val="Bullet"/>
              <w:numPr>
                <w:ilvl w:val="0"/>
                <w:numId w:val="0"/>
              </w:numPr>
              <w:ind w:left="520" w:hanging="520"/>
              <w:rPr>
                <w:rFonts w:asciiTheme="minorHAnsi" w:hAnsiTheme="minorHAnsi" w:cstheme="minorHAnsi"/>
                <w:b/>
                <w:bCs/>
                <w:color w:val="FFFFFF" w:themeColor="background1"/>
                <w:szCs w:val="22"/>
              </w:rPr>
            </w:pPr>
            <w:r w:rsidRPr="00EC1E01">
              <w:rPr>
                <w:rFonts w:asciiTheme="minorHAnsi" w:hAnsiTheme="minorHAnsi" w:cstheme="minorHAnsi"/>
                <w:b/>
                <w:bCs/>
                <w:color w:val="FFFFFF" w:themeColor="background1"/>
                <w:szCs w:val="22"/>
              </w:rPr>
              <w:t>OUTCOME 3</w:t>
            </w:r>
            <w:r w:rsidR="00430520" w:rsidRPr="00EC1E01">
              <w:rPr>
                <w:rFonts w:asciiTheme="minorHAnsi" w:hAnsiTheme="minorHAnsi" w:cstheme="minorHAnsi"/>
                <w:b/>
                <w:bCs/>
                <w:color w:val="FFFFFF" w:themeColor="background1"/>
                <w:szCs w:val="22"/>
              </w:rPr>
              <w:t>.1</w:t>
            </w:r>
            <w:r w:rsidRPr="00EC1E01">
              <w:rPr>
                <w:rFonts w:asciiTheme="minorHAnsi" w:hAnsiTheme="minorHAnsi" w:cstheme="minorHAnsi"/>
                <w:b/>
                <w:bCs/>
                <w:color w:val="FFFFFF" w:themeColor="background1"/>
                <w:szCs w:val="22"/>
              </w:rPr>
              <w:t>:</w:t>
            </w:r>
            <w:r w:rsidRPr="00EC1E01">
              <w:rPr>
                <w:rFonts w:asciiTheme="minorHAnsi" w:eastAsia="Arial" w:hAnsiTheme="minorHAnsi" w:cstheme="minorHAnsi"/>
                <w:b/>
                <w:bCs/>
                <w:color w:val="FFFFFF" w:themeColor="background1"/>
                <w:kern w:val="24"/>
                <w:szCs w:val="22"/>
              </w:rPr>
              <w:t xml:space="preserve"> </w:t>
            </w:r>
            <w:r w:rsidRPr="00EC1E01">
              <w:rPr>
                <w:rFonts w:asciiTheme="minorHAnsi" w:hAnsiTheme="minorHAnsi" w:cstheme="minorHAnsi"/>
                <w:b/>
                <w:bCs/>
                <w:color w:val="FFFFFF" w:themeColor="background1"/>
                <w:szCs w:val="22"/>
              </w:rPr>
              <w:t xml:space="preserve">Policy and program proposals are strengthened by plans for high quality, </w:t>
            </w:r>
            <w:r w:rsidR="0002574E">
              <w:rPr>
                <w:rFonts w:asciiTheme="minorHAnsi" w:hAnsiTheme="minorHAnsi" w:cstheme="minorHAnsi"/>
                <w:b/>
                <w:bCs/>
                <w:color w:val="FFFFFF" w:themeColor="background1"/>
                <w:szCs w:val="22"/>
              </w:rPr>
              <w:t xml:space="preserve">ethical and </w:t>
            </w:r>
            <w:r w:rsidRPr="00EC1E01">
              <w:rPr>
                <w:rFonts w:asciiTheme="minorHAnsi" w:hAnsiTheme="minorHAnsi" w:cstheme="minorHAnsi"/>
                <w:b/>
                <w:bCs/>
                <w:color w:val="FFFFFF" w:themeColor="background1"/>
                <w:szCs w:val="22"/>
              </w:rPr>
              <w:t xml:space="preserve">culturally appropriate evaluation </w:t>
            </w:r>
          </w:p>
        </w:tc>
      </w:tr>
      <w:tr w:rsidR="00E3026C" w:rsidRPr="00EC1E01" w14:paraId="48D9F433" w14:textId="77777777" w:rsidTr="00EB754F">
        <w:trPr>
          <w:trHeight w:val="422"/>
          <w:tblHeader/>
        </w:trPr>
        <w:tc>
          <w:tcPr>
            <w:tcW w:w="7372"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C35F027" w14:textId="7C64B33C" w:rsidR="00E3026C" w:rsidRPr="00EC1E01" w:rsidRDefault="00E3026C">
            <w:pPr>
              <w:rPr>
                <w:rFonts w:asciiTheme="minorHAnsi" w:hAnsiTheme="minorHAnsi" w:cstheme="minorHAnsi"/>
                <w:color w:val="00B0F0"/>
                <w:szCs w:val="22"/>
              </w:rPr>
            </w:pPr>
            <w:r w:rsidRPr="00EC1E01">
              <w:rPr>
                <w:rFonts w:asciiTheme="minorHAnsi" w:hAnsiTheme="minorHAnsi" w:cstheme="minorHAnsi"/>
                <w:b/>
                <w:bCs/>
                <w:color w:val="000000" w:themeColor="text1"/>
                <w:szCs w:val="22"/>
              </w:rPr>
              <w:t>Output</w:t>
            </w:r>
            <w:r w:rsidR="001C6137" w:rsidRPr="00EC1E01">
              <w:rPr>
                <w:rFonts w:asciiTheme="minorHAnsi" w:hAnsiTheme="minorHAnsi" w:cstheme="minorHAnsi"/>
                <w:b/>
                <w:bCs/>
                <w:color w:val="000000" w:themeColor="text1"/>
                <w:szCs w:val="22"/>
              </w:rPr>
              <w:t>s</w:t>
            </w:r>
            <w:r w:rsidRPr="00EC1E01">
              <w:rPr>
                <w:rFonts w:asciiTheme="minorHAnsi" w:hAnsiTheme="minorHAnsi" w:cstheme="minorHAnsi"/>
                <w:b/>
                <w:bCs/>
                <w:color w:val="000000" w:themeColor="text1"/>
                <w:szCs w:val="22"/>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C4B133C" w14:textId="77777777" w:rsidR="00E3026C" w:rsidRPr="00EC1E01" w:rsidRDefault="00E3026C">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272DC36F" w14:textId="77777777" w:rsidR="00E3026C" w:rsidRPr="00EC1E01" w:rsidRDefault="00E3026C">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2023-24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1AF3C9D" w14:textId="77777777" w:rsidR="00E3026C" w:rsidRPr="00EC1E01" w:rsidRDefault="00E3026C">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5AB50ADB" w14:textId="77777777" w:rsidR="00E3026C" w:rsidRPr="00EC1E01" w:rsidRDefault="00E3026C">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2024-25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E6E59C2" w14:textId="77777777" w:rsidR="00E3026C" w:rsidRPr="00EC1E01" w:rsidRDefault="00E3026C">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1A765E64" w14:textId="77777777" w:rsidR="00E3026C" w:rsidRPr="00EC1E01" w:rsidRDefault="00E3026C">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2025-26</w:t>
            </w:r>
          </w:p>
        </w:tc>
        <w:tc>
          <w:tcPr>
            <w:tcW w:w="1617" w:type="dxa"/>
            <w:tcBorders>
              <w:top w:val="single" w:sz="4" w:space="0" w:color="auto"/>
              <w:left w:val="single" w:sz="4" w:space="0" w:color="auto"/>
              <w:bottom w:val="single" w:sz="4" w:space="0" w:color="auto"/>
              <w:right w:val="single" w:sz="4" w:space="0" w:color="auto"/>
            </w:tcBorders>
          </w:tcPr>
          <w:p w14:paraId="4A0FDFFE" w14:textId="77777777" w:rsidR="00E3026C" w:rsidRPr="00EC1E01" w:rsidRDefault="00E3026C">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5E10FFEB" w14:textId="77777777" w:rsidR="00E3026C" w:rsidRPr="00EC1E01" w:rsidRDefault="00E3026C">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2026-27</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D36C2BF" w14:textId="77777777" w:rsidR="00E3026C" w:rsidRPr="00EC1E01" w:rsidRDefault="00E3026C">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Data source</w:t>
            </w:r>
          </w:p>
        </w:tc>
      </w:tr>
      <w:tr w:rsidR="00E3026C" w:rsidRPr="00EC1E01" w14:paraId="0703DD17" w14:textId="77777777" w:rsidTr="00EB754F">
        <w:trPr>
          <w:trHeight w:val="510"/>
        </w:trPr>
        <w:tc>
          <w:tcPr>
            <w:tcW w:w="7372"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C7A280F" w14:textId="77777777" w:rsidR="00E3026C" w:rsidRPr="00EC1E01" w:rsidRDefault="00E3026C">
            <w:pPr>
              <w:rPr>
                <w:rFonts w:asciiTheme="minorHAnsi" w:hAnsiTheme="minorHAnsi" w:cstheme="minorHAnsi"/>
                <w:szCs w:val="22"/>
              </w:rPr>
            </w:pPr>
            <w:r w:rsidRPr="00EC1E01">
              <w:rPr>
                <w:rFonts w:asciiTheme="minorHAnsi" w:hAnsiTheme="minorHAnsi" w:cstheme="minorHAnsi"/>
                <w:szCs w:val="22"/>
              </w:rPr>
              <w:t>3.1 Technical advice provided to entities to support evaluation planning and use</w:t>
            </w:r>
          </w:p>
          <w:p w14:paraId="255FB7FE" w14:textId="77777777" w:rsidR="00E3026C" w:rsidRPr="00EC1E01" w:rsidRDefault="00E3026C">
            <w:pPr>
              <w:rPr>
                <w:rFonts w:asciiTheme="minorHAnsi" w:hAnsiTheme="minorHAnsi" w:cstheme="minorHAnsi"/>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4225E84" w14:textId="5F1260ED" w:rsidR="00E3026C" w:rsidRPr="00EC1E01" w:rsidRDefault="00A112F1">
            <w:pPr>
              <w:rPr>
                <w:rFonts w:asciiTheme="minorHAnsi" w:hAnsiTheme="minorHAnsi" w:cstheme="minorHAnsi"/>
                <w:szCs w:val="22"/>
              </w:rPr>
            </w:pPr>
            <w:r w:rsidRPr="00EC1E01">
              <w:rPr>
                <w:rFonts w:asciiTheme="minorHAnsi" w:hAnsiTheme="minorHAnsi" w:cstheme="minorHAnsi"/>
                <w:szCs w:val="22"/>
              </w:rPr>
              <w:t xml:space="preserve">50 </w:t>
            </w:r>
            <w:r w:rsidR="00E3026C" w:rsidRPr="00EC1E01">
              <w:rPr>
                <w:rFonts w:asciiTheme="minorHAnsi" w:hAnsiTheme="minorHAnsi" w:cstheme="minorHAnsi"/>
                <w:szCs w:val="22"/>
              </w:rPr>
              <w:t xml:space="preserve">consultations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590E697" w14:textId="4D2F7F2F" w:rsidR="00E3026C" w:rsidRPr="00EC1E01" w:rsidRDefault="00A112F1">
            <w:pPr>
              <w:rPr>
                <w:rFonts w:asciiTheme="minorHAnsi" w:hAnsiTheme="minorHAnsi" w:cstheme="minorHAnsi"/>
                <w:szCs w:val="22"/>
              </w:rPr>
            </w:pPr>
            <w:r w:rsidRPr="00EC1E01">
              <w:rPr>
                <w:rFonts w:asciiTheme="minorHAnsi" w:hAnsiTheme="minorHAnsi" w:cstheme="minorHAnsi"/>
                <w:szCs w:val="22"/>
              </w:rPr>
              <w:t xml:space="preserve">100 </w:t>
            </w:r>
            <w:r w:rsidR="00E3026C" w:rsidRPr="00EC1E01">
              <w:rPr>
                <w:rFonts w:asciiTheme="minorHAnsi" w:hAnsiTheme="minorHAnsi" w:cstheme="minorHAnsi"/>
                <w:szCs w:val="22"/>
              </w:rPr>
              <w:t xml:space="preserve">consultations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2EAF343" w14:textId="74C5BE96" w:rsidR="00E3026C" w:rsidRPr="00EC1E01" w:rsidRDefault="00A112F1">
            <w:pPr>
              <w:rPr>
                <w:rFonts w:asciiTheme="minorHAnsi" w:hAnsiTheme="minorHAnsi" w:cstheme="minorHAnsi"/>
                <w:szCs w:val="22"/>
              </w:rPr>
            </w:pPr>
            <w:r w:rsidRPr="00EC1E01">
              <w:rPr>
                <w:rFonts w:asciiTheme="minorHAnsi" w:hAnsiTheme="minorHAnsi" w:cstheme="minorHAnsi"/>
                <w:szCs w:val="22"/>
              </w:rPr>
              <w:t xml:space="preserve">100 </w:t>
            </w:r>
            <w:r w:rsidR="00E3026C" w:rsidRPr="00EC1E01">
              <w:rPr>
                <w:rFonts w:asciiTheme="minorHAnsi" w:hAnsiTheme="minorHAnsi" w:cstheme="minorHAnsi"/>
                <w:szCs w:val="22"/>
              </w:rPr>
              <w:t xml:space="preserve">consultations </w:t>
            </w:r>
          </w:p>
        </w:tc>
        <w:tc>
          <w:tcPr>
            <w:tcW w:w="1617" w:type="dxa"/>
            <w:tcBorders>
              <w:top w:val="single" w:sz="4" w:space="0" w:color="auto"/>
              <w:left w:val="single" w:sz="4" w:space="0" w:color="auto"/>
              <w:bottom w:val="single" w:sz="4" w:space="0" w:color="auto"/>
              <w:right w:val="single" w:sz="4" w:space="0" w:color="auto"/>
            </w:tcBorders>
          </w:tcPr>
          <w:p w14:paraId="3A834B53" w14:textId="71407289" w:rsidR="00E3026C" w:rsidRPr="00EC1E01" w:rsidRDefault="00A112F1">
            <w:pPr>
              <w:rPr>
                <w:rFonts w:asciiTheme="minorHAnsi" w:hAnsiTheme="minorHAnsi" w:cstheme="minorHAnsi"/>
                <w:szCs w:val="22"/>
              </w:rPr>
            </w:pPr>
            <w:r w:rsidRPr="00EC1E01">
              <w:rPr>
                <w:rFonts w:asciiTheme="minorHAnsi" w:hAnsiTheme="minorHAnsi" w:cstheme="minorHAnsi"/>
                <w:szCs w:val="22"/>
              </w:rPr>
              <w:t xml:space="preserve">100 </w:t>
            </w:r>
            <w:r w:rsidR="00E3026C" w:rsidRPr="00EC1E01">
              <w:rPr>
                <w:rFonts w:asciiTheme="minorHAnsi" w:hAnsiTheme="minorHAnsi" w:cstheme="minorHAnsi"/>
                <w:szCs w:val="22"/>
              </w:rPr>
              <w:t xml:space="preserve">consultations </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9ED7DE7" w14:textId="77777777" w:rsidR="00E3026C" w:rsidRPr="00EC1E01" w:rsidRDefault="00E3026C">
            <w:pPr>
              <w:rPr>
                <w:rFonts w:asciiTheme="minorHAnsi" w:hAnsiTheme="minorHAnsi" w:cstheme="minorHAnsi"/>
                <w:szCs w:val="22"/>
              </w:rPr>
            </w:pPr>
            <w:r w:rsidRPr="00EC1E01">
              <w:rPr>
                <w:rFonts w:asciiTheme="minorHAnsi" w:hAnsiTheme="minorHAnsi" w:cstheme="minorHAnsi"/>
                <w:szCs w:val="22"/>
              </w:rPr>
              <w:t>ACE tracker</w:t>
            </w:r>
          </w:p>
        </w:tc>
      </w:tr>
      <w:tr w:rsidR="00E3026C" w:rsidRPr="00EC1E01" w14:paraId="349D6217" w14:textId="77777777" w:rsidTr="00EB754F">
        <w:trPr>
          <w:trHeight w:val="523"/>
        </w:trPr>
        <w:tc>
          <w:tcPr>
            <w:tcW w:w="7372"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A456A7C" w14:textId="5DF69293" w:rsidR="00E3026C" w:rsidRPr="00EC1E01" w:rsidRDefault="00E3026C">
            <w:pPr>
              <w:rPr>
                <w:rFonts w:asciiTheme="minorHAnsi" w:hAnsiTheme="minorHAnsi" w:cstheme="minorHAnsi"/>
                <w:szCs w:val="22"/>
              </w:rPr>
            </w:pPr>
            <w:r w:rsidRPr="00EC1E01">
              <w:rPr>
                <w:rFonts w:asciiTheme="minorHAnsi" w:hAnsiTheme="minorHAnsi" w:cstheme="minorHAnsi"/>
                <w:color w:val="000000"/>
                <w:szCs w:val="22"/>
              </w:rPr>
              <w:t>3.2 N</w:t>
            </w:r>
            <w:r w:rsidR="002A208F" w:rsidRPr="00EC1E01">
              <w:rPr>
                <w:rFonts w:asciiTheme="minorHAnsi" w:hAnsiTheme="minorHAnsi" w:cstheme="minorHAnsi"/>
                <w:color w:val="000000"/>
                <w:szCs w:val="22"/>
              </w:rPr>
              <w:t xml:space="preserve">ew </w:t>
            </w:r>
            <w:r w:rsidRPr="00EC1E01">
              <w:rPr>
                <w:rFonts w:asciiTheme="minorHAnsi" w:hAnsiTheme="minorHAnsi" w:cstheme="minorHAnsi"/>
                <w:color w:val="000000"/>
                <w:szCs w:val="22"/>
              </w:rPr>
              <w:t>P</w:t>
            </w:r>
            <w:r w:rsidR="002A208F" w:rsidRPr="00EC1E01">
              <w:rPr>
                <w:rFonts w:asciiTheme="minorHAnsi" w:hAnsiTheme="minorHAnsi" w:cstheme="minorHAnsi"/>
                <w:color w:val="000000"/>
                <w:szCs w:val="22"/>
              </w:rPr>
              <w:t xml:space="preserve">olicy </w:t>
            </w:r>
            <w:r w:rsidRPr="00EC1E01">
              <w:rPr>
                <w:rFonts w:asciiTheme="minorHAnsi" w:hAnsiTheme="minorHAnsi" w:cstheme="minorHAnsi"/>
                <w:color w:val="000000"/>
                <w:szCs w:val="22"/>
              </w:rPr>
              <w:t>P</w:t>
            </w:r>
            <w:r w:rsidR="002A208F" w:rsidRPr="00EC1E01">
              <w:rPr>
                <w:rFonts w:asciiTheme="minorHAnsi" w:hAnsiTheme="minorHAnsi" w:cstheme="minorHAnsi"/>
                <w:color w:val="000000"/>
                <w:szCs w:val="22"/>
              </w:rPr>
              <w:t>roposal</w:t>
            </w:r>
            <w:r w:rsidRPr="00EC1E01">
              <w:rPr>
                <w:rFonts w:asciiTheme="minorHAnsi" w:hAnsiTheme="minorHAnsi" w:cstheme="minorHAnsi"/>
                <w:color w:val="000000"/>
                <w:szCs w:val="22"/>
              </w:rPr>
              <w:t>s reviewed/advised on</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412FA8E" w14:textId="7B768967" w:rsidR="00E3026C" w:rsidRPr="00EC1E01" w:rsidRDefault="002A208F">
            <w:pPr>
              <w:rPr>
                <w:rFonts w:asciiTheme="minorHAnsi" w:hAnsiTheme="minorHAnsi" w:cstheme="minorHAnsi"/>
                <w:szCs w:val="22"/>
              </w:rPr>
            </w:pPr>
            <w:r w:rsidRPr="00EC1E01">
              <w:rPr>
                <w:rFonts w:asciiTheme="minorHAnsi" w:hAnsiTheme="minorHAnsi" w:cstheme="minorHAnsi"/>
                <w:color w:val="000000"/>
                <w:szCs w:val="22"/>
              </w:rPr>
              <w:t xml:space="preserve">New Policy Proposals </w:t>
            </w:r>
            <w:r w:rsidR="00E3026C" w:rsidRPr="00EC1E01">
              <w:rPr>
                <w:rFonts w:asciiTheme="minorHAnsi" w:hAnsiTheme="minorHAnsi" w:cstheme="minorHAnsi"/>
                <w:szCs w:val="22"/>
              </w:rPr>
              <w:t>reviewed/advised 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722D574" w14:textId="16E0483D" w:rsidR="00E3026C" w:rsidRPr="00EC1E01" w:rsidRDefault="002A208F">
            <w:pPr>
              <w:rPr>
                <w:rFonts w:asciiTheme="minorHAnsi" w:hAnsiTheme="minorHAnsi" w:cstheme="minorHAnsi"/>
                <w:szCs w:val="22"/>
              </w:rPr>
            </w:pPr>
            <w:r w:rsidRPr="00EC1E01">
              <w:rPr>
                <w:rFonts w:asciiTheme="minorHAnsi" w:hAnsiTheme="minorHAnsi" w:cstheme="minorHAnsi"/>
                <w:color w:val="000000"/>
                <w:szCs w:val="22"/>
              </w:rPr>
              <w:t xml:space="preserve">New Policy Proposals </w:t>
            </w:r>
            <w:r w:rsidR="00E3026C" w:rsidRPr="00EC1E01">
              <w:rPr>
                <w:rFonts w:asciiTheme="minorHAnsi" w:hAnsiTheme="minorHAnsi" w:cstheme="minorHAnsi"/>
                <w:szCs w:val="22"/>
              </w:rPr>
              <w:t>reviewed/advised 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E63A200" w14:textId="5F999626" w:rsidR="00E3026C" w:rsidRPr="00EC1E01" w:rsidRDefault="002A208F">
            <w:pPr>
              <w:rPr>
                <w:rFonts w:asciiTheme="minorHAnsi" w:hAnsiTheme="minorHAnsi" w:cstheme="minorHAnsi"/>
                <w:szCs w:val="22"/>
              </w:rPr>
            </w:pPr>
            <w:r w:rsidRPr="00EC1E01">
              <w:rPr>
                <w:rFonts w:asciiTheme="minorHAnsi" w:hAnsiTheme="minorHAnsi" w:cstheme="minorHAnsi"/>
                <w:color w:val="000000"/>
                <w:szCs w:val="22"/>
              </w:rPr>
              <w:t xml:space="preserve">New Policy Proposals </w:t>
            </w:r>
            <w:r w:rsidR="00E3026C" w:rsidRPr="00EC1E01">
              <w:rPr>
                <w:rFonts w:asciiTheme="minorHAnsi" w:hAnsiTheme="minorHAnsi" w:cstheme="minorHAnsi"/>
                <w:szCs w:val="22"/>
              </w:rPr>
              <w:t>reviewed/advised on</w:t>
            </w:r>
          </w:p>
        </w:tc>
        <w:tc>
          <w:tcPr>
            <w:tcW w:w="1617" w:type="dxa"/>
            <w:tcBorders>
              <w:top w:val="single" w:sz="4" w:space="0" w:color="auto"/>
              <w:left w:val="single" w:sz="4" w:space="0" w:color="auto"/>
              <w:bottom w:val="single" w:sz="4" w:space="0" w:color="auto"/>
              <w:right w:val="single" w:sz="4" w:space="0" w:color="auto"/>
            </w:tcBorders>
          </w:tcPr>
          <w:p w14:paraId="5F4AB230" w14:textId="5379FCE2" w:rsidR="00E3026C" w:rsidRPr="00EC1E01" w:rsidRDefault="002A208F">
            <w:pPr>
              <w:rPr>
                <w:rFonts w:asciiTheme="minorHAnsi" w:hAnsiTheme="minorHAnsi" w:cstheme="minorHAnsi"/>
                <w:color w:val="000000" w:themeColor="text1"/>
                <w:szCs w:val="22"/>
              </w:rPr>
            </w:pPr>
            <w:r w:rsidRPr="00EC1E01">
              <w:rPr>
                <w:rFonts w:asciiTheme="minorHAnsi" w:hAnsiTheme="minorHAnsi" w:cstheme="minorHAnsi"/>
                <w:color w:val="000000"/>
                <w:szCs w:val="22"/>
              </w:rPr>
              <w:t xml:space="preserve">New Policy Proposals </w:t>
            </w:r>
            <w:r w:rsidR="00E3026C" w:rsidRPr="00EC1E01">
              <w:rPr>
                <w:rFonts w:asciiTheme="minorHAnsi" w:hAnsiTheme="minorHAnsi" w:cstheme="minorHAnsi"/>
                <w:szCs w:val="22"/>
              </w:rPr>
              <w:t>reviewed/advised on</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FA2D39F" w14:textId="77777777" w:rsidR="00E3026C" w:rsidRPr="00EC1E01" w:rsidRDefault="00E3026C">
            <w:pPr>
              <w:rPr>
                <w:rFonts w:asciiTheme="minorHAnsi" w:hAnsiTheme="minorHAnsi" w:cstheme="minorHAnsi"/>
                <w:color w:val="000000" w:themeColor="text1"/>
                <w:szCs w:val="22"/>
              </w:rPr>
            </w:pPr>
            <w:r w:rsidRPr="00EC1E01">
              <w:rPr>
                <w:rFonts w:asciiTheme="minorHAnsi" w:hAnsiTheme="minorHAnsi" w:cstheme="minorHAnsi"/>
                <w:color w:val="000000" w:themeColor="text1"/>
                <w:szCs w:val="22"/>
              </w:rPr>
              <w:t>ACE tracker</w:t>
            </w:r>
          </w:p>
        </w:tc>
      </w:tr>
      <w:tr w:rsidR="00E3026C" w:rsidRPr="00EC1E01" w14:paraId="75F93A32" w14:textId="77777777" w:rsidTr="00EB754F">
        <w:trPr>
          <w:trHeight w:val="523"/>
        </w:trPr>
        <w:tc>
          <w:tcPr>
            <w:tcW w:w="7372"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4C8D257" w14:textId="42F6150E" w:rsidR="00E3026C" w:rsidRPr="00EC1E01" w:rsidRDefault="00E3026C">
            <w:pPr>
              <w:rPr>
                <w:rFonts w:asciiTheme="minorHAnsi" w:hAnsiTheme="minorHAnsi" w:cstheme="minorHAnsi"/>
                <w:color w:val="000000"/>
                <w:szCs w:val="22"/>
              </w:rPr>
            </w:pPr>
            <w:r w:rsidRPr="00EC1E01">
              <w:rPr>
                <w:rFonts w:asciiTheme="minorHAnsi" w:hAnsiTheme="minorHAnsi" w:cstheme="minorHAnsi"/>
                <w:color w:val="000000"/>
                <w:szCs w:val="22"/>
              </w:rPr>
              <w:t>3.3 P</w:t>
            </w:r>
            <w:r w:rsidR="002A208F" w:rsidRPr="00EC1E01">
              <w:rPr>
                <w:rFonts w:asciiTheme="minorHAnsi" w:hAnsiTheme="minorHAnsi" w:cstheme="minorHAnsi"/>
                <w:color w:val="000000"/>
                <w:szCs w:val="22"/>
              </w:rPr>
              <w:t xml:space="preserve">ost Implementation Reviews </w:t>
            </w:r>
            <w:r w:rsidRPr="00EC1E01">
              <w:rPr>
                <w:rFonts w:asciiTheme="minorHAnsi" w:hAnsiTheme="minorHAnsi" w:cstheme="minorHAnsi"/>
                <w:color w:val="000000"/>
                <w:szCs w:val="22"/>
              </w:rPr>
              <w:t>reviewed/advised on</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73A201B" w14:textId="34E9D5CB" w:rsidR="00E3026C" w:rsidRPr="00EC1E01" w:rsidRDefault="002A208F">
            <w:pPr>
              <w:rPr>
                <w:rFonts w:asciiTheme="minorHAnsi" w:hAnsiTheme="minorHAnsi" w:cstheme="minorHAnsi"/>
                <w:szCs w:val="22"/>
              </w:rPr>
            </w:pPr>
            <w:r w:rsidRPr="00EC1E01">
              <w:rPr>
                <w:rFonts w:asciiTheme="minorHAnsi" w:hAnsiTheme="minorHAnsi" w:cstheme="minorHAnsi"/>
                <w:szCs w:val="22"/>
              </w:rPr>
              <w:t xml:space="preserve">Reviews </w:t>
            </w:r>
            <w:r w:rsidR="00E3026C" w:rsidRPr="00EC1E01">
              <w:rPr>
                <w:rFonts w:asciiTheme="minorHAnsi" w:hAnsiTheme="minorHAnsi" w:cstheme="minorHAnsi"/>
                <w:szCs w:val="22"/>
              </w:rPr>
              <w:t>advised on</w:t>
            </w:r>
            <w:r w:rsidR="00A6648E" w:rsidRPr="00EC1E01">
              <w:rPr>
                <w:rFonts w:asciiTheme="minorHAnsi" w:hAnsiTheme="minorHAnsi" w:cstheme="minorHAnsi"/>
                <w:szCs w:val="22"/>
              </w:rPr>
              <w:t xml:space="preserve"> and certified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0BEE971C" w14:textId="41D95745" w:rsidR="00E3026C" w:rsidRPr="00EC1E01" w:rsidRDefault="002A208F">
            <w:pPr>
              <w:rPr>
                <w:rFonts w:asciiTheme="minorHAnsi" w:hAnsiTheme="minorHAnsi" w:cstheme="minorHAnsi"/>
                <w:szCs w:val="22"/>
              </w:rPr>
            </w:pPr>
            <w:r w:rsidRPr="00EC1E01">
              <w:rPr>
                <w:rFonts w:asciiTheme="minorHAnsi" w:hAnsiTheme="minorHAnsi" w:cstheme="minorHAnsi"/>
                <w:szCs w:val="22"/>
              </w:rPr>
              <w:t xml:space="preserve">Reviews </w:t>
            </w:r>
            <w:r w:rsidR="00E3026C" w:rsidRPr="00EC1E01">
              <w:rPr>
                <w:rFonts w:asciiTheme="minorHAnsi" w:hAnsiTheme="minorHAnsi" w:cstheme="minorHAnsi"/>
                <w:szCs w:val="22"/>
              </w:rPr>
              <w:t>advised on</w:t>
            </w:r>
            <w:r w:rsidR="00A6648E" w:rsidRPr="00EC1E01">
              <w:rPr>
                <w:rFonts w:asciiTheme="minorHAnsi" w:hAnsiTheme="minorHAnsi" w:cstheme="minorHAnsi"/>
                <w:szCs w:val="22"/>
              </w:rPr>
              <w:t xml:space="preserve"> and certified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B27C4D8" w14:textId="0FBA9B7A" w:rsidR="00E3026C" w:rsidRPr="00EC1E01" w:rsidRDefault="002A208F">
            <w:pPr>
              <w:rPr>
                <w:rFonts w:asciiTheme="minorHAnsi" w:hAnsiTheme="minorHAnsi" w:cstheme="minorHAnsi"/>
                <w:szCs w:val="22"/>
              </w:rPr>
            </w:pPr>
            <w:r w:rsidRPr="00EC1E01">
              <w:rPr>
                <w:rFonts w:asciiTheme="minorHAnsi" w:hAnsiTheme="minorHAnsi" w:cstheme="minorHAnsi"/>
                <w:szCs w:val="22"/>
              </w:rPr>
              <w:t xml:space="preserve">Reviews </w:t>
            </w:r>
            <w:r w:rsidR="00E3026C" w:rsidRPr="00EC1E01">
              <w:rPr>
                <w:rFonts w:asciiTheme="minorHAnsi" w:hAnsiTheme="minorHAnsi" w:cstheme="minorHAnsi"/>
                <w:szCs w:val="22"/>
              </w:rPr>
              <w:t>advised on</w:t>
            </w:r>
            <w:r w:rsidR="00A6648E" w:rsidRPr="00EC1E01">
              <w:rPr>
                <w:rFonts w:asciiTheme="minorHAnsi" w:hAnsiTheme="minorHAnsi" w:cstheme="minorHAnsi"/>
                <w:szCs w:val="22"/>
              </w:rPr>
              <w:t xml:space="preserve"> and certified</w:t>
            </w:r>
          </w:p>
        </w:tc>
        <w:tc>
          <w:tcPr>
            <w:tcW w:w="1617" w:type="dxa"/>
            <w:tcBorders>
              <w:top w:val="single" w:sz="4" w:space="0" w:color="auto"/>
              <w:left w:val="single" w:sz="4" w:space="0" w:color="auto"/>
              <w:bottom w:val="single" w:sz="4" w:space="0" w:color="auto"/>
              <w:right w:val="single" w:sz="4" w:space="0" w:color="auto"/>
            </w:tcBorders>
          </w:tcPr>
          <w:p w14:paraId="1FB76ABD" w14:textId="4D73456E" w:rsidR="00E3026C" w:rsidRPr="00EC1E01" w:rsidRDefault="002A208F">
            <w:pPr>
              <w:rPr>
                <w:rFonts w:asciiTheme="minorHAnsi" w:hAnsiTheme="minorHAnsi" w:cstheme="minorHAnsi"/>
                <w:color w:val="000000" w:themeColor="text1"/>
                <w:szCs w:val="22"/>
              </w:rPr>
            </w:pPr>
            <w:r w:rsidRPr="00EC1E01">
              <w:rPr>
                <w:rFonts w:asciiTheme="minorHAnsi" w:hAnsiTheme="minorHAnsi" w:cstheme="minorHAnsi"/>
                <w:szCs w:val="22"/>
              </w:rPr>
              <w:t xml:space="preserve">Reviews </w:t>
            </w:r>
            <w:r w:rsidR="00E3026C" w:rsidRPr="00EC1E01">
              <w:rPr>
                <w:rFonts w:asciiTheme="minorHAnsi" w:hAnsiTheme="minorHAnsi" w:cstheme="minorHAnsi"/>
                <w:szCs w:val="22"/>
              </w:rPr>
              <w:t>advised on</w:t>
            </w:r>
            <w:r w:rsidR="00A6648E" w:rsidRPr="00EC1E01">
              <w:rPr>
                <w:rFonts w:asciiTheme="minorHAnsi" w:hAnsiTheme="minorHAnsi" w:cstheme="minorHAnsi"/>
                <w:szCs w:val="22"/>
              </w:rPr>
              <w:t xml:space="preserve"> and certified</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A868716" w14:textId="77777777" w:rsidR="00E3026C" w:rsidRPr="00EC1E01" w:rsidRDefault="00E3026C">
            <w:pPr>
              <w:rPr>
                <w:rFonts w:asciiTheme="minorHAnsi" w:hAnsiTheme="minorHAnsi" w:cstheme="minorHAnsi"/>
                <w:color w:val="000000" w:themeColor="text1"/>
                <w:szCs w:val="22"/>
              </w:rPr>
            </w:pPr>
            <w:r w:rsidRPr="00EC1E01">
              <w:rPr>
                <w:rFonts w:asciiTheme="minorHAnsi" w:hAnsiTheme="minorHAnsi" w:cstheme="minorHAnsi"/>
                <w:color w:val="000000" w:themeColor="text1"/>
                <w:szCs w:val="22"/>
              </w:rPr>
              <w:t>ACE tracker</w:t>
            </w:r>
          </w:p>
        </w:tc>
      </w:tr>
    </w:tbl>
    <w:p w14:paraId="4F319996" w14:textId="77777777" w:rsidR="004477BD" w:rsidRPr="00EC1E01" w:rsidRDefault="004477BD" w:rsidP="003F64C5">
      <w:pPr>
        <w:rPr>
          <w:rFonts w:asciiTheme="minorHAnsi" w:hAnsiTheme="minorHAnsi" w:cstheme="minorHAnsi"/>
          <w:szCs w:val="22"/>
        </w:rPr>
      </w:pPr>
    </w:p>
    <w:p w14:paraId="68B81762" w14:textId="77777777" w:rsidR="00E3026C" w:rsidRPr="00EC1E01" w:rsidRDefault="00E3026C" w:rsidP="003F64C5">
      <w:pPr>
        <w:rPr>
          <w:rFonts w:asciiTheme="minorHAnsi" w:hAnsiTheme="minorHAnsi" w:cstheme="minorHAnsi"/>
          <w:szCs w:val="22"/>
        </w:rPr>
      </w:pPr>
    </w:p>
    <w:tbl>
      <w:tblPr>
        <w:tblpPr w:leftFromText="180" w:rightFromText="180" w:vertAnchor="text" w:tblpX="-292" w:tblpY="1"/>
        <w:tblOverlap w:val="never"/>
        <w:tblW w:w="29736" w:type="dxa"/>
        <w:tblLayout w:type="fixed"/>
        <w:tblCellMar>
          <w:left w:w="0" w:type="dxa"/>
          <w:right w:w="0" w:type="dxa"/>
        </w:tblCellMar>
        <w:tblLook w:val="0420" w:firstRow="1" w:lastRow="0" w:firstColumn="0" w:lastColumn="0" w:noHBand="0" w:noVBand="1"/>
      </w:tblPr>
      <w:tblGrid>
        <w:gridCol w:w="7363"/>
        <w:gridCol w:w="1843"/>
        <w:gridCol w:w="1701"/>
        <w:gridCol w:w="1701"/>
        <w:gridCol w:w="1559"/>
        <w:gridCol w:w="993"/>
        <w:gridCol w:w="3644"/>
        <w:gridCol w:w="3644"/>
        <w:gridCol w:w="3644"/>
        <w:gridCol w:w="3644"/>
      </w:tblGrid>
      <w:tr w:rsidR="00B56ECD" w:rsidRPr="00EC1E01" w14:paraId="1EB84728" w14:textId="77777777" w:rsidTr="001A0BD7">
        <w:trPr>
          <w:trHeight w:val="552"/>
          <w:tblHeader/>
        </w:trPr>
        <w:tc>
          <w:tcPr>
            <w:tcW w:w="15160" w:type="dxa"/>
            <w:gridSpan w:val="6"/>
            <w:tcBorders>
              <w:top w:val="single" w:sz="6" w:space="0" w:color="CACAC8"/>
              <w:left w:val="single" w:sz="6" w:space="0" w:color="CACAC8"/>
              <w:bottom w:val="single" w:sz="4" w:space="0" w:color="auto"/>
              <w:right w:val="single" w:sz="6" w:space="0" w:color="CACAC8"/>
            </w:tcBorders>
            <w:shd w:val="clear" w:color="auto" w:fill="2C384A" w:themeFill="accent1"/>
          </w:tcPr>
          <w:p w14:paraId="50CB9F7B" w14:textId="54C30A4D" w:rsidR="00B56ECD" w:rsidRPr="00EC1E01" w:rsidRDefault="00B56ECD">
            <w:pPr>
              <w:pStyle w:val="Bullet"/>
              <w:numPr>
                <w:ilvl w:val="0"/>
                <w:numId w:val="0"/>
              </w:numPr>
              <w:ind w:left="520" w:hanging="520"/>
              <w:rPr>
                <w:rFonts w:asciiTheme="minorHAnsi" w:hAnsiTheme="minorHAnsi" w:cstheme="minorHAnsi"/>
                <w:b/>
                <w:bCs/>
                <w:color w:val="FFFFFF" w:themeColor="background1"/>
                <w:szCs w:val="22"/>
              </w:rPr>
            </w:pPr>
            <w:r w:rsidRPr="00EC1E01">
              <w:rPr>
                <w:rFonts w:asciiTheme="minorHAnsi" w:hAnsiTheme="minorHAnsi" w:cstheme="minorHAnsi"/>
                <w:b/>
                <w:bCs/>
                <w:color w:val="FFFFFF" w:themeColor="background1"/>
                <w:szCs w:val="22"/>
              </w:rPr>
              <w:t xml:space="preserve">OUTCOME </w:t>
            </w:r>
            <w:r w:rsidR="00430520" w:rsidRPr="00EC1E01">
              <w:rPr>
                <w:rFonts w:asciiTheme="minorHAnsi" w:hAnsiTheme="minorHAnsi" w:cstheme="minorHAnsi"/>
                <w:b/>
                <w:bCs/>
                <w:color w:val="FFFFFF" w:themeColor="background1"/>
                <w:szCs w:val="22"/>
              </w:rPr>
              <w:t>4.1</w:t>
            </w:r>
            <w:r w:rsidRPr="00EC1E01">
              <w:rPr>
                <w:rFonts w:asciiTheme="minorHAnsi" w:hAnsiTheme="minorHAnsi" w:cstheme="minorHAnsi"/>
                <w:b/>
                <w:bCs/>
                <w:color w:val="FFFFFF" w:themeColor="background1"/>
                <w:szCs w:val="22"/>
              </w:rPr>
              <w:t xml:space="preserve">: Increased capability across the APS to design, procure and deliver high-quality, </w:t>
            </w:r>
            <w:r w:rsidR="0050542D">
              <w:rPr>
                <w:rFonts w:asciiTheme="minorHAnsi" w:hAnsiTheme="minorHAnsi" w:cstheme="minorHAnsi"/>
                <w:b/>
                <w:bCs/>
                <w:color w:val="FFFFFF" w:themeColor="background1"/>
                <w:szCs w:val="22"/>
              </w:rPr>
              <w:t>ethical</w:t>
            </w:r>
            <w:r w:rsidR="0002574E">
              <w:rPr>
                <w:rFonts w:asciiTheme="minorHAnsi" w:hAnsiTheme="minorHAnsi" w:cstheme="minorHAnsi"/>
                <w:b/>
                <w:bCs/>
                <w:color w:val="FFFFFF" w:themeColor="background1"/>
                <w:szCs w:val="22"/>
              </w:rPr>
              <w:t xml:space="preserve"> and </w:t>
            </w:r>
            <w:r w:rsidRPr="00EC1E01">
              <w:rPr>
                <w:rFonts w:asciiTheme="minorHAnsi" w:hAnsiTheme="minorHAnsi" w:cstheme="minorHAnsi"/>
                <w:b/>
                <w:bCs/>
                <w:color w:val="FFFFFF" w:themeColor="background1"/>
                <w:szCs w:val="22"/>
              </w:rPr>
              <w:t>culturally appropriate evaluation</w:t>
            </w:r>
          </w:p>
        </w:tc>
        <w:tc>
          <w:tcPr>
            <w:tcW w:w="3644" w:type="dxa"/>
          </w:tcPr>
          <w:p w14:paraId="2EB21C3C" w14:textId="77777777" w:rsidR="00B56ECD" w:rsidRPr="00EC1E01" w:rsidRDefault="00B56ECD">
            <w:pPr>
              <w:rPr>
                <w:rFonts w:asciiTheme="minorHAnsi" w:hAnsiTheme="minorHAnsi" w:cstheme="minorHAnsi"/>
                <w:szCs w:val="22"/>
              </w:rPr>
            </w:pPr>
          </w:p>
        </w:tc>
        <w:tc>
          <w:tcPr>
            <w:tcW w:w="3644" w:type="dxa"/>
          </w:tcPr>
          <w:p w14:paraId="01F1E884" w14:textId="77777777" w:rsidR="00B56ECD" w:rsidRPr="00EC1E01" w:rsidRDefault="00B56ECD">
            <w:pPr>
              <w:rPr>
                <w:rFonts w:asciiTheme="minorHAnsi" w:hAnsiTheme="minorHAnsi" w:cstheme="minorHAnsi"/>
                <w:szCs w:val="22"/>
              </w:rPr>
            </w:pPr>
          </w:p>
        </w:tc>
        <w:tc>
          <w:tcPr>
            <w:tcW w:w="3644" w:type="dxa"/>
          </w:tcPr>
          <w:p w14:paraId="3871C4B4" w14:textId="77777777" w:rsidR="00B56ECD" w:rsidRPr="00EC1E01" w:rsidRDefault="00B56ECD">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7F94026F" w14:textId="77777777" w:rsidR="00B56ECD" w:rsidRPr="00EC1E01" w:rsidRDefault="00B56ECD">
            <w:pPr>
              <w:rPr>
                <w:rFonts w:asciiTheme="minorHAnsi" w:hAnsiTheme="minorHAnsi" w:cstheme="minorHAnsi"/>
                <w:szCs w:val="22"/>
              </w:rPr>
            </w:pPr>
            <w:r w:rsidRPr="00EC1E01">
              <w:rPr>
                <w:rFonts w:asciiTheme="minorHAnsi" w:hAnsiTheme="minorHAnsi" w:cstheme="minorHAnsi"/>
                <w:b/>
                <w:bCs/>
                <w:color w:val="000000" w:themeColor="text1"/>
                <w:szCs w:val="22"/>
              </w:rPr>
              <w:t>2025-26</w:t>
            </w:r>
          </w:p>
        </w:tc>
        <w:tc>
          <w:tcPr>
            <w:tcW w:w="3644" w:type="dxa"/>
          </w:tcPr>
          <w:p w14:paraId="6C2E5362" w14:textId="77777777" w:rsidR="00B56ECD" w:rsidRPr="00EC1E01" w:rsidRDefault="00B56ECD">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4841C891" w14:textId="77777777" w:rsidR="00B56ECD" w:rsidRPr="00EC1E01" w:rsidRDefault="00B56ECD">
            <w:pPr>
              <w:rPr>
                <w:rFonts w:asciiTheme="minorHAnsi" w:hAnsiTheme="minorHAnsi" w:cstheme="minorHAnsi"/>
                <w:szCs w:val="22"/>
              </w:rPr>
            </w:pPr>
            <w:r w:rsidRPr="00EC1E01">
              <w:rPr>
                <w:rFonts w:asciiTheme="minorHAnsi" w:hAnsiTheme="minorHAnsi" w:cstheme="minorHAnsi"/>
                <w:b/>
                <w:bCs/>
                <w:color w:val="000000" w:themeColor="text1"/>
                <w:szCs w:val="22"/>
              </w:rPr>
              <w:t>2026-27</w:t>
            </w:r>
          </w:p>
        </w:tc>
      </w:tr>
      <w:tr w:rsidR="00B56ECD" w:rsidRPr="00EC1E01" w14:paraId="18E406BF" w14:textId="77777777" w:rsidTr="00C85CA7">
        <w:trPr>
          <w:gridAfter w:val="2"/>
          <w:wAfter w:w="7288" w:type="dxa"/>
          <w:trHeight w:val="422"/>
          <w:tblHeader/>
        </w:trPr>
        <w:tc>
          <w:tcPr>
            <w:tcW w:w="736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E8E9343" w14:textId="32E6B132" w:rsidR="00B56ECD" w:rsidRPr="00EC1E01" w:rsidRDefault="00B56ECD">
            <w:pPr>
              <w:rPr>
                <w:rFonts w:asciiTheme="minorHAnsi" w:hAnsiTheme="minorHAnsi" w:cstheme="minorHAnsi"/>
                <w:color w:val="00B0F0"/>
                <w:szCs w:val="22"/>
              </w:rPr>
            </w:pPr>
            <w:r w:rsidRPr="00EC1E01">
              <w:rPr>
                <w:rFonts w:asciiTheme="minorHAnsi" w:hAnsiTheme="minorHAnsi" w:cstheme="minorHAnsi"/>
                <w:b/>
                <w:bCs/>
                <w:color w:val="000000" w:themeColor="text1"/>
                <w:szCs w:val="22"/>
              </w:rPr>
              <w:t>Output</w:t>
            </w:r>
            <w:r w:rsidR="001C6137" w:rsidRPr="00EC1E01">
              <w:rPr>
                <w:rFonts w:asciiTheme="minorHAnsi" w:hAnsiTheme="minorHAnsi" w:cstheme="minorHAnsi"/>
                <w:b/>
                <w:bCs/>
                <w:color w:val="000000" w:themeColor="text1"/>
                <w:szCs w:val="22"/>
              </w:rPr>
              <w:t>s</w:t>
            </w:r>
            <w:r w:rsidRPr="00EC1E01">
              <w:rPr>
                <w:rFonts w:asciiTheme="minorHAnsi" w:hAnsiTheme="minorHAnsi" w:cstheme="minorHAnsi"/>
                <w:b/>
                <w:bCs/>
                <w:color w:val="000000" w:themeColor="text1"/>
                <w:szCs w:val="22"/>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EB440FD" w14:textId="77777777" w:rsidR="00B56ECD" w:rsidRPr="00EC1E01" w:rsidRDefault="00B56ECD">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442E06F9" w14:textId="77777777" w:rsidR="00B56ECD" w:rsidRPr="00EC1E01" w:rsidRDefault="00B56ECD">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2023-24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4CE48DD" w14:textId="77777777" w:rsidR="00B56ECD" w:rsidRPr="00EC1E01" w:rsidRDefault="00B56ECD">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68CE07EC" w14:textId="77777777" w:rsidR="00B56ECD" w:rsidRPr="00EC1E01" w:rsidRDefault="00B56ECD">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2024-25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312C712" w14:textId="77777777" w:rsidR="00B56ECD" w:rsidRPr="00EC1E01" w:rsidRDefault="00B56ECD">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426BCB51" w14:textId="77777777" w:rsidR="00B56ECD" w:rsidRPr="00EC1E01" w:rsidRDefault="00B56ECD">
            <w:pPr>
              <w:rPr>
                <w:rFonts w:asciiTheme="minorHAnsi" w:hAnsiTheme="minorHAnsi" w:cstheme="minorHAnsi"/>
                <w:b/>
                <w:bCs/>
                <w:color w:val="00B0F0"/>
                <w:szCs w:val="22"/>
              </w:rPr>
            </w:pPr>
            <w:r w:rsidRPr="00EC1E01">
              <w:rPr>
                <w:rFonts w:asciiTheme="minorHAnsi" w:hAnsiTheme="minorHAnsi" w:cstheme="minorHAnsi"/>
                <w:b/>
                <w:bCs/>
                <w:color w:val="000000" w:themeColor="text1"/>
                <w:szCs w:val="22"/>
              </w:rPr>
              <w:t>2025-26</w:t>
            </w:r>
          </w:p>
        </w:tc>
        <w:tc>
          <w:tcPr>
            <w:tcW w:w="1559" w:type="dxa"/>
            <w:tcBorders>
              <w:top w:val="single" w:sz="4" w:space="0" w:color="auto"/>
              <w:left w:val="single" w:sz="4" w:space="0" w:color="auto"/>
              <w:bottom w:val="single" w:sz="4" w:space="0" w:color="auto"/>
              <w:right w:val="single" w:sz="4" w:space="0" w:color="auto"/>
            </w:tcBorders>
          </w:tcPr>
          <w:p w14:paraId="3C63AABB" w14:textId="77777777" w:rsidR="00B56ECD" w:rsidRPr="00EC1E01" w:rsidRDefault="00B56ECD">
            <w:pPr>
              <w:rPr>
                <w:rFonts w:asciiTheme="minorHAnsi" w:hAnsiTheme="minorHAnsi" w:cstheme="minorHAnsi"/>
                <w:b/>
                <w:bCs/>
                <w:color w:val="000000" w:themeColor="text1"/>
                <w:szCs w:val="22"/>
              </w:rPr>
            </w:pPr>
            <w:r w:rsidRPr="00EC1E01">
              <w:rPr>
                <w:rFonts w:asciiTheme="minorHAnsi" w:hAnsiTheme="minorHAnsi" w:cstheme="minorHAnsi"/>
                <w:b/>
                <w:bCs/>
                <w:color w:val="000000" w:themeColor="text1"/>
                <w:szCs w:val="22"/>
              </w:rPr>
              <w:t xml:space="preserve">Target </w:t>
            </w:r>
          </w:p>
          <w:p w14:paraId="5699ACA3" w14:textId="53BE0F2B" w:rsidR="00B56ECD" w:rsidRPr="00EC1E01" w:rsidRDefault="00B56ECD">
            <w:pPr>
              <w:rPr>
                <w:rFonts w:asciiTheme="minorHAnsi" w:hAnsiTheme="minorHAnsi" w:cstheme="minorHAnsi"/>
                <w:b/>
                <w:bCs/>
                <w:color w:val="000000" w:themeColor="text1"/>
                <w:szCs w:val="22"/>
              </w:rPr>
            </w:pPr>
            <w:r w:rsidRPr="00EC1E01">
              <w:rPr>
                <w:rFonts w:asciiTheme="minorHAnsi" w:hAnsiTheme="minorHAnsi" w:cstheme="minorHAnsi"/>
                <w:b/>
                <w:color w:val="000000" w:themeColor="text1"/>
                <w:szCs w:val="22"/>
              </w:rPr>
              <w:t>202</w:t>
            </w:r>
            <w:r w:rsidR="00C85CA7">
              <w:rPr>
                <w:rFonts w:asciiTheme="minorHAnsi" w:hAnsiTheme="minorHAnsi" w:cstheme="minorHAnsi"/>
                <w:b/>
                <w:color w:val="000000" w:themeColor="text1"/>
                <w:szCs w:val="22"/>
              </w:rPr>
              <w:t>6</w:t>
            </w:r>
            <w:r w:rsidRPr="00EC1E01">
              <w:rPr>
                <w:rFonts w:asciiTheme="minorHAnsi" w:hAnsiTheme="minorHAnsi" w:cstheme="minorHAnsi"/>
                <w:b/>
                <w:color w:val="000000" w:themeColor="text1"/>
                <w:szCs w:val="22"/>
              </w:rPr>
              <w:t>-2</w:t>
            </w:r>
            <w:r w:rsidR="00C85CA7">
              <w:rPr>
                <w:rFonts w:asciiTheme="minorHAnsi" w:hAnsiTheme="minorHAnsi" w:cstheme="minorHAnsi"/>
                <w:b/>
                <w:color w:val="000000" w:themeColor="text1"/>
                <w:szCs w:val="22"/>
              </w:rPr>
              <w:t>7</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77FB97B" w14:textId="3E6B55C4" w:rsidR="00B56ECD" w:rsidRPr="00EC1E01" w:rsidRDefault="00C85CA7">
            <w:pPr>
              <w:rPr>
                <w:rFonts w:asciiTheme="minorHAnsi" w:hAnsiTheme="minorHAnsi" w:cstheme="minorHAnsi"/>
                <w:b/>
                <w:bCs/>
                <w:color w:val="00B0F0"/>
                <w:szCs w:val="22"/>
              </w:rPr>
            </w:pPr>
            <w:r>
              <w:rPr>
                <w:rFonts w:asciiTheme="minorHAnsi" w:hAnsiTheme="minorHAnsi" w:cstheme="minorHAnsi"/>
                <w:b/>
                <w:color w:val="000000" w:themeColor="text1"/>
                <w:szCs w:val="22"/>
              </w:rPr>
              <w:t>Data source</w:t>
            </w:r>
          </w:p>
        </w:tc>
        <w:tc>
          <w:tcPr>
            <w:tcW w:w="3644" w:type="dxa"/>
            <w:tcBorders>
              <w:left w:val="single" w:sz="4" w:space="0" w:color="auto"/>
            </w:tcBorders>
          </w:tcPr>
          <w:p w14:paraId="09FB81DF" w14:textId="77777777" w:rsidR="00B56ECD" w:rsidRPr="00EC1E01" w:rsidRDefault="00B56ECD">
            <w:pPr>
              <w:rPr>
                <w:rFonts w:asciiTheme="minorHAnsi" w:hAnsiTheme="minorHAnsi" w:cstheme="minorHAnsi"/>
                <w:szCs w:val="22"/>
              </w:rPr>
            </w:pPr>
          </w:p>
        </w:tc>
        <w:tc>
          <w:tcPr>
            <w:tcW w:w="3644" w:type="dxa"/>
          </w:tcPr>
          <w:p w14:paraId="10B207DB" w14:textId="77777777" w:rsidR="00B56ECD" w:rsidRPr="00EC1E01" w:rsidRDefault="00B56ECD">
            <w:pPr>
              <w:rPr>
                <w:rFonts w:asciiTheme="minorHAnsi" w:hAnsiTheme="minorHAnsi" w:cstheme="minorHAnsi"/>
                <w:szCs w:val="22"/>
              </w:rPr>
            </w:pPr>
          </w:p>
        </w:tc>
      </w:tr>
      <w:tr w:rsidR="00B56ECD" w:rsidRPr="00EC1E01" w14:paraId="2F2C1D4D" w14:textId="77777777" w:rsidTr="00C85CA7">
        <w:trPr>
          <w:gridAfter w:val="4"/>
          <w:wAfter w:w="14576" w:type="dxa"/>
          <w:trHeight w:val="275"/>
        </w:trPr>
        <w:tc>
          <w:tcPr>
            <w:tcW w:w="736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EE38AF9" w14:textId="4BBA3494" w:rsidR="00B56ECD" w:rsidRPr="00EC1E01" w:rsidRDefault="00B56ECD">
            <w:pPr>
              <w:rPr>
                <w:rFonts w:asciiTheme="minorHAnsi" w:hAnsiTheme="minorHAnsi" w:cstheme="minorHAnsi"/>
                <w:color w:val="000000"/>
                <w:szCs w:val="22"/>
              </w:rPr>
            </w:pPr>
            <w:r w:rsidRPr="00EC1E01">
              <w:rPr>
                <w:rFonts w:asciiTheme="minorHAnsi" w:hAnsiTheme="minorHAnsi" w:cstheme="minorHAnsi"/>
                <w:color w:val="000000" w:themeColor="text1"/>
                <w:szCs w:val="22"/>
              </w:rPr>
              <w:t>4.1 Evaluation online training courses developed for APSLearn</w:t>
            </w:r>
          </w:p>
          <w:p w14:paraId="7A577E7F" w14:textId="77777777" w:rsidR="00B56ECD" w:rsidRPr="00EC1E01" w:rsidRDefault="00B56ECD">
            <w:pPr>
              <w:rPr>
                <w:rFonts w:asciiTheme="minorHAnsi" w:hAnsiTheme="minorHAnsi" w:cstheme="minorHAnsi"/>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099CBAB6" w14:textId="2254CCD0" w:rsidR="00B56ECD" w:rsidRPr="00EC1E01" w:rsidRDefault="00A6648E">
            <w:pPr>
              <w:rPr>
                <w:rFonts w:asciiTheme="minorHAnsi" w:hAnsiTheme="minorHAnsi" w:cstheme="minorHAnsi"/>
                <w:szCs w:val="22"/>
              </w:rPr>
            </w:pPr>
            <w:r w:rsidRPr="00EC1E01">
              <w:rPr>
                <w:rFonts w:asciiTheme="minorHAnsi" w:hAnsiTheme="minorHAnsi" w:cstheme="minorHAnsi"/>
                <w:szCs w:val="22"/>
              </w:rPr>
              <w:t>3</w:t>
            </w:r>
            <w:r w:rsidR="00B56ECD" w:rsidRPr="00EC1E01">
              <w:rPr>
                <w:rFonts w:asciiTheme="minorHAnsi" w:hAnsiTheme="minorHAnsi" w:cstheme="minorHAnsi"/>
                <w:szCs w:val="22"/>
              </w:rPr>
              <w:t xml:space="preserve"> evaluation training courses developed for APSLearn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CB3933C" w14:textId="02F95B6A" w:rsidR="00B56ECD" w:rsidRPr="00EC1E01" w:rsidRDefault="00181D44">
            <w:pPr>
              <w:rPr>
                <w:rFonts w:asciiTheme="minorHAnsi" w:hAnsiTheme="minorHAnsi" w:cstheme="minorHAnsi"/>
                <w:szCs w:val="22"/>
              </w:rPr>
            </w:pPr>
            <w:r>
              <w:rPr>
                <w:rFonts w:asciiTheme="minorHAnsi" w:hAnsiTheme="minorHAnsi" w:cstheme="minorHAnsi"/>
                <w:szCs w:val="22"/>
              </w:rPr>
              <w:t>3</w:t>
            </w:r>
            <w:r w:rsidR="00B56ECD" w:rsidRPr="00EC1E01">
              <w:rPr>
                <w:rFonts w:asciiTheme="minorHAnsi" w:hAnsiTheme="minorHAnsi" w:cstheme="minorHAnsi"/>
                <w:szCs w:val="22"/>
              </w:rPr>
              <w:t xml:space="preserve"> evaluation training courses developed for APSLearn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0244AB2" w14:textId="33C599E9" w:rsidR="00B56ECD" w:rsidRPr="00EC1E01" w:rsidRDefault="00181D44">
            <w:pPr>
              <w:rPr>
                <w:rFonts w:asciiTheme="minorHAnsi" w:hAnsiTheme="minorHAnsi" w:cstheme="minorHAnsi"/>
                <w:szCs w:val="22"/>
              </w:rPr>
            </w:pPr>
            <w:r>
              <w:rPr>
                <w:rFonts w:asciiTheme="minorHAnsi" w:hAnsiTheme="minorHAnsi" w:cstheme="minorHAnsi"/>
                <w:szCs w:val="22"/>
              </w:rPr>
              <w:t>6</w:t>
            </w:r>
            <w:r w:rsidR="00B56ECD" w:rsidRPr="00EC1E01">
              <w:rPr>
                <w:rFonts w:asciiTheme="minorHAnsi" w:hAnsiTheme="minorHAnsi" w:cstheme="minorHAnsi"/>
                <w:szCs w:val="22"/>
              </w:rPr>
              <w:t xml:space="preserve"> evaluation training courses </w:t>
            </w:r>
            <w:r w:rsidR="00C85CA7">
              <w:rPr>
                <w:rFonts w:asciiTheme="minorHAnsi" w:hAnsiTheme="minorHAnsi" w:cstheme="minorHAnsi"/>
                <w:szCs w:val="22"/>
              </w:rPr>
              <w:t>maintained</w:t>
            </w:r>
            <w:r w:rsidR="00B56ECD" w:rsidRPr="00EC1E01">
              <w:rPr>
                <w:rFonts w:asciiTheme="minorHAnsi" w:hAnsiTheme="minorHAnsi" w:cstheme="minorHAnsi"/>
                <w:szCs w:val="22"/>
              </w:rPr>
              <w:t xml:space="preserve"> for APSLearn</w:t>
            </w:r>
          </w:p>
        </w:tc>
        <w:tc>
          <w:tcPr>
            <w:tcW w:w="1559" w:type="dxa"/>
            <w:tcBorders>
              <w:top w:val="single" w:sz="4" w:space="0" w:color="auto"/>
              <w:left w:val="single" w:sz="4" w:space="0" w:color="auto"/>
              <w:bottom w:val="single" w:sz="4" w:space="0" w:color="auto"/>
              <w:right w:val="single" w:sz="4" w:space="0" w:color="auto"/>
            </w:tcBorders>
          </w:tcPr>
          <w:p w14:paraId="3B529011" w14:textId="115A3CD1" w:rsidR="00B56ECD" w:rsidRPr="00EC1E01" w:rsidRDefault="00181D44">
            <w:pPr>
              <w:rPr>
                <w:rFonts w:asciiTheme="minorHAnsi" w:hAnsiTheme="minorHAnsi" w:cstheme="minorHAnsi"/>
                <w:szCs w:val="22"/>
              </w:rPr>
            </w:pPr>
            <w:r>
              <w:rPr>
                <w:rFonts w:asciiTheme="minorHAnsi" w:hAnsiTheme="minorHAnsi" w:cstheme="minorHAnsi"/>
                <w:szCs w:val="22"/>
              </w:rPr>
              <w:t>6</w:t>
            </w:r>
            <w:r w:rsidR="00B56ECD" w:rsidRPr="00EC1E01">
              <w:rPr>
                <w:rFonts w:asciiTheme="minorHAnsi" w:hAnsiTheme="minorHAnsi" w:cstheme="minorHAnsi"/>
                <w:szCs w:val="22"/>
              </w:rPr>
              <w:t xml:space="preserve"> evaluation training courses maintained for APSLearn</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96DAA53"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ACE Tracker</w:t>
            </w:r>
          </w:p>
        </w:tc>
      </w:tr>
      <w:tr w:rsidR="00B56ECD" w:rsidRPr="00EC1E01" w14:paraId="14F26843" w14:textId="77777777" w:rsidTr="00C85CA7">
        <w:trPr>
          <w:gridAfter w:val="4"/>
          <w:wAfter w:w="14576" w:type="dxa"/>
          <w:trHeight w:val="758"/>
        </w:trPr>
        <w:tc>
          <w:tcPr>
            <w:tcW w:w="736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A6CE312" w14:textId="56298CEB" w:rsidR="00B56ECD" w:rsidRPr="00EC1E01" w:rsidRDefault="00B56ECD">
            <w:pPr>
              <w:rPr>
                <w:rFonts w:asciiTheme="minorHAnsi" w:hAnsiTheme="minorHAnsi" w:cstheme="minorHAnsi"/>
                <w:szCs w:val="22"/>
              </w:rPr>
            </w:pPr>
            <w:r w:rsidRPr="00EC1E01">
              <w:rPr>
                <w:rFonts w:asciiTheme="minorHAnsi" w:hAnsiTheme="minorHAnsi" w:cstheme="minorHAnsi"/>
                <w:szCs w:val="22"/>
              </w:rPr>
              <w:t xml:space="preserve">4.2 </w:t>
            </w:r>
            <w:r w:rsidR="00A362EC" w:rsidRPr="00EC1E01">
              <w:rPr>
                <w:rFonts w:asciiTheme="minorHAnsi" w:hAnsiTheme="minorHAnsi" w:cstheme="minorHAnsi"/>
                <w:szCs w:val="22"/>
              </w:rPr>
              <w:t>Foundational and s</w:t>
            </w:r>
            <w:r w:rsidRPr="00EC1E01">
              <w:rPr>
                <w:rFonts w:asciiTheme="minorHAnsi" w:hAnsiTheme="minorHAnsi" w:cstheme="minorHAnsi"/>
                <w:szCs w:val="22"/>
              </w:rPr>
              <w:t xml:space="preserve">pecialised evaluation training delivered to </w:t>
            </w:r>
            <w:r w:rsidR="00A362EC" w:rsidRPr="00EC1E01">
              <w:rPr>
                <w:rFonts w:asciiTheme="minorHAnsi" w:hAnsiTheme="minorHAnsi" w:cstheme="minorHAnsi"/>
                <w:szCs w:val="22"/>
              </w:rPr>
              <w:t xml:space="preserve">selected </w:t>
            </w:r>
            <w:r w:rsidRPr="00EC1E01">
              <w:rPr>
                <w:rFonts w:asciiTheme="minorHAnsi" w:hAnsiTheme="minorHAnsi" w:cstheme="minorHAnsi"/>
                <w:szCs w:val="22"/>
              </w:rPr>
              <w:t>A</w:t>
            </w:r>
            <w:r w:rsidR="00A85BBF" w:rsidRPr="00EC1E01">
              <w:rPr>
                <w:rFonts w:asciiTheme="minorHAnsi" w:hAnsiTheme="minorHAnsi" w:cstheme="minorHAnsi"/>
                <w:szCs w:val="22"/>
              </w:rPr>
              <w:t xml:space="preserve">ustralian Public Sector </w:t>
            </w:r>
            <w:r w:rsidRPr="00EC1E01">
              <w:rPr>
                <w:rFonts w:asciiTheme="minorHAnsi" w:hAnsiTheme="minorHAnsi" w:cstheme="minorHAnsi"/>
                <w:szCs w:val="22"/>
              </w:rPr>
              <w:t>audiences</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E500A0C" w14:textId="086C2DF7" w:rsidR="00B56ECD" w:rsidRPr="00EC1E01" w:rsidRDefault="00A6648E">
            <w:pPr>
              <w:rPr>
                <w:rFonts w:asciiTheme="minorHAnsi" w:hAnsiTheme="minorHAnsi" w:cstheme="minorHAnsi"/>
                <w:szCs w:val="22"/>
              </w:rPr>
            </w:pPr>
            <w:r w:rsidRPr="00EC1E01">
              <w:rPr>
                <w:rFonts w:asciiTheme="minorHAnsi" w:hAnsiTheme="minorHAnsi" w:cstheme="minorHAnsi"/>
                <w:szCs w:val="22"/>
              </w:rPr>
              <w:t xml:space="preserve">5 </w:t>
            </w:r>
            <w:r w:rsidR="00B56ECD" w:rsidRPr="00EC1E01">
              <w:rPr>
                <w:rFonts w:asciiTheme="minorHAnsi" w:hAnsiTheme="minorHAnsi" w:cstheme="minorHAnsi"/>
                <w:szCs w:val="22"/>
              </w:rPr>
              <w:t>evaluation training sessions delivered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F9E4666" w14:textId="70E89929" w:rsidR="00B56ECD" w:rsidRPr="00EC1E01" w:rsidRDefault="00A6648E">
            <w:pPr>
              <w:rPr>
                <w:rFonts w:asciiTheme="minorHAnsi" w:hAnsiTheme="minorHAnsi" w:cstheme="minorHAnsi"/>
                <w:szCs w:val="22"/>
              </w:rPr>
            </w:pPr>
            <w:r w:rsidRPr="00EC1E01">
              <w:rPr>
                <w:rFonts w:asciiTheme="minorHAnsi" w:hAnsiTheme="minorHAnsi" w:cstheme="minorHAnsi"/>
                <w:szCs w:val="22"/>
              </w:rPr>
              <w:t>10</w:t>
            </w:r>
            <w:r w:rsidR="00B56ECD" w:rsidRPr="00EC1E01">
              <w:rPr>
                <w:rFonts w:asciiTheme="minorHAnsi" w:hAnsiTheme="minorHAnsi" w:cstheme="minorHAnsi"/>
                <w:szCs w:val="22"/>
              </w:rPr>
              <w:t xml:space="preserve"> evaluation training sessions delivered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5FFA14E" w14:textId="24806CCF" w:rsidR="00B56ECD" w:rsidRPr="00EC1E01" w:rsidRDefault="00A6648E">
            <w:pPr>
              <w:rPr>
                <w:rFonts w:asciiTheme="minorHAnsi" w:hAnsiTheme="minorHAnsi" w:cstheme="minorHAnsi"/>
                <w:szCs w:val="22"/>
              </w:rPr>
            </w:pPr>
            <w:r w:rsidRPr="00EC1E01">
              <w:rPr>
                <w:rFonts w:asciiTheme="minorHAnsi" w:hAnsiTheme="minorHAnsi" w:cstheme="minorHAnsi"/>
                <w:szCs w:val="22"/>
              </w:rPr>
              <w:t>14</w:t>
            </w:r>
            <w:r w:rsidR="00B56ECD" w:rsidRPr="00EC1E01">
              <w:rPr>
                <w:rFonts w:asciiTheme="minorHAnsi" w:hAnsiTheme="minorHAnsi" w:cstheme="minorHAnsi"/>
                <w:szCs w:val="22"/>
              </w:rPr>
              <w:t xml:space="preserve"> evaluation training sessions delivered</w:t>
            </w:r>
          </w:p>
        </w:tc>
        <w:tc>
          <w:tcPr>
            <w:tcW w:w="1559" w:type="dxa"/>
            <w:tcBorders>
              <w:top w:val="single" w:sz="4" w:space="0" w:color="auto"/>
              <w:left w:val="single" w:sz="4" w:space="0" w:color="auto"/>
              <w:bottom w:val="single" w:sz="4" w:space="0" w:color="auto"/>
              <w:right w:val="single" w:sz="4" w:space="0" w:color="auto"/>
            </w:tcBorders>
          </w:tcPr>
          <w:p w14:paraId="5ADBF6B0" w14:textId="4A09C893" w:rsidR="00B56ECD" w:rsidRPr="00EC1E01" w:rsidRDefault="00A6648E">
            <w:pPr>
              <w:rPr>
                <w:rFonts w:asciiTheme="minorHAnsi" w:hAnsiTheme="minorHAnsi" w:cstheme="minorHAnsi"/>
                <w:szCs w:val="22"/>
              </w:rPr>
            </w:pPr>
            <w:r w:rsidRPr="00EC1E01">
              <w:rPr>
                <w:rFonts w:asciiTheme="minorHAnsi" w:hAnsiTheme="minorHAnsi" w:cstheme="minorHAnsi"/>
                <w:szCs w:val="22"/>
              </w:rPr>
              <w:t>14</w:t>
            </w:r>
            <w:r w:rsidR="00B56ECD" w:rsidRPr="00EC1E01">
              <w:rPr>
                <w:rFonts w:asciiTheme="minorHAnsi" w:hAnsiTheme="minorHAnsi" w:cstheme="minorHAnsi"/>
                <w:szCs w:val="22"/>
              </w:rPr>
              <w:t xml:space="preserve"> evaluation training sessions delivered</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393B779"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ACE Tracker</w:t>
            </w:r>
          </w:p>
        </w:tc>
      </w:tr>
      <w:tr w:rsidR="00B56ECD" w:rsidRPr="00EC1E01" w14:paraId="4084EBF2" w14:textId="77777777" w:rsidTr="00C85CA7">
        <w:trPr>
          <w:gridAfter w:val="4"/>
          <w:wAfter w:w="14576" w:type="dxa"/>
          <w:trHeight w:val="429"/>
        </w:trPr>
        <w:tc>
          <w:tcPr>
            <w:tcW w:w="736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2969ADF"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4.3 Evaluation Profession established</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6C03042"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Evaluation Profession Head agreed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6082640" w14:textId="164DC7ED" w:rsidR="00B56ECD" w:rsidRPr="00EC1E01" w:rsidRDefault="00B56ECD">
            <w:pPr>
              <w:rPr>
                <w:rFonts w:asciiTheme="minorHAnsi" w:hAnsiTheme="minorHAnsi" w:cstheme="minorHAnsi"/>
                <w:szCs w:val="22"/>
              </w:rPr>
            </w:pPr>
            <w:r w:rsidRPr="00EC1E01">
              <w:rPr>
                <w:rFonts w:asciiTheme="minorHAnsi" w:hAnsiTheme="minorHAnsi" w:cstheme="minorHAnsi"/>
                <w:szCs w:val="22"/>
              </w:rPr>
              <w:t xml:space="preserve">Evaluation Profession established with at least </w:t>
            </w:r>
            <w:r w:rsidR="000671B5" w:rsidRPr="00EC1E01">
              <w:rPr>
                <w:rFonts w:asciiTheme="minorHAnsi" w:hAnsiTheme="minorHAnsi" w:cstheme="minorHAnsi"/>
                <w:szCs w:val="22"/>
              </w:rPr>
              <w:t>five hundred</w:t>
            </w:r>
            <w:r w:rsidRPr="00EC1E01">
              <w:rPr>
                <w:rFonts w:asciiTheme="minorHAnsi" w:hAnsiTheme="minorHAnsi" w:cstheme="minorHAnsi"/>
                <w:szCs w:val="22"/>
              </w:rPr>
              <w:t xml:space="preserve"> members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21B029A9"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Membership grows by 20%</w:t>
            </w:r>
          </w:p>
          <w:p w14:paraId="7E3B0C03" w14:textId="77777777" w:rsidR="00B56ECD" w:rsidRPr="00EC1E01" w:rsidRDefault="00B56ECD">
            <w:pPr>
              <w:rPr>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3A48C434"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Membership grows by 20%</w:t>
            </w:r>
          </w:p>
          <w:p w14:paraId="149BD523" w14:textId="77777777" w:rsidR="00B56ECD" w:rsidRPr="00EC1E01" w:rsidRDefault="00B56ECD">
            <w:pPr>
              <w:rPr>
                <w:rFonts w:asciiTheme="minorHAnsi" w:hAnsiTheme="minorHAnsi" w:cstheme="minorHAnsi"/>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94C55D0"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ACE Tracker</w:t>
            </w:r>
          </w:p>
        </w:tc>
      </w:tr>
      <w:tr w:rsidR="00B56ECD" w:rsidRPr="00EC1E01" w14:paraId="0CF8D92B" w14:textId="77777777" w:rsidTr="00C85CA7">
        <w:trPr>
          <w:gridAfter w:val="4"/>
          <w:wAfter w:w="14576" w:type="dxa"/>
          <w:trHeight w:val="523"/>
        </w:trPr>
        <w:tc>
          <w:tcPr>
            <w:tcW w:w="736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65C8585" w14:textId="688FB18C" w:rsidR="00B56ECD" w:rsidRPr="00EC1E01" w:rsidRDefault="00B56ECD">
            <w:pPr>
              <w:rPr>
                <w:rFonts w:asciiTheme="minorHAnsi" w:hAnsiTheme="minorHAnsi" w:cstheme="minorHAnsi"/>
                <w:szCs w:val="22"/>
              </w:rPr>
            </w:pPr>
            <w:r w:rsidRPr="00EC1E01">
              <w:rPr>
                <w:rFonts w:asciiTheme="minorHAnsi" w:hAnsiTheme="minorHAnsi" w:cstheme="minorHAnsi"/>
                <w:szCs w:val="22"/>
              </w:rPr>
              <w:t>4.4 Evaluation toolkit reviewed and updated</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667B1AA7"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 xml:space="preserve">Evaluation Toolkit reviewed (internal review) and updated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1BBA629E"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Evaluation Toolkit reviewed (external and internal review) and updated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8661B18"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Evaluation Toolkit reviewed (internal review) and updated</w:t>
            </w:r>
          </w:p>
        </w:tc>
        <w:tc>
          <w:tcPr>
            <w:tcW w:w="1559" w:type="dxa"/>
            <w:tcBorders>
              <w:top w:val="single" w:sz="4" w:space="0" w:color="auto"/>
              <w:left w:val="single" w:sz="4" w:space="0" w:color="auto"/>
              <w:bottom w:val="single" w:sz="4" w:space="0" w:color="auto"/>
              <w:right w:val="single" w:sz="4" w:space="0" w:color="auto"/>
            </w:tcBorders>
          </w:tcPr>
          <w:p w14:paraId="602A3D6F"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Evaluation Toolkit reviewed (internal review) and updated</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F83C3BC"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ACE Tracker</w:t>
            </w:r>
          </w:p>
        </w:tc>
      </w:tr>
      <w:tr w:rsidR="00B56ECD" w:rsidRPr="00EC1E01" w14:paraId="1259360B" w14:textId="77777777" w:rsidTr="00C85CA7">
        <w:trPr>
          <w:gridAfter w:val="4"/>
          <w:wAfter w:w="14576" w:type="dxa"/>
          <w:trHeight w:val="523"/>
        </w:trPr>
        <w:tc>
          <w:tcPr>
            <w:tcW w:w="736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41B0003E" w14:textId="77777777" w:rsidR="00B56ECD" w:rsidRPr="00EC1E01" w:rsidRDefault="00B56ECD">
            <w:pPr>
              <w:rPr>
                <w:rFonts w:asciiTheme="minorHAnsi" w:hAnsiTheme="minorHAnsi" w:cstheme="minorHAnsi"/>
                <w:color w:val="000000"/>
                <w:szCs w:val="22"/>
              </w:rPr>
            </w:pPr>
            <w:r w:rsidRPr="00EC1E01">
              <w:rPr>
                <w:rFonts w:asciiTheme="minorHAnsi" w:hAnsiTheme="minorHAnsi" w:cstheme="minorHAnsi"/>
                <w:color w:val="000000"/>
                <w:szCs w:val="22"/>
              </w:rPr>
              <w:t>4.5 Good practice guides developed for the Evaluation Toolkit</w:t>
            </w:r>
          </w:p>
          <w:p w14:paraId="18061827" w14:textId="77777777" w:rsidR="00B56ECD" w:rsidRPr="00EC1E01" w:rsidRDefault="00B56ECD">
            <w:pPr>
              <w:rPr>
                <w:rFonts w:asciiTheme="minorHAnsi" w:hAnsiTheme="minorHAnsi" w:cstheme="minorHAnsi"/>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3CD94A8A"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Good practice guide priorities established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770D56B6"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Good practice guide priorities published</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5C4885D"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Good practice guide published</w:t>
            </w:r>
          </w:p>
        </w:tc>
        <w:tc>
          <w:tcPr>
            <w:tcW w:w="1559" w:type="dxa"/>
            <w:tcBorders>
              <w:top w:val="single" w:sz="4" w:space="0" w:color="auto"/>
              <w:left w:val="single" w:sz="4" w:space="0" w:color="auto"/>
              <w:bottom w:val="single" w:sz="4" w:space="0" w:color="auto"/>
              <w:right w:val="single" w:sz="4" w:space="0" w:color="auto"/>
            </w:tcBorders>
          </w:tcPr>
          <w:p w14:paraId="6FB0488D"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Good practice guides reviewed and refreshed</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123" w:type="dxa"/>
              <w:left w:w="15" w:type="dxa"/>
              <w:bottom w:w="0" w:type="dxa"/>
              <w:right w:w="15" w:type="dxa"/>
            </w:tcMar>
          </w:tcPr>
          <w:p w14:paraId="58DC3139" w14:textId="77777777" w:rsidR="00B56ECD" w:rsidRPr="00EC1E01" w:rsidRDefault="00B56ECD">
            <w:pPr>
              <w:rPr>
                <w:rFonts w:asciiTheme="minorHAnsi" w:hAnsiTheme="minorHAnsi" w:cstheme="minorHAnsi"/>
                <w:szCs w:val="22"/>
              </w:rPr>
            </w:pPr>
            <w:r w:rsidRPr="00EC1E01">
              <w:rPr>
                <w:rFonts w:asciiTheme="minorHAnsi" w:hAnsiTheme="minorHAnsi" w:cstheme="minorHAnsi"/>
                <w:szCs w:val="22"/>
              </w:rPr>
              <w:t>ACE Tracker</w:t>
            </w:r>
          </w:p>
        </w:tc>
      </w:tr>
    </w:tbl>
    <w:p w14:paraId="242342A8" w14:textId="77777777" w:rsidR="004974D6" w:rsidRPr="004974D6" w:rsidRDefault="004974D6" w:rsidP="004974D6"/>
    <w:sectPr w:rsidR="004974D6" w:rsidRPr="004974D6" w:rsidSect="00490CF3">
      <w:pgSz w:w="16838" w:h="11906" w:orient="landscape" w:code="9"/>
      <w:pgMar w:top="1417" w:right="184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EF62" w14:textId="77777777" w:rsidR="003D2AC2" w:rsidRDefault="003D2AC2">
      <w:pPr>
        <w:spacing w:before="0" w:after="0"/>
      </w:pPr>
      <w:r>
        <w:separator/>
      </w:r>
    </w:p>
  </w:endnote>
  <w:endnote w:type="continuationSeparator" w:id="0">
    <w:p w14:paraId="49D8B278" w14:textId="77777777" w:rsidR="003D2AC2" w:rsidRDefault="003D2AC2">
      <w:pPr>
        <w:spacing w:before="0" w:after="0"/>
      </w:pPr>
      <w:r>
        <w:continuationSeparator/>
      </w:r>
    </w:p>
  </w:endnote>
  <w:endnote w:type="continuationNotice" w:id="1">
    <w:p w14:paraId="4E87EAF8" w14:textId="77777777" w:rsidR="003D2AC2" w:rsidRDefault="003D2A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28D9" w14:textId="43C59516" w:rsidR="00B55B04" w:rsidRDefault="00B55B04" w:rsidP="00EE1447">
    <w:pPr>
      <w:pStyle w:val="FooterEven"/>
    </w:pPr>
    <w:r>
      <w:drawing>
        <wp:anchor distT="0" distB="0" distL="114300" distR="114300" simplePos="0" relativeHeight="251658240" behindDoc="1" locked="0" layoutInCell="1" allowOverlap="0" wp14:anchorId="6C74AB68" wp14:editId="26CA8BB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625808867" name="Picture 162580886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fldChar w:fldCharType="begin"/>
    </w:r>
    <w:r>
      <w:instrText>STYLEREF  "Heading 1"  \* MERGEFORMAT</w:instrText>
    </w:r>
    <w:r>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DA6B" w14:textId="466F2566" w:rsidR="00533409" w:rsidRDefault="0053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E9D6" w14:textId="6914AB56" w:rsidR="00B55B04" w:rsidRPr="000D5ACF" w:rsidRDefault="000D5ACF" w:rsidP="000D5ACF">
    <w:pPr>
      <w:pStyle w:val="FooterEven"/>
      <w:jc w:val="both"/>
    </w:pPr>
    <w:r>
      <w:rPr>
        <w:noProof w:val="0"/>
      </w:rPr>
      <w:t>3</w:t>
    </w:r>
    <w:r>
      <w:t xml:space="preserve"> </w:t>
    </w:r>
    <w:r>
      <w:fldChar w:fldCharType="begin"/>
    </w:r>
    <w:r>
      <w:instrText>STYLEREF  "Heading 1"  \* MERGEFORMAT</w:instrText>
    </w:r>
    <w:r>
      <w:fldChar w:fldCharType="end"/>
    </w:r>
    <w:r>
      <w:tab/>
    </w:r>
    <w:r w:rsidRPr="007A182A">
      <w:t>evaluation.treasury.gov.au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155F" w14:textId="48A8C7CD"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2F40A1">
      <w:fldChar w:fldCharType="begin"/>
    </w:r>
    <w:r w:rsidR="002F40A1">
      <w:instrText>STYLEREF  "Heading 1"  \* MERGEFORMAT</w:instrText>
    </w:r>
    <w:r w:rsidR="002F40A1">
      <w:fldChar w:fldCharType="separate"/>
    </w:r>
    <w:r w:rsidR="000D5ACF">
      <w:t>Foreword</w:t>
    </w:r>
    <w:r w:rsidR="002F40A1">
      <w:fldChar w:fldCharType="end"/>
    </w:r>
    <w:r w:rsidR="00103F3C">
      <w:tab/>
    </w:r>
    <w:r w:rsidR="007A182A" w:rsidRPr="007A182A">
      <w:t>evaluation.treasury.gov.au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DDCD" w14:textId="1194A1AF" w:rsidR="00533409" w:rsidRDefault="000D5ACF" w:rsidP="000D5ACF">
    <w:pPr>
      <w:pStyle w:val="FooterEven"/>
      <w:jc w:val="both"/>
    </w:pPr>
    <w:r>
      <w:rPr>
        <w:noProof w:val="0"/>
      </w:rPr>
      <w:fldChar w:fldCharType="begin"/>
    </w:r>
    <w:r>
      <w:instrText xml:space="preserve"> PAGE   \* MERGEFORMAT </w:instrText>
    </w:r>
    <w:r>
      <w:rPr>
        <w:noProof w:val="0"/>
      </w:rPr>
      <w:fldChar w:fldCharType="separate"/>
    </w:r>
    <w:r>
      <w:t>6</w:t>
    </w:r>
    <w:r>
      <w:fldChar w:fldCharType="end"/>
    </w:r>
    <w:r>
      <w:t xml:space="preserve"> | </w:t>
    </w:r>
    <w:fldSimple w:instr="STYLEREF  &quot;Heading 1&quot;  \* MERGEFORMAT">
      <w:r w:rsidR="002F40A1">
        <w:t>Appendix B: The ACE service offering</w:t>
      </w:r>
    </w:fldSimple>
    <w:r>
      <w:tab/>
    </w:r>
    <w:r w:rsidRPr="007A182A">
      <w:t>evaluation.treasury.gov.au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6DAC" w14:textId="06128C5C" w:rsidR="00095D88" w:rsidRPr="00095D88" w:rsidRDefault="000D5ACF" w:rsidP="000D5ACF">
    <w:pPr>
      <w:pStyle w:val="FooterEven"/>
      <w:jc w:val="both"/>
    </w:pPr>
    <w:r>
      <w:rPr>
        <w:noProof w:val="0"/>
      </w:rPr>
      <w:fldChar w:fldCharType="begin"/>
    </w:r>
    <w:r>
      <w:instrText xml:space="preserve"> PAGE   \* MERGEFORMAT </w:instrText>
    </w:r>
    <w:r>
      <w:rPr>
        <w:noProof w:val="0"/>
      </w:rPr>
      <w:fldChar w:fldCharType="separate"/>
    </w:r>
    <w:r>
      <w:rPr>
        <w:noProof w:val="0"/>
      </w:rPr>
      <w:t>5</w:t>
    </w:r>
    <w:r>
      <w:fldChar w:fldCharType="end"/>
    </w:r>
    <w:r>
      <w:t xml:space="preserve"> | </w:t>
    </w:r>
    <w:fldSimple w:instr="STYLEREF  &quot;Heading 1&quot;  \* MERGEFORMAT">
      <w:r w:rsidR="00B961C9">
        <w:t>Foreword</w:t>
      </w:r>
    </w:fldSimple>
    <w:r>
      <w:tab/>
    </w:r>
    <w:r w:rsidRPr="007A182A">
      <w:t>evaluation.treasury.gov.au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F79D" w14:textId="77777777" w:rsidR="003D2AC2" w:rsidRPr="00ED5A20" w:rsidRDefault="003D2AC2" w:rsidP="000F6233">
      <w:pPr>
        <w:rPr>
          <w:color w:val="4D7861" w:themeColor="accent2"/>
        </w:rPr>
      </w:pPr>
      <w:r w:rsidRPr="00ED5A20">
        <w:rPr>
          <w:color w:val="4D7861" w:themeColor="accent2"/>
        </w:rPr>
        <w:separator/>
      </w:r>
    </w:p>
  </w:footnote>
  <w:footnote w:type="continuationSeparator" w:id="0">
    <w:p w14:paraId="0AD1A407" w14:textId="77777777" w:rsidR="003D2AC2" w:rsidRPr="00B737EB" w:rsidRDefault="003D2AC2">
      <w:pPr>
        <w:spacing w:before="0" w:after="0"/>
        <w:rPr>
          <w:color w:val="2C384A" w:themeColor="accent1"/>
        </w:rPr>
      </w:pPr>
      <w:r w:rsidRPr="00B737EB">
        <w:rPr>
          <w:color w:val="2C384A" w:themeColor="accent1"/>
        </w:rPr>
        <w:continuationSeparator/>
      </w:r>
    </w:p>
  </w:footnote>
  <w:footnote w:type="continuationNotice" w:id="1">
    <w:p w14:paraId="19C43ACB" w14:textId="77777777" w:rsidR="003D2AC2" w:rsidRDefault="003D2AC2">
      <w:pPr>
        <w:spacing w:before="0" w:after="0"/>
      </w:pPr>
    </w:p>
  </w:footnote>
  <w:footnote w:id="2">
    <w:p w14:paraId="217B7E47" w14:textId="02AE32CB" w:rsidR="00165C23" w:rsidRDefault="00165C23">
      <w:pPr>
        <w:pStyle w:val="FootnoteText"/>
      </w:pPr>
      <w:r>
        <w:rPr>
          <w:rStyle w:val="FootnoteReference"/>
        </w:rPr>
        <w:footnoteRef/>
      </w:r>
      <w:r>
        <w:t xml:space="preserve"> </w:t>
      </w:r>
      <w:r w:rsidR="00FE175E">
        <w:tab/>
      </w:r>
      <w:r w:rsidR="005727F6">
        <w:rPr>
          <w:sz w:val="18"/>
          <w:szCs w:val="18"/>
        </w:rPr>
        <w:t>In</w:t>
      </w:r>
      <w:r w:rsidR="005727F6" w:rsidRPr="003B3561">
        <w:rPr>
          <w:sz w:val="18"/>
          <w:szCs w:val="18"/>
        </w:rPr>
        <w:t xml:space="preserve"> </w:t>
      </w:r>
      <w:r w:rsidRPr="003B3561">
        <w:rPr>
          <w:sz w:val="18"/>
          <w:szCs w:val="18"/>
        </w:rPr>
        <w:t xml:space="preserve">this strategy, “entities” (also referred to as agencies) is used to refer to all </w:t>
      </w:r>
      <w:hyperlink r:id="rId1" w:history="1">
        <w:r w:rsidRPr="003B3561">
          <w:rPr>
            <w:rStyle w:val="Hyperlink"/>
            <w:sz w:val="18"/>
            <w:szCs w:val="18"/>
          </w:rPr>
          <w:t>Commonwealth entities and companies</w:t>
        </w:r>
      </w:hyperlink>
      <w:r w:rsidRPr="003B3561">
        <w:rPr>
          <w:sz w:val="18"/>
          <w:szCs w:val="18"/>
        </w:rPr>
        <w:t xml:space="preserve"> subject to the </w:t>
      </w:r>
      <w:r w:rsidRPr="003B3561">
        <w:rPr>
          <w:i/>
          <w:iCs/>
          <w:sz w:val="18"/>
          <w:szCs w:val="18"/>
        </w:rPr>
        <w:t>Public Governance, Performance and Accountability Act 2013</w:t>
      </w:r>
      <w:r w:rsidRPr="003B3561">
        <w:rPr>
          <w:sz w:val="18"/>
          <w:szCs w:val="18"/>
        </w:rPr>
        <w:t xml:space="preserve"> (PGPA Act) and the associated </w:t>
      </w:r>
      <w:hyperlink r:id="rId2" w:history="1">
        <w:r w:rsidRPr="003B3561">
          <w:rPr>
            <w:rStyle w:val="Hyperlink"/>
            <w:sz w:val="18"/>
            <w:szCs w:val="18"/>
          </w:rPr>
          <w:t>Commonwealth Evaluation Policy</w:t>
        </w:r>
      </w:hyperlink>
      <w:r w:rsidRPr="003B3561">
        <w:rPr>
          <w:sz w:val="18"/>
          <w:szCs w:val="18"/>
        </w:rPr>
        <w:t xml:space="preserve"> (the Policy). The Policy came into effect on 1 December 2021 and sets out the Government’s expectations in relation to evaluating government programs and activities</w:t>
      </w:r>
      <w:r w:rsidR="00E85EEB">
        <w:rPr>
          <w:sz w:val="18"/>
          <w:szCs w:val="18"/>
        </w:rPr>
        <w:t>.</w:t>
      </w:r>
    </w:p>
  </w:footnote>
  <w:footnote w:id="3">
    <w:p w14:paraId="174985D8" w14:textId="08B67AF8" w:rsidR="00FE175E" w:rsidRDefault="00FE175E">
      <w:pPr>
        <w:pStyle w:val="FootnoteText"/>
      </w:pPr>
      <w:r>
        <w:rPr>
          <w:rStyle w:val="FootnoteReference"/>
        </w:rPr>
        <w:footnoteRef/>
      </w:r>
      <w:r>
        <w:t xml:space="preserve"> </w:t>
      </w:r>
      <w:r>
        <w:tab/>
      </w:r>
      <w:r w:rsidRPr="00FE175E">
        <w:t xml:space="preserve">This reform priority reflects findings </w:t>
      </w:r>
      <w:r>
        <w:t>from</w:t>
      </w:r>
      <w:r w:rsidRPr="00FE175E">
        <w:t xml:space="preserve"> the 2019 Independent Review of the APS (‘the Thodey Review’)</w:t>
      </w:r>
      <w:r>
        <w:t xml:space="preserve"> </w:t>
      </w:r>
      <w:hyperlink r:id="rId3" w:history="1">
        <w:r w:rsidR="00BC7A95" w:rsidRPr="00BC7A95">
          <w:rPr>
            <w:rStyle w:val="Hyperlink"/>
          </w:rPr>
          <w:t>Independent Review o...~https://www.pmc.gov.au/resources/independent-review-australian-public-service</w:t>
        </w:r>
      </w:hyperlink>
      <w:r w:rsidR="00BC7A9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B7FF" w14:textId="0E68CFF0"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0376" w14:textId="2D52AF86"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EF6" w14:textId="65FB154A"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BDD0" w14:textId="3863C842" w:rsidR="00672B5D" w:rsidRPr="00AC75E2" w:rsidRDefault="00AC75E2" w:rsidP="00AC75E2">
    <w:pPr>
      <w:pStyle w:val="HeaderEven"/>
    </w:pPr>
    <w:r>
      <w:rPr>
        <w:noProof/>
      </w:rPr>
      <w:drawing>
        <wp:anchor distT="0" distB="0" distL="114300" distR="114300" simplePos="0" relativeHeight="251658241" behindDoc="1" locked="1" layoutInCell="1" allowOverlap="1" wp14:anchorId="66D9F626" wp14:editId="5C9E7A80">
          <wp:simplePos x="0" y="0"/>
          <wp:positionH relativeFrom="page">
            <wp:posOffset>20955</wp:posOffset>
          </wp:positionH>
          <wp:positionV relativeFrom="page">
            <wp:posOffset>0</wp:posOffset>
          </wp:positionV>
          <wp:extent cx="7526020" cy="1043940"/>
          <wp:effectExtent l="0" t="0" r="0" b="0"/>
          <wp:wrapNone/>
          <wp:docPr id="663920296" name="Picture 66392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26020" cy="104394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F96C" w14:textId="10EA44A1" w:rsidR="00533409" w:rsidRDefault="005334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DF8B" w14:textId="091F298A" w:rsidR="00095D88" w:rsidRPr="00095D88" w:rsidRDefault="000D5ACF" w:rsidP="00095D88">
    <w:pPr>
      <w:pStyle w:val="Header"/>
    </w:pPr>
    <w:r>
      <w:rPr>
        <w:noProof/>
      </w:rPr>
      <w:drawing>
        <wp:anchor distT="0" distB="0" distL="114300" distR="114300" simplePos="0" relativeHeight="251660289" behindDoc="1" locked="1" layoutInCell="1" allowOverlap="1" wp14:anchorId="0B895659" wp14:editId="1C956171">
          <wp:simplePos x="0" y="0"/>
          <wp:positionH relativeFrom="page">
            <wp:posOffset>6350</wp:posOffset>
          </wp:positionH>
          <wp:positionV relativeFrom="page">
            <wp:posOffset>24130</wp:posOffset>
          </wp:positionV>
          <wp:extent cx="7526020" cy="1043940"/>
          <wp:effectExtent l="0" t="0" r="0" b="0"/>
          <wp:wrapNone/>
          <wp:docPr id="1173466319" name="Picture 1173466319" descr="A black and grey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66319" name="Picture 1173466319" descr="A black and grey rectang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602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7EF"/>
    <w:multiLevelType w:val="multilevel"/>
    <w:tmpl w:val="3E9A10D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24C3F"/>
    <w:multiLevelType w:val="hybridMultilevel"/>
    <w:tmpl w:val="101447D0"/>
    <w:lvl w:ilvl="0" w:tplc="70EEB50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730E3"/>
    <w:multiLevelType w:val="hybridMultilevel"/>
    <w:tmpl w:val="5134995C"/>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tabs>
          <w:tab w:val="num" w:pos="1040"/>
        </w:tabs>
        <w:ind w:left="1040" w:hanging="520"/>
      </w:pPr>
      <w:rPr>
        <w:rFonts w:ascii="Times New Roman" w:hAnsi="Times New Roman" w:cs="Times New Roman" w:hint="default"/>
      </w:rPr>
    </w:lvl>
    <w:lvl w:ilvl="2" w:tplc="FFFFFFFF">
      <w:start w:val="1"/>
      <w:numFmt w:val="bullet"/>
      <w:lvlText w:val=":"/>
      <w:lvlJc w:val="left"/>
      <w:pPr>
        <w:tabs>
          <w:tab w:val="num" w:pos="1560"/>
        </w:tabs>
        <w:ind w:left="1560" w:hanging="520"/>
      </w:pPr>
      <w:rPr>
        <w:rFonts w:ascii="Times New Roman" w:hAnsi="Times New Roman" w:cs="Times New Roman" w:hint="default"/>
      </w:r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A3954A2"/>
    <w:multiLevelType w:val="hybridMultilevel"/>
    <w:tmpl w:val="46209600"/>
    <w:lvl w:ilvl="0" w:tplc="39921B3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963773"/>
    <w:multiLevelType w:val="hybridMultilevel"/>
    <w:tmpl w:val="F2F2C07C"/>
    <w:lvl w:ilvl="0" w:tplc="E7C048A4">
      <w:start w:val="1"/>
      <w:numFmt w:val="decimal"/>
      <w:lvlText w:val="%1."/>
      <w:lvlJc w:val="left"/>
      <w:pPr>
        <w:ind w:left="720" w:hanging="360"/>
      </w:pPr>
    </w:lvl>
    <w:lvl w:ilvl="1" w:tplc="26A84554">
      <w:start w:val="1"/>
      <w:numFmt w:val="lowerLetter"/>
      <w:lvlText w:val="%2."/>
      <w:lvlJc w:val="left"/>
      <w:pPr>
        <w:ind w:left="1440" w:hanging="360"/>
      </w:pPr>
    </w:lvl>
    <w:lvl w:ilvl="2" w:tplc="3878AFC2">
      <w:start w:val="1"/>
      <w:numFmt w:val="lowerRoman"/>
      <w:lvlText w:val="%3."/>
      <w:lvlJc w:val="right"/>
      <w:pPr>
        <w:ind w:left="2160" w:hanging="180"/>
      </w:pPr>
    </w:lvl>
    <w:lvl w:ilvl="3" w:tplc="212A9AFE">
      <w:start w:val="1"/>
      <w:numFmt w:val="decimal"/>
      <w:lvlText w:val="%4."/>
      <w:lvlJc w:val="left"/>
      <w:pPr>
        <w:ind w:left="2880" w:hanging="360"/>
      </w:pPr>
    </w:lvl>
    <w:lvl w:ilvl="4" w:tplc="8744CD1C">
      <w:start w:val="1"/>
      <w:numFmt w:val="lowerLetter"/>
      <w:lvlText w:val="%5."/>
      <w:lvlJc w:val="left"/>
      <w:pPr>
        <w:ind w:left="3600" w:hanging="360"/>
      </w:pPr>
    </w:lvl>
    <w:lvl w:ilvl="5" w:tplc="6450C70C">
      <w:start w:val="1"/>
      <w:numFmt w:val="lowerRoman"/>
      <w:lvlText w:val="%6."/>
      <w:lvlJc w:val="right"/>
      <w:pPr>
        <w:ind w:left="4320" w:hanging="180"/>
      </w:pPr>
    </w:lvl>
    <w:lvl w:ilvl="6" w:tplc="9E7EC6D8">
      <w:start w:val="1"/>
      <w:numFmt w:val="decimal"/>
      <w:lvlText w:val="%7."/>
      <w:lvlJc w:val="left"/>
      <w:pPr>
        <w:ind w:left="5040" w:hanging="360"/>
      </w:pPr>
    </w:lvl>
    <w:lvl w:ilvl="7" w:tplc="04D4832A">
      <w:start w:val="1"/>
      <w:numFmt w:val="lowerLetter"/>
      <w:lvlText w:val="%8."/>
      <w:lvlJc w:val="left"/>
      <w:pPr>
        <w:ind w:left="5760" w:hanging="360"/>
      </w:pPr>
    </w:lvl>
    <w:lvl w:ilvl="8" w:tplc="6FF6A8B0">
      <w:start w:val="1"/>
      <w:numFmt w:val="lowerRoman"/>
      <w:lvlText w:val="%9."/>
      <w:lvlJc w:val="right"/>
      <w:pPr>
        <w:ind w:left="6480" w:hanging="180"/>
      </w:pPr>
    </w:lvl>
  </w:abstractNum>
  <w:abstractNum w:abstractNumId="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5B7D14"/>
    <w:multiLevelType w:val="hybridMultilevel"/>
    <w:tmpl w:val="91CA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0" w15:restartNumberingAfterBreak="0">
    <w:nsid w:val="1458296F"/>
    <w:multiLevelType w:val="multilevel"/>
    <w:tmpl w:val="EF6C855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o"/>
      <w:lvlJc w:val="left"/>
      <w:pPr>
        <w:ind w:left="880" w:hanging="360"/>
      </w:pPr>
      <w:rPr>
        <w:rFonts w:ascii="Courier New" w:hAnsi="Courier New" w:cs="Courier New"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CC4E5D"/>
    <w:multiLevelType w:val="multilevel"/>
    <w:tmpl w:val="D10E9CF6"/>
    <w:numStyleLink w:val="OneLevelList"/>
  </w:abstractNum>
  <w:abstractNum w:abstractNumId="12" w15:restartNumberingAfterBreak="0">
    <w:nsid w:val="17AF467B"/>
    <w:multiLevelType w:val="hybridMultilevel"/>
    <w:tmpl w:val="CB84359C"/>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tabs>
          <w:tab w:val="num" w:pos="1040"/>
        </w:tabs>
        <w:ind w:left="1040" w:hanging="520"/>
      </w:pPr>
      <w:rPr>
        <w:rFonts w:ascii="Times New Roman" w:hAnsi="Times New Roman" w:cs="Times New Roman" w:hint="default"/>
      </w:rPr>
    </w:lvl>
    <w:lvl w:ilvl="2" w:tplc="FFFFFFFF">
      <w:start w:val="1"/>
      <w:numFmt w:val="bullet"/>
      <w:lvlText w:val=":"/>
      <w:lvlJc w:val="left"/>
      <w:pPr>
        <w:tabs>
          <w:tab w:val="num" w:pos="1560"/>
        </w:tabs>
        <w:ind w:left="1560" w:hanging="520"/>
      </w:pPr>
      <w:rPr>
        <w:rFonts w:ascii="Times New Roman" w:hAnsi="Times New Roman" w:cs="Times New Roman" w:hint="default"/>
      </w:r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13" w15:restartNumberingAfterBreak="0">
    <w:nsid w:val="17D200EF"/>
    <w:multiLevelType w:val="hybridMultilevel"/>
    <w:tmpl w:val="FA7024C6"/>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9E2656"/>
    <w:multiLevelType w:val="hybridMultilevel"/>
    <w:tmpl w:val="B984AB60"/>
    <w:lvl w:ilvl="0" w:tplc="0B482A38">
      <w:start w:val="1"/>
      <w:numFmt w:val="bullet"/>
      <w:lvlText w:val="•"/>
      <w:lvlJc w:val="left"/>
      <w:pPr>
        <w:tabs>
          <w:tab w:val="num" w:pos="720"/>
        </w:tabs>
        <w:ind w:left="720" w:hanging="360"/>
      </w:pPr>
      <w:rPr>
        <w:rFonts w:ascii="Arial" w:hAnsi="Arial" w:cs="Times New Roman" w:hint="default"/>
      </w:rPr>
    </w:lvl>
    <w:lvl w:ilvl="1" w:tplc="F7EE04C2">
      <w:start w:val="1"/>
      <w:numFmt w:val="bullet"/>
      <w:lvlText w:val="•"/>
      <w:lvlJc w:val="left"/>
      <w:pPr>
        <w:tabs>
          <w:tab w:val="num" w:pos="1440"/>
        </w:tabs>
        <w:ind w:left="1440" w:hanging="360"/>
      </w:pPr>
      <w:rPr>
        <w:rFonts w:ascii="Arial" w:hAnsi="Arial" w:cs="Times New Roman" w:hint="default"/>
      </w:rPr>
    </w:lvl>
    <w:lvl w:ilvl="2" w:tplc="0510AC9C">
      <w:start w:val="1"/>
      <w:numFmt w:val="bullet"/>
      <w:lvlText w:val="•"/>
      <w:lvlJc w:val="left"/>
      <w:pPr>
        <w:tabs>
          <w:tab w:val="num" w:pos="2160"/>
        </w:tabs>
        <w:ind w:left="2160" w:hanging="360"/>
      </w:pPr>
      <w:rPr>
        <w:rFonts w:ascii="Arial" w:hAnsi="Arial" w:cs="Times New Roman" w:hint="default"/>
      </w:rPr>
    </w:lvl>
    <w:lvl w:ilvl="3" w:tplc="5776DF4C">
      <w:start w:val="1"/>
      <w:numFmt w:val="bullet"/>
      <w:lvlText w:val="•"/>
      <w:lvlJc w:val="left"/>
      <w:pPr>
        <w:tabs>
          <w:tab w:val="num" w:pos="2880"/>
        </w:tabs>
        <w:ind w:left="2880" w:hanging="360"/>
      </w:pPr>
      <w:rPr>
        <w:rFonts w:ascii="Arial" w:hAnsi="Arial" w:cs="Times New Roman" w:hint="default"/>
      </w:rPr>
    </w:lvl>
    <w:lvl w:ilvl="4" w:tplc="F9BEA4A2">
      <w:start w:val="1"/>
      <w:numFmt w:val="bullet"/>
      <w:lvlText w:val="•"/>
      <w:lvlJc w:val="left"/>
      <w:pPr>
        <w:tabs>
          <w:tab w:val="num" w:pos="3600"/>
        </w:tabs>
        <w:ind w:left="3600" w:hanging="360"/>
      </w:pPr>
      <w:rPr>
        <w:rFonts w:ascii="Arial" w:hAnsi="Arial" w:cs="Times New Roman" w:hint="default"/>
      </w:rPr>
    </w:lvl>
    <w:lvl w:ilvl="5" w:tplc="596E3400">
      <w:start w:val="1"/>
      <w:numFmt w:val="bullet"/>
      <w:lvlText w:val="•"/>
      <w:lvlJc w:val="left"/>
      <w:pPr>
        <w:tabs>
          <w:tab w:val="num" w:pos="4320"/>
        </w:tabs>
        <w:ind w:left="4320" w:hanging="360"/>
      </w:pPr>
      <w:rPr>
        <w:rFonts w:ascii="Arial" w:hAnsi="Arial" w:cs="Times New Roman" w:hint="default"/>
      </w:rPr>
    </w:lvl>
    <w:lvl w:ilvl="6" w:tplc="43CAEF3E">
      <w:start w:val="1"/>
      <w:numFmt w:val="bullet"/>
      <w:lvlText w:val="•"/>
      <w:lvlJc w:val="left"/>
      <w:pPr>
        <w:tabs>
          <w:tab w:val="num" w:pos="5040"/>
        </w:tabs>
        <w:ind w:left="5040" w:hanging="360"/>
      </w:pPr>
      <w:rPr>
        <w:rFonts w:ascii="Arial" w:hAnsi="Arial" w:cs="Times New Roman" w:hint="default"/>
      </w:rPr>
    </w:lvl>
    <w:lvl w:ilvl="7" w:tplc="DE144D40">
      <w:start w:val="1"/>
      <w:numFmt w:val="bullet"/>
      <w:lvlText w:val="•"/>
      <w:lvlJc w:val="left"/>
      <w:pPr>
        <w:tabs>
          <w:tab w:val="num" w:pos="5760"/>
        </w:tabs>
        <w:ind w:left="5760" w:hanging="360"/>
      </w:pPr>
      <w:rPr>
        <w:rFonts w:ascii="Arial" w:hAnsi="Arial" w:cs="Times New Roman" w:hint="default"/>
      </w:rPr>
    </w:lvl>
    <w:lvl w:ilvl="8" w:tplc="E9D051F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18F6520C"/>
    <w:multiLevelType w:val="multilevel"/>
    <w:tmpl w:val="D10E9CF6"/>
    <w:lvl w:ilvl="0">
      <w:start w:val="1"/>
      <w:numFmt w:val="decimal"/>
      <w:lvlText w:val="%1."/>
      <w:lvlJc w:val="left"/>
      <w:pPr>
        <w:tabs>
          <w:tab w:val="num" w:pos="852"/>
        </w:tabs>
        <w:ind w:left="852" w:hanging="284"/>
      </w:pPr>
      <w:rPr>
        <w:rFonts w:hint="default"/>
      </w:rPr>
    </w:lvl>
    <w:lvl w:ilvl="1">
      <w:start w:val="1"/>
      <w:numFmt w:val="lowerLetter"/>
      <w:lvlText w:val="%2)"/>
      <w:lvlJc w:val="left"/>
      <w:pPr>
        <w:ind w:left="1288" w:hanging="360"/>
      </w:pPr>
      <w:rPr>
        <w:rFonts w:hint="default"/>
      </w:rPr>
    </w:lvl>
    <w:lvl w:ilvl="2">
      <w:start w:val="1"/>
      <w:numFmt w:val="lowerRoman"/>
      <w:lvlText w:val="%3)"/>
      <w:lvlJc w:val="left"/>
      <w:pPr>
        <w:ind w:left="1648" w:hanging="360"/>
      </w:pPr>
      <w:rPr>
        <w:rFonts w:hint="default"/>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1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4E3A62"/>
    <w:multiLevelType w:val="hybridMultilevel"/>
    <w:tmpl w:val="1F5ED164"/>
    <w:lvl w:ilvl="0" w:tplc="905CA95C">
      <w:start w:val="1"/>
      <w:numFmt w:val="decimal"/>
      <w:lvlText w:val="%1."/>
      <w:lvlJc w:val="left"/>
      <w:pPr>
        <w:ind w:left="1440" w:hanging="360"/>
      </w:pPr>
    </w:lvl>
    <w:lvl w:ilvl="1" w:tplc="A42A68AC">
      <w:start w:val="1"/>
      <w:numFmt w:val="decimal"/>
      <w:lvlText w:val="%2."/>
      <w:lvlJc w:val="left"/>
      <w:pPr>
        <w:ind w:left="1440" w:hanging="360"/>
      </w:pPr>
    </w:lvl>
    <w:lvl w:ilvl="2" w:tplc="13AACC2A">
      <w:start w:val="1"/>
      <w:numFmt w:val="decimal"/>
      <w:lvlText w:val="%3."/>
      <w:lvlJc w:val="left"/>
      <w:pPr>
        <w:ind w:left="1440" w:hanging="360"/>
      </w:pPr>
    </w:lvl>
    <w:lvl w:ilvl="3" w:tplc="E190E658">
      <w:start w:val="1"/>
      <w:numFmt w:val="decimal"/>
      <w:lvlText w:val="%4."/>
      <w:lvlJc w:val="left"/>
      <w:pPr>
        <w:ind w:left="1440" w:hanging="360"/>
      </w:pPr>
    </w:lvl>
    <w:lvl w:ilvl="4" w:tplc="56E4FAA6">
      <w:start w:val="1"/>
      <w:numFmt w:val="decimal"/>
      <w:lvlText w:val="%5."/>
      <w:lvlJc w:val="left"/>
      <w:pPr>
        <w:ind w:left="1440" w:hanging="360"/>
      </w:pPr>
    </w:lvl>
    <w:lvl w:ilvl="5" w:tplc="7CDA40CC">
      <w:start w:val="1"/>
      <w:numFmt w:val="decimal"/>
      <w:lvlText w:val="%6."/>
      <w:lvlJc w:val="left"/>
      <w:pPr>
        <w:ind w:left="1440" w:hanging="360"/>
      </w:pPr>
    </w:lvl>
    <w:lvl w:ilvl="6" w:tplc="3FAE4D14">
      <w:start w:val="1"/>
      <w:numFmt w:val="decimal"/>
      <w:lvlText w:val="%7."/>
      <w:lvlJc w:val="left"/>
      <w:pPr>
        <w:ind w:left="1440" w:hanging="360"/>
      </w:pPr>
    </w:lvl>
    <w:lvl w:ilvl="7" w:tplc="4FA87910">
      <w:start w:val="1"/>
      <w:numFmt w:val="decimal"/>
      <w:lvlText w:val="%8."/>
      <w:lvlJc w:val="left"/>
      <w:pPr>
        <w:ind w:left="1440" w:hanging="360"/>
      </w:pPr>
    </w:lvl>
    <w:lvl w:ilvl="8" w:tplc="CE0055BE">
      <w:start w:val="1"/>
      <w:numFmt w:val="decimal"/>
      <w:lvlText w:val="%9."/>
      <w:lvlJc w:val="left"/>
      <w:pPr>
        <w:ind w:left="1440" w:hanging="360"/>
      </w:pPr>
    </w:lvl>
  </w:abstractNum>
  <w:abstractNum w:abstractNumId="2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1AE8753"/>
    <w:multiLevelType w:val="multilevel"/>
    <w:tmpl w:val="D04ED770"/>
    <w:lvl w:ilvl="0">
      <w:start w:val="1"/>
      <w:numFmt w:val="bullet"/>
      <w:lvlText w:val="•"/>
      <w:lvlJc w:val="left"/>
      <w:pPr>
        <w:ind w:left="284" w:hanging="284"/>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4128AC"/>
    <w:multiLevelType w:val="multilevel"/>
    <w:tmpl w:val="D10E9CF6"/>
    <w:lvl w:ilvl="0">
      <w:start w:val="1"/>
      <w:numFmt w:val="decimal"/>
      <w:lvlText w:val="%1."/>
      <w:lvlJc w:val="left"/>
      <w:pPr>
        <w:tabs>
          <w:tab w:val="num" w:pos="852"/>
        </w:tabs>
        <w:ind w:left="852" w:hanging="284"/>
      </w:pPr>
      <w:rPr>
        <w:rFonts w:hint="default"/>
      </w:rPr>
    </w:lvl>
    <w:lvl w:ilvl="1">
      <w:start w:val="1"/>
      <w:numFmt w:val="lowerLetter"/>
      <w:lvlText w:val="%2)"/>
      <w:lvlJc w:val="left"/>
      <w:pPr>
        <w:ind w:left="1288" w:hanging="360"/>
      </w:pPr>
      <w:rPr>
        <w:rFonts w:hint="default"/>
      </w:rPr>
    </w:lvl>
    <w:lvl w:ilvl="2">
      <w:start w:val="1"/>
      <w:numFmt w:val="lowerRoman"/>
      <w:lvlText w:val="%3)"/>
      <w:lvlJc w:val="left"/>
      <w:pPr>
        <w:ind w:left="1648" w:hanging="360"/>
      </w:pPr>
      <w:rPr>
        <w:rFonts w:hint="default"/>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7" w15:restartNumberingAfterBreak="0">
    <w:nsid w:val="391A4B1D"/>
    <w:multiLevelType w:val="hybridMultilevel"/>
    <w:tmpl w:val="BB343B02"/>
    <w:lvl w:ilvl="0" w:tplc="B50AAFDC">
      <w:start w:val="1"/>
      <w:numFmt w:val="bullet"/>
      <w:lvlText w:val="•"/>
      <w:lvlJc w:val="left"/>
      <w:pPr>
        <w:tabs>
          <w:tab w:val="num" w:pos="520"/>
        </w:tabs>
        <w:ind w:left="520" w:hanging="520"/>
      </w:pPr>
      <w:rPr>
        <w:rFonts w:ascii="Times New Roman" w:hAnsi="Times New Roman" w:cs="Times New Roman" w:hint="default"/>
      </w:rPr>
    </w:lvl>
    <w:lvl w:ilvl="1" w:tplc="AD807C2C">
      <w:start w:val="1"/>
      <w:numFmt w:val="bullet"/>
      <w:lvlText w:val="–"/>
      <w:lvlJc w:val="left"/>
      <w:pPr>
        <w:tabs>
          <w:tab w:val="num" w:pos="1040"/>
        </w:tabs>
        <w:ind w:left="1040" w:hanging="520"/>
      </w:pPr>
      <w:rPr>
        <w:rFonts w:ascii="Times New Roman" w:hAnsi="Times New Roman" w:cs="Times New Roman" w:hint="default"/>
      </w:rPr>
    </w:lvl>
    <w:lvl w:ilvl="2" w:tplc="0F78D98C">
      <w:start w:val="1"/>
      <w:numFmt w:val="bullet"/>
      <w:lvlText w:val=":"/>
      <w:lvlJc w:val="left"/>
      <w:pPr>
        <w:tabs>
          <w:tab w:val="num" w:pos="1560"/>
        </w:tabs>
        <w:ind w:left="1560" w:hanging="520"/>
      </w:pPr>
      <w:rPr>
        <w:rFonts w:ascii="Times New Roman" w:hAnsi="Times New Roman" w:cs="Times New Roman" w:hint="default"/>
      </w:rPr>
    </w:lvl>
    <w:lvl w:ilvl="3" w:tplc="E46C81D2">
      <w:start w:val="1"/>
      <w:numFmt w:val="decimal"/>
      <w:lvlText w:val="(%4)"/>
      <w:lvlJc w:val="left"/>
      <w:pPr>
        <w:ind w:left="1440" w:hanging="360"/>
      </w:pPr>
    </w:lvl>
    <w:lvl w:ilvl="4" w:tplc="E5440F3C">
      <w:start w:val="1"/>
      <w:numFmt w:val="lowerLetter"/>
      <w:lvlText w:val="(%5)"/>
      <w:lvlJc w:val="left"/>
      <w:pPr>
        <w:ind w:left="1800" w:hanging="360"/>
      </w:pPr>
    </w:lvl>
    <w:lvl w:ilvl="5" w:tplc="BFE8DACC">
      <w:start w:val="1"/>
      <w:numFmt w:val="lowerRoman"/>
      <w:lvlText w:val="(%6)"/>
      <w:lvlJc w:val="left"/>
      <w:pPr>
        <w:ind w:left="2160" w:hanging="360"/>
      </w:pPr>
    </w:lvl>
    <w:lvl w:ilvl="6" w:tplc="3DC4D67E">
      <w:start w:val="1"/>
      <w:numFmt w:val="decimal"/>
      <w:lvlText w:val="%7."/>
      <w:lvlJc w:val="left"/>
      <w:pPr>
        <w:ind w:left="2520" w:hanging="360"/>
      </w:pPr>
    </w:lvl>
    <w:lvl w:ilvl="7" w:tplc="2D2404EC">
      <w:start w:val="1"/>
      <w:numFmt w:val="lowerLetter"/>
      <w:lvlText w:val="%8."/>
      <w:lvlJc w:val="left"/>
      <w:pPr>
        <w:ind w:left="2880" w:hanging="360"/>
      </w:pPr>
    </w:lvl>
    <w:lvl w:ilvl="8" w:tplc="40E02F80">
      <w:start w:val="1"/>
      <w:numFmt w:val="lowerRoman"/>
      <w:lvlText w:val="%9."/>
      <w:lvlJc w:val="left"/>
      <w:pPr>
        <w:ind w:left="3240" w:hanging="360"/>
      </w:pPr>
    </w:lvl>
  </w:abstractNum>
  <w:abstractNum w:abstractNumId="28" w15:restartNumberingAfterBreak="0">
    <w:nsid w:val="39D02D64"/>
    <w:multiLevelType w:val="hybridMultilevel"/>
    <w:tmpl w:val="2BA83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131157D"/>
    <w:multiLevelType w:val="hybridMultilevel"/>
    <w:tmpl w:val="71A65574"/>
    <w:lvl w:ilvl="0" w:tplc="CB32E010">
      <w:start w:val="1"/>
      <w:numFmt w:val="bullet"/>
      <w:lvlText w:val=""/>
      <w:lvlJc w:val="left"/>
      <w:pPr>
        <w:ind w:left="720" w:hanging="360"/>
      </w:pPr>
      <w:rPr>
        <w:rFonts w:ascii="Symbol" w:hAnsi="Symbol" w:hint="default"/>
      </w:rPr>
    </w:lvl>
    <w:lvl w:ilvl="1" w:tplc="46ACAB6E">
      <w:start w:val="1"/>
      <w:numFmt w:val="bullet"/>
      <w:lvlText w:val="o"/>
      <w:lvlJc w:val="left"/>
      <w:pPr>
        <w:ind w:left="1440" w:hanging="360"/>
      </w:pPr>
      <w:rPr>
        <w:rFonts w:ascii="Courier New" w:hAnsi="Courier New" w:hint="default"/>
      </w:rPr>
    </w:lvl>
    <w:lvl w:ilvl="2" w:tplc="3908322C">
      <w:start w:val="1"/>
      <w:numFmt w:val="bullet"/>
      <w:lvlText w:val=""/>
      <w:lvlJc w:val="left"/>
      <w:pPr>
        <w:ind w:left="2160" w:hanging="360"/>
      </w:pPr>
      <w:rPr>
        <w:rFonts w:ascii="Wingdings" w:hAnsi="Wingdings" w:hint="default"/>
      </w:rPr>
    </w:lvl>
    <w:lvl w:ilvl="3" w:tplc="43EC19DC">
      <w:start w:val="1"/>
      <w:numFmt w:val="bullet"/>
      <w:lvlText w:val=""/>
      <w:lvlJc w:val="left"/>
      <w:pPr>
        <w:ind w:left="2880" w:hanging="360"/>
      </w:pPr>
      <w:rPr>
        <w:rFonts w:ascii="Symbol" w:hAnsi="Symbol" w:hint="default"/>
      </w:rPr>
    </w:lvl>
    <w:lvl w:ilvl="4" w:tplc="650ACCE6">
      <w:start w:val="1"/>
      <w:numFmt w:val="bullet"/>
      <w:lvlText w:val="o"/>
      <w:lvlJc w:val="left"/>
      <w:pPr>
        <w:ind w:left="3600" w:hanging="360"/>
      </w:pPr>
      <w:rPr>
        <w:rFonts w:ascii="Courier New" w:hAnsi="Courier New" w:hint="default"/>
      </w:rPr>
    </w:lvl>
    <w:lvl w:ilvl="5" w:tplc="262CD114">
      <w:start w:val="1"/>
      <w:numFmt w:val="bullet"/>
      <w:lvlText w:val=""/>
      <w:lvlJc w:val="left"/>
      <w:pPr>
        <w:ind w:left="4320" w:hanging="360"/>
      </w:pPr>
      <w:rPr>
        <w:rFonts w:ascii="Wingdings" w:hAnsi="Wingdings" w:hint="default"/>
      </w:rPr>
    </w:lvl>
    <w:lvl w:ilvl="6" w:tplc="AD284C1C">
      <w:start w:val="1"/>
      <w:numFmt w:val="bullet"/>
      <w:lvlText w:val=""/>
      <w:lvlJc w:val="left"/>
      <w:pPr>
        <w:ind w:left="5040" w:hanging="360"/>
      </w:pPr>
      <w:rPr>
        <w:rFonts w:ascii="Symbol" w:hAnsi="Symbol" w:hint="default"/>
      </w:rPr>
    </w:lvl>
    <w:lvl w:ilvl="7" w:tplc="66206630">
      <w:start w:val="1"/>
      <w:numFmt w:val="bullet"/>
      <w:lvlText w:val="o"/>
      <w:lvlJc w:val="left"/>
      <w:pPr>
        <w:ind w:left="5760" w:hanging="360"/>
      </w:pPr>
      <w:rPr>
        <w:rFonts w:ascii="Courier New" w:hAnsi="Courier New" w:hint="default"/>
      </w:rPr>
    </w:lvl>
    <w:lvl w:ilvl="8" w:tplc="AB5A2346">
      <w:start w:val="1"/>
      <w:numFmt w:val="bullet"/>
      <w:lvlText w:val=""/>
      <w:lvlJc w:val="left"/>
      <w:pPr>
        <w:ind w:left="6480" w:hanging="360"/>
      </w:pPr>
      <w:rPr>
        <w:rFonts w:ascii="Wingdings" w:hAnsi="Wingdings" w:hint="default"/>
      </w:rPr>
    </w:lvl>
  </w:abstractNum>
  <w:abstractNum w:abstractNumId="30" w15:restartNumberingAfterBreak="0">
    <w:nsid w:val="428F9B77"/>
    <w:multiLevelType w:val="hybridMultilevel"/>
    <w:tmpl w:val="2F728BAC"/>
    <w:lvl w:ilvl="0" w:tplc="EABA9CBE">
      <w:start w:val="1"/>
      <w:numFmt w:val="bullet"/>
      <w:lvlText w:val=""/>
      <w:lvlJc w:val="left"/>
      <w:pPr>
        <w:ind w:left="720" w:hanging="360"/>
      </w:pPr>
      <w:rPr>
        <w:rFonts w:ascii="Symbol" w:hAnsi="Symbol" w:hint="default"/>
      </w:rPr>
    </w:lvl>
    <w:lvl w:ilvl="1" w:tplc="D6A06796">
      <w:start w:val="1"/>
      <w:numFmt w:val="bullet"/>
      <w:lvlText w:val="o"/>
      <w:lvlJc w:val="left"/>
      <w:pPr>
        <w:ind w:left="1440" w:hanging="360"/>
      </w:pPr>
      <w:rPr>
        <w:rFonts w:ascii="Courier New" w:hAnsi="Courier New" w:hint="default"/>
      </w:rPr>
    </w:lvl>
    <w:lvl w:ilvl="2" w:tplc="5CB61B08">
      <w:start w:val="1"/>
      <w:numFmt w:val="bullet"/>
      <w:lvlText w:val=""/>
      <w:lvlJc w:val="left"/>
      <w:pPr>
        <w:ind w:left="2160" w:hanging="360"/>
      </w:pPr>
      <w:rPr>
        <w:rFonts w:ascii="Wingdings" w:hAnsi="Wingdings" w:hint="default"/>
      </w:rPr>
    </w:lvl>
    <w:lvl w:ilvl="3" w:tplc="4EEE77AA">
      <w:start w:val="1"/>
      <w:numFmt w:val="bullet"/>
      <w:lvlText w:val=""/>
      <w:lvlJc w:val="left"/>
      <w:pPr>
        <w:ind w:left="2880" w:hanging="360"/>
      </w:pPr>
      <w:rPr>
        <w:rFonts w:ascii="Symbol" w:hAnsi="Symbol" w:hint="default"/>
      </w:rPr>
    </w:lvl>
    <w:lvl w:ilvl="4" w:tplc="2A626822">
      <w:start w:val="1"/>
      <w:numFmt w:val="bullet"/>
      <w:lvlText w:val="o"/>
      <w:lvlJc w:val="left"/>
      <w:pPr>
        <w:ind w:left="3600" w:hanging="360"/>
      </w:pPr>
      <w:rPr>
        <w:rFonts w:ascii="Courier New" w:hAnsi="Courier New" w:hint="default"/>
      </w:rPr>
    </w:lvl>
    <w:lvl w:ilvl="5" w:tplc="44246FEA">
      <w:start w:val="1"/>
      <w:numFmt w:val="bullet"/>
      <w:lvlText w:val=""/>
      <w:lvlJc w:val="left"/>
      <w:pPr>
        <w:ind w:left="4320" w:hanging="360"/>
      </w:pPr>
      <w:rPr>
        <w:rFonts w:ascii="Wingdings" w:hAnsi="Wingdings" w:hint="default"/>
      </w:rPr>
    </w:lvl>
    <w:lvl w:ilvl="6" w:tplc="C0E83C64">
      <w:start w:val="1"/>
      <w:numFmt w:val="bullet"/>
      <w:lvlText w:val=""/>
      <w:lvlJc w:val="left"/>
      <w:pPr>
        <w:ind w:left="5040" w:hanging="360"/>
      </w:pPr>
      <w:rPr>
        <w:rFonts w:ascii="Symbol" w:hAnsi="Symbol" w:hint="default"/>
      </w:rPr>
    </w:lvl>
    <w:lvl w:ilvl="7" w:tplc="1CC62288">
      <w:start w:val="1"/>
      <w:numFmt w:val="bullet"/>
      <w:lvlText w:val="o"/>
      <w:lvlJc w:val="left"/>
      <w:pPr>
        <w:ind w:left="5760" w:hanging="360"/>
      </w:pPr>
      <w:rPr>
        <w:rFonts w:ascii="Courier New" w:hAnsi="Courier New" w:hint="default"/>
      </w:rPr>
    </w:lvl>
    <w:lvl w:ilvl="8" w:tplc="FBEC4876">
      <w:start w:val="1"/>
      <w:numFmt w:val="bullet"/>
      <w:lvlText w:val=""/>
      <w:lvlJc w:val="left"/>
      <w:pPr>
        <w:ind w:left="6480" w:hanging="360"/>
      </w:pPr>
      <w:rPr>
        <w:rFonts w:ascii="Wingdings" w:hAnsi="Wingdings" w:hint="default"/>
      </w:rPr>
    </w:lvl>
  </w:abstractNum>
  <w:abstractNum w:abstractNumId="3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2" w15:restartNumberingAfterBreak="0">
    <w:nsid w:val="510D2021"/>
    <w:multiLevelType w:val="multilevel"/>
    <w:tmpl w:val="72F8140E"/>
    <w:numStyleLink w:val="OutlineList"/>
  </w:abstractNum>
  <w:abstractNum w:abstractNumId="3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6EFC64B"/>
    <w:multiLevelType w:val="hybridMultilevel"/>
    <w:tmpl w:val="F97CB3F4"/>
    <w:lvl w:ilvl="0" w:tplc="356A9162">
      <w:start w:val="1"/>
      <w:numFmt w:val="bullet"/>
      <w:lvlText w:val=""/>
      <w:lvlJc w:val="left"/>
      <w:pPr>
        <w:ind w:left="720" w:hanging="360"/>
      </w:pPr>
      <w:rPr>
        <w:rFonts w:ascii="Symbol" w:hAnsi="Symbol" w:hint="default"/>
      </w:rPr>
    </w:lvl>
    <w:lvl w:ilvl="1" w:tplc="FE1E8FE4">
      <w:start w:val="1"/>
      <w:numFmt w:val="bullet"/>
      <w:lvlText w:val="o"/>
      <w:lvlJc w:val="left"/>
      <w:pPr>
        <w:ind w:left="1440" w:hanging="360"/>
      </w:pPr>
      <w:rPr>
        <w:rFonts w:ascii="Courier New" w:hAnsi="Courier New" w:hint="default"/>
      </w:rPr>
    </w:lvl>
    <w:lvl w:ilvl="2" w:tplc="B7F478E6">
      <w:start w:val="1"/>
      <w:numFmt w:val="bullet"/>
      <w:lvlText w:val=""/>
      <w:lvlJc w:val="left"/>
      <w:pPr>
        <w:ind w:left="2160" w:hanging="360"/>
      </w:pPr>
      <w:rPr>
        <w:rFonts w:ascii="Wingdings" w:hAnsi="Wingdings" w:hint="default"/>
      </w:rPr>
    </w:lvl>
    <w:lvl w:ilvl="3" w:tplc="8ED855E0">
      <w:start w:val="1"/>
      <w:numFmt w:val="bullet"/>
      <w:lvlText w:val=""/>
      <w:lvlJc w:val="left"/>
      <w:pPr>
        <w:ind w:left="2880" w:hanging="360"/>
      </w:pPr>
      <w:rPr>
        <w:rFonts w:ascii="Symbol" w:hAnsi="Symbol" w:hint="default"/>
      </w:rPr>
    </w:lvl>
    <w:lvl w:ilvl="4" w:tplc="E320C3A2">
      <w:start w:val="1"/>
      <w:numFmt w:val="bullet"/>
      <w:lvlText w:val="o"/>
      <w:lvlJc w:val="left"/>
      <w:pPr>
        <w:ind w:left="3600" w:hanging="360"/>
      </w:pPr>
      <w:rPr>
        <w:rFonts w:ascii="Courier New" w:hAnsi="Courier New" w:hint="default"/>
      </w:rPr>
    </w:lvl>
    <w:lvl w:ilvl="5" w:tplc="9788B5A4">
      <w:start w:val="1"/>
      <w:numFmt w:val="bullet"/>
      <w:lvlText w:val=""/>
      <w:lvlJc w:val="left"/>
      <w:pPr>
        <w:ind w:left="4320" w:hanging="360"/>
      </w:pPr>
      <w:rPr>
        <w:rFonts w:ascii="Wingdings" w:hAnsi="Wingdings" w:hint="default"/>
      </w:rPr>
    </w:lvl>
    <w:lvl w:ilvl="6" w:tplc="C3B0B808">
      <w:start w:val="1"/>
      <w:numFmt w:val="bullet"/>
      <w:lvlText w:val=""/>
      <w:lvlJc w:val="left"/>
      <w:pPr>
        <w:ind w:left="5040" w:hanging="360"/>
      </w:pPr>
      <w:rPr>
        <w:rFonts w:ascii="Symbol" w:hAnsi="Symbol" w:hint="default"/>
      </w:rPr>
    </w:lvl>
    <w:lvl w:ilvl="7" w:tplc="BAD4D390">
      <w:start w:val="1"/>
      <w:numFmt w:val="bullet"/>
      <w:lvlText w:val="o"/>
      <w:lvlJc w:val="left"/>
      <w:pPr>
        <w:ind w:left="5760" w:hanging="360"/>
      </w:pPr>
      <w:rPr>
        <w:rFonts w:ascii="Courier New" w:hAnsi="Courier New" w:hint="default"/>
      </w:rPr>
    </w:lvl>
    <w:lvl w:ilvl="8" w:tplc="EADC8C8C">
      <w:start w:val="1"/>
      <w:numFmt w:val="bullet"/>
      <w:lvlText w:val=""/>
      <w:lvlJc w:val="left"/>
      <w:pPr>
        <w:ind w:left="6480" w:hanging="360"/>
      </w:pPr>
      <w:rPr>
        <w:rFonts w:ascii="Wingdings" w:hAnsi="Wingdings" w:hint="default"/>
      </w:rPr>
    </w:lvl>
  </w:abstractNum>
  <w:abstractNum w:abstractNumId="35" w15:restartNumberingAfterBreak="0">
    <w:nsid w:val="59BF4024"/>
    <w:multiLevelType w:val="hybridMultilevel"/>
    <w:tmpl w:val="A89E37DA"/>
    <w:lvl w:ilvl="0" w:tplc="2B3274B0">
      <w:start w:val="1"/>
      <w:numFmt w:val="bullet"/>
      <w:lvlText w:val="•"/>
      <w:lvlJc w:val="left"/>
      <w:pPr>
        <w:tabs>
          <w:tab w:val="num" w:pos="720"/>
        </w:tabs>
        <w:ind w:left="720" w:hanging="360"/>
      </w:pPr>
      <w:rPr>
        <w:rFonts w:ascii="Arial" w:hAnsi="Arial" w:hint="default"/>
      </w:rPr>
    </w:lvl>
    <w:lvl w:ilvl="1" w:tplc="2626F8DC" w:tentative="1">
      <w:start w:val="1"/>
      <w:numFmt w:val="bullet"/>
      <w:lvlText w:val="•"/>
      <w:lvlJc w:val="left"/>
      <w:pPr>
        <w:tabs>
          <w:tab w:val="num" w:pos="1440"/>
        </w:tabs>
        <w:ind w:left="1440" w:hanging="360"/>
      </w:pPr>
      <w:rPr>
        <w:rFonts w:ascii="Arial" w:hAnsi="Arial" w:hint="default"/>
      </w:rPr>
    </w:lvl>
    <w:lvl w:ilvl="2" w:tplc="D86C66A0" w:tentative="1">
      <w:start w:val="1"/>
      <w:numFmt w:val="bullet"/>
      <w:lvlText w:val="•"/>
      <w:lvlJc w:val="left"/>
      <w:pPr>
        <w:tabs>
          <w:tab w:val="num" w:pos="2160"/>
        </w:tabs>
        <w:ind w:left="2160" w:hanging="360"/>
      </w:pPr>
      <w:rPr>
        <w:rFonts w:ascii="Arial" w:hAnsi="Arial" w:hint="default"/>
      </w:rPr>
    </w:lvl>
    <w:lvl w:ilvl="3" w:tplc="88E2CA4A" w:tentative="1">
      <w:start w:val="1"/>
      <w:numFmt w:val="bullet"/>
      <w:lvlText w:val="•"/>
      <w:lvlJc w:val="left"/>
      <w:pPr>
        <w:tabs>
          <w:tab w:val="num" w:pos="2880"/>
        </w:tabs>
        <w:ind w:left="2880" w:hanging="360"/>
      </w:pPr>
      <w:rPr>
        <w:rFonts w:ascii="Arial" w:hAnsi="Arial" w:hint="default"/>
      </w:rPr>
    </w:lvl>
    <w:lvl w:ilvl="4" w:tplc="34DAE43A" w:tentative="1">
      <w:start w:val="1"/>
      <w:numFmt w:val="bullet"/>
      <w:lvlText w:val="•"/>
      <w:lvlJc w:val="left"/>
      <w:pPr>
        <w:tabs>
          <w:tab w:val="num" w:pos="3600"/>
        </w:tabs>
        <w:ind w:left="3600" w:hanging="360"/>
      </w:pPr>
      <w:rPr>
        <w:rFonts w:ascii="Arial" w:hAnsi="Arial" w:hint="default"/>
      </w:rPr>
    </w:lvl>
    <w:lvl w:ilvl="5" w:tplc="1A184B56" w:tentative="1">
      <w:start w:val="1"/>
      <w:numFmt w:val="bullet"/>
      <w:lvlText w:val="•"/>
      <w:lvlJc w:val="left"/>
      <w:pPr>
        <w:tabs>
          <w:tab w:val="num" w:pos="4320"/>
        </w:tabs>
        <w:ind w:left="4320" w:hanging="360"/>
      </w:pPr>
      <w:rPr>
        <w:rFonts w:ascii="Arial" w:hAnsi="Arial" w:hint="default"/>
      </w:rPr>
    </w:lvl>
    <w:lvl w:ilvl="6" w:tplc="814490B6" w:tentative="1">
      <w:start w:val="1"/>
      <w:numFmt w:val="bullet"/>
      <w:lvlText w:val="•"/>
      <w:lvlJc w:val="left"/>
      <w:pPr>
        <w:tabs>
          <w:tab w:val="num" w:pos="5040"/>
        </w:tabs>
        <w:ind w:left="5040" w:hanging="360"/>
      </w:pPr>
      <w:rPr>
        <w:rFonts w:ascii="Arial" w:hAnsi="Arial" w:hint="default"/>
      </w:rPr>
    </w:lvl>
    <w:lvl w:ilvl="7" w:tplc="2BACE9A6" w:tentative="1">
      <w:start w:val="1"/>
      <w:numFmt w:val="bullet"/>
      <w:lvlText w:val="•"/>
      <w:lvlJc w:val="left"/>
      <w:pPr>
        <w:tabs>
          <w:tab w:val="num" w:pos="5760"/>
        </w:tabs>
        <w:ind w:left="5760" w:hanging="360"/>
      </w:pPr>
      <w:rPr>
        <w:rFonts w:ascii="Arial" w:hAnsi="Arial" w:hint="default"/>
      </w:rPr>
    </w:lvl>
    <w:lvl w:ilvl="8" w:tplc="301632C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A053353"/>
    <w:multiLevelType w:val="hybridMultilevel"/>
    <w:tmpl w:val="6570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B86283"/>
    <w:multiLevelType w:val="hybridMultilevel"/>
    <w:tmpl w:val="0CAEE9E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0" w15:restartNumberingAfterBreak="0">
    <w:nsid w:val="6F0D107F"/>
    <w:multiLevelType w:val="multilevel"/>
    <w:tmpl w:val="1EB20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427B5E"/>
    <w:multiLevelType w:val="multilevel"/>
    <w:tmpl w:val="D10E9CF6"/>
    <w:numStyleLink w:val="OneLevelList"/>
  </w:abstractNum>
  <w:abstractNum w:abstractNumId="42"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883155F"/>
    <w:multiLevelType w:val="hybridMultilevel"/>
    <w:tmpl w:val="268E5E70"/>
    <w:lvl w:ilvl="0" w:tplc="93A6ADBA">
      <w:start w:val="4"/>
      <w:numFmt w:val="bullet"/>
      <w:lvlText w:val=""/>
      <w:lvlJc w:val="left"/>
      <w:pPr>
        <w:ind w:left="2160" w:hanging="360"/>
      </w:pPr>
      <w:rPr>
        <w:rFonts w:ascii="Symbol" w:eastAsia="Calibri" w:hAnsi="Symbol" w:cs="Times New Roman"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44" w15:restartNumberingAfterBreak="0">
    <w:nsid w:val="7AA14ED4"/>
    <w:multiLevelType w:val="hybridMultilevel"/>
    <w:tmpl w:val="DAE4F966"/>
    <w:lvl w:ilvl="0" w:tplc="83C6BA78">
      <w:start w:val="1"/>
      <w:numFmt w:val="bullet"/>
      <w:lvlText w:val="•"/>
      <w:lvlJc w:val="left"/>
      <w:pPr>
        <w:tabs>
          <w:tab w:val="num" w:pos="720"/>
        </w:tabs>
        <w:ind w:left="720" w:hanging="360"/>
      </w:pPr>
      <w:rPr>
        <w:rFonts w:ascii="Arial" w:hAnsi="Arial" w:cs="Times New Roman" w:hint="default"/>
      </w:rPr>
    </w:lvl>
    <w:lvl w:ilvl="1" w:tplc="43BE4328">
      <w:start w:val="1"/>
      <w:numFmt w:val="bullet"/>
      <w:lvlText w:val="•"/>
      <w:lvlJc w:val="left"/>
      <w:pPr>
        <w:tabs>
          <w:tab w:val="num" w:pos="1440"/>
        </w:tabs>
        <w:ind w:left="1440" w:hanging="360"/>
      </w:pPr>
      <w:rPr>
        <w:rFonts w:ascii="Arial" w:hAnsi="Arial" w:cs="Times New Roman" w:hint="default"/>
      </w:rPr>
    </w:lvl>
    <w:lvl w:ilvl="2" w:tplc="C9207A1C">
      <w:start w:val="1"/>
      <w:numFmt w:val="bullet"/>
      <w:lvlText w:val="•"/>
      <w:lvlJc w:val="left"/>
      <w:pPr>
        <w:tabs>
          <w:tab w:val="num" w:pos="2160"/>
        </w:tabs>
        <w:ind w:left="2160" w:hanging="360"/>
      </w:pPr>
      <w:rPr>
        <w:rFonts w:ascii="Arial" w:hAnsi="Arial" w:cs="Times New Roman" w:hint="default"/>
      </w:rPr>
    </w:lvl>
    <w:lvl w:ilvl="3" w:tplc="0D5C06B0">
      <w:start w:val="1"/>
      <w:numFmt w:val="bullet"/>
      <w:lvlText w:val="•"/>
      <w:lvlJc w:val="left"/>
      <w:pPr>
        <w:tabs>
          <w:tab w:val="num" w:pos="2880"/>
        </w:tabs>
        <w:ind w:left="2880" w:hanging="360"/>
      </w:pPr>
      <w:rPr>
        <w:rFonts w:ascii="Arial" w:hAnsi="Arial" w:cs="Times New Roman" w:hint="default"/>
      </w:rPr>
    </w:lvl>
    <w:lvl w:ilvl="4" w:tplc="123CE5D6">
      <w:start w:val="1"/>
      <w:numFmt w:val="bullet"/>
      <w:lvlText w:val="•"/>
      <w:lvlJc w:val="left"/>
      <w:pPr>
        <w:tabs>
          <w:tab w:val="num" w:pos="3600"/>
        </w:tabs>
        <w:ind w:left="3600" w:hanging="360"/>
      </w:pPr>
      <w:rPr>
        <w:rFonts w:ascii="Arial" w:hAnsi="Arial" w:cs="Times New Roman" w:hint="default"/>
      </w:rPr>
    </w:lvl>
    <w:lvl w:ilvl="5" w:tplc="CD66654A">
      <w:start w:val="1"/>
      <w:numFmt w:val="bullet"/>
      <w:lvlText w:val="•"/>
      <w:lvlJc w:val="left"/>
      <w:pPr>
        <w:tabs>
          <w:tab w:val="num" w:pos="4320"/>
        </w:tabs>
        <w:ind w:left="4320" w:hanging="360"/>
      </w:pPr>
      <w:rPr>
        <w:rFonts w:ascii="Arial" w:hAnsi="Arial" w:cs="Times New Roman" w:hint="default"/>
      </w:rPr>
    </w:lvl>
    <w:lvl w:ilvl="6" w:tplc="647A3C2E">
      <w:start w:val="1"/>
      <w:numFmt w:val="bullet"/>
      <w:lvlText w:val="•"/>
      <w:lvlJc w:val="left"/>
      <w:pPr>
        <w:tabs>
          <w:tab w:val="num" w:pos="5040"/>
        </w:tabs>
        <w:ind w:left="5040" w:hanging="360"/>
      </w:pPr>
      <w:rPr>
        <w:rFonts w:ascii="Arial" w:hAnsi="Arial" w:cs="Times New Roman" w:hint="default"/>
      </w:rPr>
    </w:lvl>
    <w:lvl w:ilvl="7" w:tplc="358A3BBA">
      <w:start w:val="1"/>
      <w:numFmt w:val="bullet"/>
      <w:lvlText w:val="•"/>
      <w:lvlJc w:val="left"/>
      <w:pPr>
        <w:tabs>
          <w:tab w:val="num" w:pos="5760"/>
        </w:tabs>
        <w:ind w:left="5760" w:hanging="360"/>
      </w:pPr>
      <w:rPr>
        <w:rFonts w:ascii="Arial" w:hAnsi="Arial" w:cs="Times New Roman" w:hint="default"/>
      </w:rPr>
    </w:lvl>
    <w:lvl w:ilvl="8" w:tplc="DB2005E8">
      <w:start w:val="1"/>
      <w:numFmt w:val="bullet"/>
      <w:lvlText w:val="•"/>
      <w:lvlJc w:val="left"/>
      <w:pPr>
        <w:tabs>
          <w:tab w:val="num" w:pos="6480"/>
        </w:tabs>
        <w:ind w:left="6480" w:hanging="360"/>
      </w:pPr>
      <w:rPr>
        <w:rFonts w:ascii="Arial" w:hAnsi="Arial" w:cs="Times New Roman" w:hint="default"/>
      </w:rPr>
    </w:lvl>
  </w:abstractNum>
  <w:abstractNum w:abstractNumId="45"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2"/>
  </w:num>
  <w:num w:numId="2">
    <w:abstractNumId w:val="21"/>
  </w:num>
  <w:num w:numId="3">
    <w:abstractNumId w:val="3"/>
  </w:num>
  <w:num w:numId="4">
    <w:abstractNumId w:val="25"/>
  </w:num>
  <w:num w:numId="5">
    <w:abstractNumId w:val="7"/>
  </w:num>
  <w:num w:numId="6">
    <w:abstractNumId w:val="32"/>
  </w:num>
  <w:num w:numId="7">
    <w:abstractNumId w:val="2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4"/>
  </w:num>
  <w:num w:numId="9">
    <w:abstractNumId w:val="19"/>
  </w:num>
  <w:num w:numId="10">
    <w:abstractNumId w:val="24"/>
  </w:num>
  <w:num w:numId="11">
    <w:abstractNumId w:val="9"/>
  </w:num>
  <w:num w:numId="12">
    <w:abstractNumId w:val="39"/>
  </w:num>
  <w:num w:numId="13">
    <w:abstractNumId w:val="10"/>
  </w:num>
  <w:num w:numId="14">
    <w:abstractNumId w:val="28"/>
  </w:num>
  <w:num w:numId="15">
    <w:abstractNumId w:val="44"/>
  </w:num>
  <w:num w:numId="16">
    <w:abstractNumId w:val="15"/>
  </w:num>
  <w:num w:numId="17">
    <w:abstractNumId w:val="11"/>
  </w:num>
  <w:num w:numId="18">
    <w:abstractNumId w:val="5"/>
  </w:num>
  <w:num w:numId="19">
    <w:abstractNumId w:val="46"/>
  </w:num>
  <w:num w:numId="20">
    <w:abstractNumId w:val="47"/>
  </w:num>
  <w:num w:numId="21">
    <w:abstractNumId w:val="31"/>
  </w:num>
  <w:num w:numId="22">
    <w:abstractNumId w:val="18"/>
  </w:num>
  <w:num w:numId="23">
    <w:abstractNumId w:val="37"/>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3"/>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4"/>
  </w:num>
  <w:num w:numId="31">
    <w:abstractNumId w:val="30"/>
  </w:num>
  <w:num w:numId="32">
    <w:abstractNumId w:val="29"/>
  </w:num>
  <w:num w:numId="33">
    <w:abstractNumId w:val="6"/>
  </w:num>
  <w:num w:numId="34">
    <w:abstractNumId w:val="27"/>
  </w:num>
  <w:num w:numId="35">
    <w:abstractNumId w:val="38"/>
  </w:num>
  <w:num w:numId="36">
    <w:abstractNumId w:val="8"/>
  </w:num>
  <w:num w:numId="37">
    <w:abstractNumId w:val="12"/>
  </w:num>
  <w:num w:numId="38">
    <w:abstractNumId w:val="2"/>
  </w:num>
  <w:num w:numId="39">
    <w:abstractNumId w:val="36"/>
  </w:num>
  <w:num w:numId="40">
    <w:abstractNumId w:val="13"/>
  </w:num>
  <w:num w:numId="41">
    <w:abstractNumId w:val="0"/>
  </w:num>
  <w:num w:numId="42">
    <w:abstractNumId w:val="40"/>
  </w:num>
  <w:num w:numId="43">
    <w:abstractNumId w:val="43"/>
  </w:num>
  <w:num w:numId="44">
    <w:abstractNumId w:val="1"/>
  </w:num>
  <w:num w:numId="45">
    <w:abstractNumId w:val="20"/>
  </w:num>
  <w:num w:numId="46">
    <w:abstractNumId w:val="4"/>
  </w:num>
  <w:num w:numId="47">
    <w:abstractNumId w:val="35"/>
  </w:num>
  <w:num w:numId="48">
    <w:abstractNumId w:val="41"/>
  </w:num>
  <w:num w:numId="49">
    <w:abstractNumId w:val="16"/>
  </w:num>
  <w:num w:numId="5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073521"/>
    <w:rsid w:val="000008EF"/>
    <w:rsid w:val="00001156"/>
    <w:rsid w:val="000015A8"/>
    <w:rsid w:val="000017E4"/>
    <w:rsid w:val="00002691"/>
    <w:rsid w:val="000034A8"/>
    <w:rsid w:val="00003CE6"/>
    <w:rsid w:val="00003DC5"/>
    <w:rsid w:val="0000433D"/>
    <w:rsid w:val="00004E9C"/>
    <w:rsid w:val="00005689"/>
    <w:rsid w:val="00005F4C"/>
    <w:rsid w:val="00006166"/>
    <w:rsid w:val="000068C2"/>
    <w:rsid w:val="00006D64"/>
    <w:rsid w:val="000079F5"/>
    <w:rsid w:val="00011725"/>
    <w:rsid w:val="0001212A"/>
    <w:rsid w:val="00012C62"/>
    <w:rsid w:val="00012C8F"/>
    <w:rsid w:val="00012ED7"/>
    <w:rsid w:val="0001396A"/>
    <w:rsid w:val="00014030"/>
    <w:rsid w:val="00014CAB"/>
    <w:rsid w:val="00015060"/>
    <w:rsid w:val="00015858"/>
    <w:rsid w:val="00015923"/>
    <w:rsid w:val="00016024"/>
    <w:rsid w:val="00016D7B"/>
    <w:rsid w:val="00016DE4"/>
    <w:rsid w:val="0001767B"/>
    <w:rsid w:val="00017781"/>
    <w:rsid w:val="00017A25"/>
    <w:rsid w:val="00017AF6"/>
    <w:rsid w:val="00017E59"/>
    <w:rsid w:val="00020B5A"/>
    <w:rsid w:val="00020E13"/>
    <w:rsid w:val="0002233F"/>
    <w:rsid w:val="00023182"/>
    <w:rsid w:val="00024AE8"/>
    <w:rsid w:val="00024EB5"/>
    <w:rsid w:val="0002544D"/>
    <w:rsid w:val="0002574E"/>
    <w:rsid w:val="00025F3D"/>
    <w:rsid w:val="00025F67"/>
    <w:rsid w:val="000266E7"/>
    <w:rsid w:val="00026EB8"/>
    <w:rsid w:val="000271F4"/>
    <w:rsid w:val="00027C38"/>
    <w:rsid w:val="00027DB4"/>
    <w:rsid w:val="00027F47"/>
    <w:rsid w:val="000305C2"/>
    <w:rsid w:val="000315B9"/>
    <w:rsid w:val="00031941"/>
    <w:rsid w:val="00031B0E"/>
    <w:rsid w:val="00032908"/>
    <w:rsid w:val="000331D6"/>
    <w:rsid w:val="000350AE"/>
    <w:rsid w:val="000353B8"/>
    <w:rsid w:val="000355E2"/>
    <w:rsid w:val="00035D21"/>
    <w:rsid w:val="00036605"/>
    <w:rsid w:val="000374BD"/>
    <w:rsid w:val="00037B28"/>
    <w:rsid w:val="00040AD5"/>
    <w:rsid w:val="000410FA"/>
    <w:rsid w:val="000412B0"/>
    <w:rsid w:val="00041FCD"/>
    <w:rsid w:val="0004274D"/>
    <w:rsid w:val="00043348"/>
    <w:rsid w:val="00043853"/>
    <w:rsid w:val="00043958"/>
    <w:rsid w:val="00043F5A"/>
    <w:rsid w:val="000442A6"/>
    <w:rsid w:val="00044540"/>
    <w:rsid w:val="0004483F"/>
    <w:rsid w:val="00045384"/>
    <w:rsid w:val="000454AC"/>
    <w:rsid w:val="0004566D"/>
    <w:rsid w:val="0004581D"/>
    <w:rsid w:val="00045E07"/>
    <w:rsid w:val="00045F03"/>
    <w:rsid w:val="000466D6"/>
    <w:rsid w:val="00046CB4"/>
    <w:rsid w:val="00046EA1"/>
    <w:rsid w:val="00046FF1"/>
    <w:rsid w:val="00047289"/>
    <w:rsid w:val="000473D4"/>
    <w:rsid w:val="00047F6F"/>
    <w:rsid w:val="00050034"/>
    <w:rsid w:val="00050504"/>
    <w:rsid w:val="00050571"/>
    <w:rsid w:val="00050620"/>
    <w:rsid w:val="0005113F"/>
    <w:rsid w:val="00051280"/>
    <w:rsid w:val="0005138B"/>
    <w:rsid w:val="000522B7"/>
    <w:rsid w:val="00052CC7"/>
    <w:rsid w:val="00053717"/>
    <w:rsid w:val="00054232"/>
    <w:rsid w:val="000548F7"/>
    <w:rsid w:val="00055236"/>
    <w:rsid w:val="00056880"/>
    <w:rsid w:val="00056ADC"/>
    <w:rsid w:val="000570BE"/>
    <w:rsid w:val="0005729D"/>
    <w:rsid w:val="00057B51"/>
    <w:rsid w:val="00057BDD"/>
    <w:rsid w:val="00057E0E"/>
    <w:rsid w:val="00057E6D"/>
    <w:rsid w:val="00061D70"/>
    <w:rsid w:val="00061D71"/>
    <w:rsid w:val="00061E55"/>
    <w:rsid w:val="00061EF6"/>
    <w:rsid w:val="000623B7"/>
    <w:rsid w:val="00062F0C"/>
    <w:rsid w:val="000630D7"/>
    <w:rsid w:val="000637F6"/>
    <w:rsid w:val="00063BC9"/>
    <w:rsid w:val="00063FE1"/>
    <w:rsid w:val="00064A4E"/>
    <w:rsid w:val="000656D2"/>
    <w:rsid w:val="00065E83"/>
    <w:rsid w:val="0006676B"/>
    <w:rsid w:val="000671B5"/>
    <w:rsid w:val="000675D1"/>
    <w:rsid w:val="00070C01"/>
    <w:rsid w:val="00070DC5"/>
    <w:rsid w:val="000715BA"/>
    <w:rsid w:val="0007160A"/>
    <w:rsid w:val="00071BD3"/>
    <w:rsid w:val="00072639"/>
    <w:rsid w:val="00073521"/>
    <w:rsid w:val="00074710"/>
    <w:rsid w:val="00074D16"/>
    <w:rsid w:val="0007514B"/>
    <w:rsid w:val="0007529F"/>
    <w:rsid w:val="00076C43"/>
    <w:rsid w:val="000775DE"/>
    <w:rsid w:val="00077F4F"/>
    <w:rsid w:val="0008083B"/>
    <w:rsid w:val="00080C9F"/>
    <w:rsid w:val="00080FB0"/>
    <w:rsid w:val="00081761"/>
    <w:rsid w:val="00083575"/>
    <w:rsid w:val="00083878"/>
    <w:rsid w:val="00084493"/>
    <w:rsid w:val="000845D9"/>
    <w:rsid w:val="0008553E"/>
    <w:rsid w:val="00086875"/>
    <w:rsid w:val="00087348"/>
    <w:rsid w:val="000874D5"/>
    <w:rsid w:val="000879C2"/>
    <w:rsid w:val="00087EA4"/>
    <w:rsid w:val="00087FAF"/>
    <w:rsid w:val="00090346"/>
    <w:rsid w:val="00090A23"/>
    <w:rsid w:val="000913EB"/>
    <w:rsid w:val="000915BF"/>
    <w:rsid w:val="00091684"/>
    <w:rsid w:val="000926F8"/>
    <w:rsid w:val="00093829"/>
    <w:rsid w:val="00093B31"/>
    <w:rsid w:val="00094690"/>
    <w:rsid w:val="0009503B"/>
    <w:rsid w:val="0009539C"/>
    <w:rsid w:val="00095660"/>
    <w:rsid w:val="00095D88"/>
    <w:rsid w:val="0009645D"/>
    <w:rsid w:val="00096F9E"/>
    <w:rsid w:val="000A0178"/>
    <w:rsid w:val="000A0279"/>
    <w:rsid w:val="000A1184"/>
    <w:rsid w:val="000A1189"/>
    <w:rsid w:val="000A11F1"/>
    <w:rsid w:val="000A2B1A"/>
    <w:rsid w:val="000A30CB"/>
    <w:rsid w:val="000A3703"/>
    <w:rsid w:val="000A3A9B"/>
    <w:rsid w:val="000A4529"/>
    <w:rsid w:val="000A45C8"/>
    <w:rsid w:val="000A4811"/>
    <w:rsid w:val="000A5AD7"/>
    <w:rsid w:val="000A5CA2"/>
    <w:rsid w:val="000A6412"/>
    <w:rsid w:val="000A7799"/>
    <w:rsid w:val="000B0008"/>
    <w:rsid w:val="000B0061"/>
    <w:rsid w:val="000B0859"/>
    <w:rsid w:val="000B093F"/>
    <w:rsid w:val="000B0C9D"/>
    <w:rsid w:val="000B1D31"/>
    <w:rsid w:val="000B2038"/>
    <w:rsid w:val="000B2DA9"/>
    <w:rsid w:val="000B2E94"/>
    <w:rsid w:val="000B302A"/>
    <w:rsid w:val="000B35B3"/>
    <w:rsid w:val="000B3EC4"/>
    <w:rsid w:val="000B42A6"/>
    <w:rsid w:val="000B49F4"/>
    <w:rsid w:val="000B524E"/>
    <w:rsid w:val="000B5783"/>
    <w:rsid w:val="000B5BE8"/>
    <w:rsid w:val="000B6B2A"/>
    <w:rsid w:val="000C044E"/>
    <w:rsid w:val="000C0FF3"/>
    <w:rsid w:val="000C184F"/>
    <w:rsid w:val="000C1F68"/>
    <w:rsid w:val="000C27E5"/>
    <w:rsid w:val="000C2825"/>
    <w:rsid w:val="000C571D"/>
    <w:rsid w:val="000C5F40"/>
    <w:rsid w:val="000C695B"/>
    <w:rsid w:val="000C70A2"/>
    <w:rsid w:val="000C75EE"/>
    <w:rsid w:val="000C76DC"/>
    <w:rsid w:val="000C7C5C"/>
    <w:rsid w:val="000D04E8"/>
    <w:rsid w:val="000D0570"/>
    <w:rsid w:val="000D0CD6"/>
    <w:rsid w:val="000D0E2A"/>
    <w:rsid w:val="000D1514"/>
    <w:rsid w:val="000D1916"/>
    <w:rsid w:val="000D3090"/>
    <w:rsid w:val="000D377C"/>
    <w:rsid w:val="000D4679"/>
    <w:rsid w:val="000D480E"/>
    <w:rsid w:val="000D49D9"/>
    <w:rsid w:val="000D4B9A"/>
    <w:rsid w:val="000D4B9C"/>
    <w:rsid w:val="000D5ACF"/>
    <w:rsid w:val="000D5EED"/>
    <w:rsid w:val="000D68C7"/>
    <w:rsid w:val="000D6B78"/>
    <w:rsid w:val="000D6F2B"/>
    <w:rsid w:val="000D7188"/>
    <w:rsid w:val="000D7474"/>
    <w:rsid w:val="000D75B8"/>
    <w:rsid w:val="000D7A42"/>
    <w:rsid w:val="000D7A95"/>
    <w:rsid w:val="000D7EE9"/>
    <w:rsid w:val="000E073A"/>
    <w:rsid w:val="000E0788"/>
    <w:rsid w:val="000E0B74"/>
    <w:rsid w:val="000E152D"/>
    <w:rsid w:val="000E15DA"/>
    <w:rsid w:val="000E1E02"/>
    <w:rsid w:val="000E22C4"/>
    <w:rsid w:val="000E278C"/>
    <w:rsid w:val="000E384C"/>
    <w:rsid w:val="000E4E03"/>
    <w:rsid w:val="000E4EFD"/>
    <w:rsid w:val="000E4F07"/>
    <w:rsid w:val="000E5021"/>
    <w:rsid w:val="000E52E0"/>
    <w:rsid w:val="000E5E36"/>
    <w:rsid w:val="000E6799"/>
    <w:rsid w:val="000E6B35"/>
    <w:rsid w:val="000E70FE"/>
    <w:rsid w:val="000E7901"/>
    <w:rsid w:val="000E7A90"/>
    <w:rsid w:val="000F0450"/>
    <w:rsid w:val="000F08CC"/>
    <w:rsid w:val="000F10D6"/>
    <w:rsid w:val="000F15E9"/>
    <w:rsid w:val="000F1D0E"/>
    <w:rsid w:val="000F2F21"/>
    <w:rsid w:val="000F31A4"/>
    <w:rsid w:val="000F3A2E"/>
    <w:rsid w:val="000F4017"/>
    <w:rsid w:val="000F452D"/>
    <w:rsid w:val="000F4AF8"/>
    <w:rsid w:val="000F549D"/>
    <w:rsid w:val="000F5CE6"/>
    <w:rsid w:val="000F6214"/>
    <w:rsid w:val="000F6233"/>
    <w:rsid w:val="000F6D3C"/>
    <w:rsid w:val="000F7AD3"/>
    <w:rsid w:val="000F7C75"/>
    <w:rsid w:val="001000A9"/>
    <w:rsid w:val="001004CF"/>
    <w:rsid w:val="0010093F"/>
    <w:rsid w:val="00101038"/>
    <w:rsid w:val="001010FE"/>
    <w:rsid w:val="001015E1"/>
    <w:rsid w:val="001017E4"/>
    <w:rsid w:val="00101FE3"/>
    <w:rsid w:val="001021A4"/>
    <w:rsid w:val="00102BFD"/>
    <w:rsid w:val="00102F45"/>
    <w:rsid w:val="0010364D"/>
    <w:rsid w:val="00103F3C"/>
    <w:rsid w:val="00104345"/>
    <w:rsid w:val="00104659"/>
    <w:rsid w:val="00105576"/>
    <w:rsid w:val="0010676D"/>
    <w:rsid w:val="00106AA0"/>
    <w:rsid w:val="00106DA5"/>
    <w:rsid w:val="001072DF"/>
    <w:rsid w:val="00107542"/>
    <w:rsid w:val="001100D3"/>
    <w:rsid w:val="001107F8"/>
    <w:rsid w:val="00110ACD"/>
    <w:rsid w:val="00110E4F"/>
    <w:rsid w:val="001118CB"/>
    <w:rsid w:val="00111A2F"/>
    <w:rsid w:val="00111E3E"/>
    <w:rsid w:val="0011268D"/>
    <w:rsid w:val="00113D29"/>
    <w:rsid w:val="00114D1F"/>
    <w:rsid w:val="00114DB4"/>
    <w:rsid w:val="00115B73"/>
    <w:rsid w:val="00117966"/>
    <w:rsid w:val="00117A32"/>
    <w:rsid w:val="00117C25"/>
    <w:rsid w:val="00117ED9"/>
    <w:rsid w:val="0012032D"/>
    <w:rsid w:val="001206DB"/>
    <w:rsid w:val="00120E2E"/>
    <w:rsid w:val="00120EFF"/>
    <w:rsid w:val="00121945"/>
    <w:rsid w:val="0012218F"/>
    <w:rsid w:val="00122D4F"/>
    <w:rsid w:val="00122D89"/>
    <w:rsid w:val="001244AC"/>
    <w:rsid w:val="001246C5"/>
    <w:rsid w:val="00125E4D"/>
    <w:rsid w:val="00126391"/>
    <w:rsid w:val="00127572"/>
    <w:rsid w:val="00127F92"/>
    <w:rsid w:val="00127FCC"/>
    <w:rsid w:val="001301E9"/>
    <w:rsid w:val="00131DC3"/>
    <w:rsid w:val="001329D3"/>
    <w:rsid w:val="00133A2B"/>
    <w:rsid w:val="00133B82"/>
    <w:rsid w:val="00133E3B"/>
    <w:rsid w:val="00134BD0"/>
    <w:rsid w:val="0013572C"/>
    <w:rsid w:val="00135E4C"/>
    <w:rsid w:val="00135E7C"/>
    <w:rsid w:val="00136679"/>
    <w:rsid w:val="001373F5"/>
    <w:rsid w:val="00137950"/>
    <w:rsid w:val="00137AE4"/>
    <w:rsid w:val="00137B77"/>
    <w:rsid w:val="0014061F"/>
    <w:rsid w:val="00140C4E"/>
    <w:rsid w:val="00140FF9"/>
    <w:rsid w:val="001415FC"/>
    <w:rsid w:val="001425F5"/>
    <w:rsid w:val="00143828"/>
    <w:rsid w:val="00143CAC"/>
    <w:rsid w:val="00146AE8"/>
    <w:rsid w:val="00147198"/>
    <w:rsid w:val="0015047E"/>
    <w:rsid w:val="00150697"/>
    <w:rsid w:val="00150DE3"/>
    <w:rsid w:val="00152E1E"/>
    <w:rsid w:val="001530A3"/>
    <w:rsid w:val="00153A15"/>
    <w:rsid w:val="001549DB"/>
    <w:rsid w:val="00154A48"/>
    <w:rsid w:val="00155106"/>
    <w:rsid w:val="001557AD"/>
    <w:rsid w:val="00155921"/>
    <w:rsid w:val="00155A98"/>
    <w:rsid w:val="00156326"/>
    <w:rsid w:val="001563C7"/>
    <w:rsid w:val="001567EA"/>
    <w:rsid w:val="00156CE7"/>
    <w:rsid w:val="00156ED0"/>
    <w:rsid w:val="001574C0"/>
    <w:rsid w:val="00157660"/>
    <w:rsid w:val="00157BAD"/>
    <w:rsid w:val="00157E8A"/>
    <w:rsid w:val="001606CF"/>
    <w:rsid w:val="00160766"/>
    <w:rsid w:val="00160F11"/>
    <w:rsid w:val="00160F81"/>
    <w:rsid w:val="0016128D"/>
    <w:rsid w:val="00161C6F"/>
    <w:rsid w:val="00162B88"/>
    <w:rsid w:val="00163A5D"/>
    <w:rsid w:val="0016457E"/>
    <w:rsid w:val="00164599"/>
    <w:rsid w:val="00165542"/>
    <w:rsid w:val="00165C23"/>
    <w:rsid w:val="00165E16"/>
    <w:rsid w:val="001664AE"/>
    <w:rsid w:val="00167352"/>
    <w:rsid w:val="0016790A"/>
    <w:rsid w:val="00167B81"/>
    <w:rsid w:val="00167CDD"/>
    <w:rsid w:val="00167FD3"/>
    <w:rsid w:val="00170086"/>
    <w:rsid w:val="001704A6"/>
    <w:rsid w:val="00170723"/>
    <w:rsid w:val="0017089D"/>
    <w:rsid w:val="0017408E"/>
    <w:rsid w:val="001746A2"/>
    <w:rsid w:val="001749B8"/>
    <w:rsid w:val="00175B6F"/>
    <w:rsid w:val="001763FC"/>
    <w:rsid w:val="001764C6"/>
    <w:rsid w:val="001768A3"/>
    <w:rsid w:val="00177E94"/>
    <w:rsid w:val="001801C0"/>
    <w:rsid w:val="001803F5"/>
    <w:rsid w:val="001805A8"/>
    <w:rsid w:val="00180C2C"/>
    <w:rsid w:val="00180E57"/>
    <w:rsid w:val="00180E6A"/>
    <w:rsid w:val="001819A4"/>
    <w:rsid w:val="00181D44"/>
    <w:rsid w:val="00181FBF"/>
    <w:rsid w:val="00182174"/>
    <w:rsid w:val="0018307E"/>
    <w:rsid w:val="0018358F"/>
    <w:rsid w:val="00184808"/>
    <w:rsid w:val="001848DE"/>
    <w:rsid w:val="001848FF"/>
    <w:rsid w:val="001853D9"/>
    <w:rsid w:val="00185EAA"/>
    <w:rsid w:val="00186B40"/>
    <w:rsid w:val="00186B94"/>
    <w:rsid w:val="0018745F"/>
    <w:rsid w:val="0018774B"/>
    <w:rsid w:val="001878B4"/>
    <w:rsid w:val="00187AE4"/>
    <w:rsid w:val="00187ED5"/>
    <w:rsid w:val="001908F9"/>
    <w:rsid w:val="0019101A"/>
    <w:rsid w:val="001911B5"/>
    <w:rsid w:val="00191881"/>
    <w:rsid w:val="00191A0D"/>
    <w:rsid w:val="001920A4"/>
    <w:rsid w:val="00192378"/>
    <w:rsid w:val="00192628"/>
    <w:rsid w:val="00192ABB"/>
    <w:rsid w:val="00193B32"/>
    <w:rsid w:val="00193EAC"/>
    <w:rsid w:val="0019441A"/>
    <w:rsid w:val="00195C8E"/>
    <w:rsid w:val="00196B0F"/>
    <w:rsid w:val="001972D2"/>
    <w:rsid w:val="00197D44"/>
    <w:rsid w:val="001A0525"/>
    <w:rsid w:val="001A09E0"/>
    <w:rsid w:val="001A0BD7"/>
    <w:rsid w:val="001A0EB5"/>
    <w:rsid w:val="001A1B00"/>
    <w:rsid w:val="001A1D7B"/>
    <w:rsid w:val="001A221C"/>
    <w:rsid w:val="001A2DD2"/>
    <w:rsid w:val="001A34C5"/>
    <w:rsid w:val="001A34D3"/>
    <w:rsid w:val="001A3699"/>
    <w:rsid w:val="001A5705"/>
    <w:rsid w:val="001A5887"/>
    <w:rsid w:val="001A679B"/>
    <w:rsid w:val="001A6E34"/>
    <w:rsid w:val="001A7624"/>
    <w:rsid w:val="001A7D51"/>
    <w:rsid w:val="001A7D5E"/>
    <w:rsid w:val="001B008D"/>
    <w:rsid w:val="001B00E0"/>
    <w:rsid w:val="001B07C5"/>
    <w:rsid w:val="001B1B9E"/>
    <w:rsid w:val="001B2732"/>
    <w:rsid w:val="001B2A4D"/>
    <w:rsid w:val="001B2ACF"/>
    <w:rsid w:val="001B2E5B"/>
    <w:rsid w:val="001B339D"/>
    <w:rsid w:val="001B444D"/>
    <w:rsid w:val="001B45E0"/>
    <w:rsid w:val="001B4A97"/>
    <w:rsid w:val="001B5EEC"/>
    <w:rsid w:val="001B5F0F"/>
    <w:rsid w:val="001B6053"/>
    <w:rsid w:val="001B6107"/>
    <w:rsid w:val="001B63DD"/>
    <w:rsid w:val="001B7D6E"/>
    <w:rsid w:val="001C0BEF"/>
    <w:rsid w:val="001C230E"/>
    <w:rsid w:val="001C2FA8"/>
    <w:rsid w:val="001C358D"/>
    <w:rsid w:val="001C3A01"/>
    <w:rsid w:val="001C3BA1"/>
    <w:rsid w:val="001C3E0D"/>
    <w:rsid w:val="001C40A0"/>
    <w:rsid w:val="001C43DC"/>
    <w:rsid w:val="001C4AAF"/>
    <w:rsid w:val="001C4AF3"/>
    <w:rsid w:val="001C5BA1"/>
    <w:rsid w:val="001C6137"/>
    <w:rsid w:val="001C623D"/>
    <w:rsid w:val="001C64D8"/>
    <w:rsid w:val="001C672A"/>
    <w:rsid w:val="001C6937"/>
    <w:rsid w:val="001C7151"/>
    <w:rsid w:val="001C7234"/>
    <w:rsid w:val="001D0F76"/>
    <w:rsid w:val="001D1751"/>
    <w:rsid w:val="001D1DE9"/>
    <w:rsid w:val="001D22FE"/>
    <w:rsid w:val="001D2537"/>
    <w:rsid w:val="001D360C"/>
    <w:rsid w:val="001D38F6"/>
    <w:rsid w:val="001D3D0B"/>
    <w:rsid w:val="001D4D2C"/>
    <w:rsid w:val="001D4EBF"/>
    <w:rsid w:val="001D66E3"/>
    <w:rsid w:val="001D709B"/>
    <w:rsid w:val="001D79EC"/>
    <w:rsid w:val="001E0052"/>
    <w:rsid w:val="001E0160"/>
    <w:rsid w:val="001E059D"/>
    <w:rsid w:val="001E0C08"/>
    <w:rsid w:val="001E19FF"/>
    <w:rsid w:val="001E324C"/>
    <w:rsid w:val="001E386D"/>
    <w:rsid w:val="001E3986"/>
    <w:rsid w:val="001E3D49"/>
    <w:rsid w:val="001E4469"/>
    <w:rsid w:val="001E45EF"/>
    <w:rsid w:val="001E4717"/>
    <w:rsid w:val="001E4807"/>
    <w:rsid w:val="001E544F"/>
    <w:rsid w:val="001E54E5"/>
    <w:rsid w:val="001E76F1"/>
    <w:rsid w:val="001E7878"/>
    <w:rsid w:val="001E7C1B"/>
    <w:rsid w:val="001E7F39"/>
    <w:rsid w:val="001F09E5"/>
    <w:rsid w:val="001F171A"/>
    <w:rsid w:val="001F1AF7"/>
    <w:rsid w:val="001F1B27"/>
    <w:rsid w:val="001F1BA6"/>
    <w:rsid w:val="001F2416"/>
    <w:rsid w:val="001F2941"/>
    <w:rsid w:val="001F2A4B"/>
    <w:rsid w:val="001F2E03"/>
    <w:rsid w:val="001F2FC6"/>
    <w:rsid w:val="001F4874"/>
    <w:rsid w:val="001F4AEE"/>
    <w:rsid w:val="001F4CA2"/>
    <w:rsid w:val="001F51AB"/>
    <w:rsid w:val="001F6471"/>
    <w:rsid w:val="001F7D73"/>
    <w:rsid w:val="001F7F1D"/>
    <w:rsid w:val="00201D76"/>
    <w:rsid w:val="00202132"/>
    <w:rsid w:val="002022AF"/>
    <w:rsid w:val="00202A2D"/>
    <w:rsid w:val="0020386B"/>
    <w:rsid w:val="00203D94"/>
    <w:rsid w:val="00203EC0"/>
    <w:rsid w:val="00203FC8"/>
    <w:rsid w:val="00204636"/>
    <w:rsid w:val="002052C5"/>
    <w:rsid w:val="00206FB5"/>
    <w:rsid w:val="00207924"/>
    <w:rsid w:val="002104FB"/>
    <w:rsid w:val="00210E8E"/>
    <w:rsid w:val="00211493"/>
    <w:rsid w:val="00212892"/>
    <w:rsid w:val="00212B47"/>
    <w:rsid w:val="00212C6D"/>
    <w:rsid w:val="00213BB8"/>
    <w:rsid w:val="00214234"/>
    <w:rsid w:val="00214A3B"/>
    <w:rsid w:val="0021517D"/>
    <w:rsid w:val="00215296"/>
    <w:rsid w:val="00215671"/>
    <w:rsid w:val="00217BB3"/>
    <w:rsid w:val="00220079"/>
    <w:rsid w:val="00220080"/>
    <w:rsid w:val="00220307"/>
    <w:rsid w:val="00220325"/>
    <w:rsid w:val="002205D8"/>
    <w:rsid w:val="00220BDD"/>
    <w:rsid w:val="00221EC0"/>
    <w:rsid w:val="00224342"/>
    <w:rsid w:val="00225043"/>
    <w:rsid w:val="0022589A"/>
    <w:rsid w:val="00225E06"/>
    <w:rsid w:val="002268C9"/>
    <w:rsid w:val="00227933"/>
    <w:rsid w:val="00227BB8"/>
    <w:rsid w:val="00230D64"/>
    <w:rsid w:val="00231049"/>
    <w:rsid w:val="002314D2"/>
    <w:rsid w:val="00231D86"/>
    <w:rsid w:val="002326EA"/>
    <w:rsid w:val="00232D66"/>
    <w:rsid w:val="00232F7D"/>
    <w:rsid w:val="0023305C"/>
    <w:rsid w:val="00233FA2"/>
    <w:rsid w:val="002344B1"/>
    <w:rsid w:val="00234944"/>
    <w:rsid w:val="002349C0"/>
    <w:rsid w:val="002363D4"/>
    <w:rsid w:val="00237632"/>
    <w:rsid w:val="00237F01"/>
    <w:rsid w:val="00241206"/>
    <w:rsid w:val="0024181E"/>
    <w:rsid w:val="00241881"/>
    <w:rsid w:val="0024195A"/>
    <w:rsid w:val="00241DBC"/>
    <w:rsid w:val="0024235D"/>
    <w:rsid w:val="00242786"/>
    <w:rsid w:val="0024294C"/>
    <w:rsid w:val="00242FB9"/>
    <w:rsid w:val="00243631"/>
    <w:rsid w:val="00244534"/>
    <w:rsid w:val="00244C83"/>
    <w:rsid w:val="0024516A"/>
    <w:rsid w:val="0024551C"/>
    <w:rsid w:val="002461BA"/>
    <w:rsid w:val="00247058"/>
    <w:rsid w:val="002474E1"/>
    <w:rsid w:val="00247A26"/>
    <w:rsid w:val="002504BC"/>
    <w:rsid w:val="002509CE"/>
    <w:rsid w:val="00250BBD"/>
    <w:rsid w:val="00251074"/>
    <w:rsid w:val="00251D88"/>
    <w:rsid w:val="00251EB0"/>
    <w:rsid w:val="0025227F"/>
    <w:rsid w:val="00252DDA"/>
    <w:rsid w:val="002539BE"/>
    <w:rsid w:val="002543D8"/>
    <w:rsid w:val="0025652F"/>
    <w:rsid w:val="00257EAD"/>
    <w:rsid w:val="00257ED2"/>
    <w:rsid w:val="00261453"/>
    <w:rsid w:val="00261A29"/>
    <w:rsid w:val="0026237A"/>
    <w:rsid w:val="002628DC"/>
    <w:rsid w:val="00262BBF"/>
    <w:rsid w:val="00262D2B"/>
    <w:rsid w:val="00263B6C"/>
    <w:rsid w:val="00263C6D"/>
    <w:rsid w:val="002641C8"/>
    <w:rsid w:val="002651BC"/>
    <w:rsid w:val="0026571C"/>
    <w:rsid w:val="0026649B"/>
    <w:rsid w:val="00266881"/>
    <w:rsid w:val="0026697D"/>
    <w:rsid w:val="00266A61"/>
    <w:rsid w:val="00267B0E"/>
    <w:rsid w:val="002711F2"/>
    <w:rsid w:val="00271E8A"/>
    <w:rsid w:val="0027233A"/>
    <w:rsid w:val="00272939"/>
    <w:rsid w:val="0027312D"/>
    <w:rsid w:val="00273B56"/>
    <w:rsid w:val="00274AE0"/>
    <w:rsid w:val="0027590B"/>
    <w:rsid w:val="00276816"/>
    <w:rsid w:val="00277B9D"/>
    <w:rsid w:val="00281080"/>
    <w:rsid w:val="00281595"/>
    <w:rsid w:val="00282B98"/>
    <w:rsid w:val="00283677"/>
    <w:rsid w:val="002843B5"/>
    <w:rsid w:val="0028533E"/>
    <w:rsid w:val="00285352"/>
    <w:rsid w:val="00285969"/>
    <w:rsid w:val="00285B58"/>
    <w:rsid w:val="00286D04"/>
    <w:rsid w:val="00287518"/>
    <w:rsid w:val="00287CA6"/>
    <w:rsid w:val="002900D9"/>
    <w:rsid w:val="00290254"/>
    <w:rsid w:val="00291022"/>
    <w:rsid w:val="0029174D"/>
    <w:rsid w:val="00291897"/>
    <w:rsid w:val="00292A0F"/>
    <w:rsid w:val="00292C07"/>
    <w:rsid w:val="00292C93"/>
    <w:rsid w:val="00292F51"/>
    <w:rsid w:val="00293093"/>
    <w:rsid w:val="0029328D"/>
    <w:rsid w:val="0029369F"/>
    <w:rsid w:val="00295B30"/>
    <w:rsid w:val="00295D68"/>
    <w:rsid w:val="002966A5"/>
    <w:rsid w:val="00296DB2"/>
    <w:rsid w:val="002977C8"/>
    <w:rsid w:val="002A0899"/>
    <w:rsid w:val="002A1133"/>
    <w:rsid w:val="002A1F99"/>
    <w:rsid w:val="002A208F"/>
    <w:rsid w:val="002A2548"/>
    <w:rsid w:val="002A2EF4"/>
    <w:rsid w:val="002A33D5"/>
    <w:rsid w:val="002A3833"/>
    <w:rsid w:val="002A3F1E"/>
    <w:rsid w:val="002A5281"/>
    <w:rsid w:val="002A5A99"/>
    <w:rsid w:val="002A71BB"/>
    <w:rsid w:val="002A74EF"/>
    <w:rsid w:val="002A7A31"/>
    <w:rsid w:val="002B0226"/>
    <w:rsid w:val="002B034D"/>
    <w:rsid w:val="002B0495"/>
    <w:rsid w:val="002B0EA8"/>
    <w:rsid w:val="002B0F56"/>
    <w:rsid w:val="002B15FB"/>
    <w:rsid w:val="002B1E7D"/>
    <w:rsid w:val="002B3829"/>
    <w:rsid w:val="002B502C"/>
    <w:rsid w:val="002B6707"/>
    <w:rsid w:val="002B6929"/>
    <w:rsid w:val="002B6F06"/>
    <w:rsid w:val="002B6F36"/>
    <w:rsid w:val="002B6F5F"/>
    <w:rsid w:val="002B756D"/>
    <w:rsid w:val="002B7FA9"/>
    <w:rsid w:val="002C12D9"/>
    <w:rsid w:val="002C159E"/>
    <w:rsid w:val="002C1704"/>
    <w:rsid w:val="002C22EF"/>
    <w:rsid w:val="002C2F1E"/>
    <w:rsid w:val="002C309B"/>
    <w:rsid w:val="002C3344"/>
    <w:rsid w:val="002C3BD8"/>
    <w:rsid w:val="002C4CBA"/>
    <w:rsid w:val="002C5A17"/>
    <w:rsid w:val="002C6CAB"/>
    <w:rsid w:val="002C7328"/>
    <w:rsid w:val="002C7B39"/>
    <w:rsid w:val="002D1298"/>
    <w:rsid w:val="002D27AA"/>
    <w:rsid w:val="002D34B0"/>
    <w:rsid w:val="002D3C25"/>
    <w:rsid w:val="002D3FC8"/>
    <w:rsid w:val="002D5EBE"/>
    <w:rsid w:val="002D6A18"/>
    <w:rsid w:val="002D6E01"/>
    <w:rsid w:val="002D7D9F"/>
    <w:rsid w:val="002E1835"/>
    <w:rsid w:val="002E1FB6"/>
    <w:rsid w:val="002E25D7"/>
    <w:rsid w:val="002E2C47"/>
    <w:rsid w:val="002E454C"/>
    <w:rsid w:val="002E5580"/>
    <w:rsid w:val="002F069F"/>
    <w:rsid w:val="002F074A"/>
    <w:rsid w:val="002F1CA7"/>
    <w:rsid w:val="002F215F"/>
    <w:rsid w:val="002F2399"/>
    <w:rsid w:val="002F2BC6"/>
    <w:rsid w:val="002F2BCB"/>
    <w:rsid w:val="002F35BE"/>
    <w:rsid w:val="002F3B7B"/>
    <w:rsid w:val="002F3C1E"/>
    <w:rsid w:val="002F40A1"/>
    <w:rsid w:val="002F51DD"/>
    <w:rsid w:val="002F53BC"/>
    <w:rsid w:val="002F617F"/>
    <w:rsid w:val="002F67E4"/>
    <w:rsid w:val="002F7017"/>
    <w:rsid w:val="002F71B8"/>
    <w:rsid w:val="002F72F2"/>
    <w:rsid w:val="002F7E7F"/>
    <w:rsid w:val="00300109"/>
    <w:rsid w:val="00301055"/>
    <w:rsid w:val="00301755"/>
    <w:rsid w:val="00301EB7"/>
    <w:rsid w:val="003032DF"/>
    <w:rsid w:val="00303453"/>
    <w:rsid w:val="003040A6"/>
    <w:rsid w:val="00304B7E"/>
    <w:rsid w:val="003061A1"/>
    <w:rsid w:val="0030665E"/>
    <w:rsid w:val="00306894"/>
    <w:rsid w:val="00306E2D"/>
    <w:rsid w:val="00307BD8"/>
    <w:rsid w:val="00307D4D"/>
    <w:rsid w:val="003103F1"/>
    <w:rsid w:val="00310973"/>
    <w:rsid w:val="00310F78"/>
    <w:rsid w:val="003112C0"/>
    <w:rsid w:val="0031177F"/>
    <w:rsid w:val="003122F4"/>
    <w:rsid w:val="00312358"/>
    <w:rsid w:val="00312BA0"/>
    <w:rsid w:val="00312F6E"/>
    <w:rsid w:val="003131F4"/>
    <w:rsid w:val="003138CC"/>
    <w:rsid w:val="003139A4"/>
    <w:rsid w:val="00313DB0"/>
    <w:rsid w:val="003143FB"/>
    <w:rsid w:val="00315A36"/>
    <w:rsid w:val="00316B34"/>
    <w:rsid w:val="00316DDE"/>
    <w:rsid w:val="00317DEF"/>
    <w:rsid w:val="003213F6"/>
    <w:rsid w:val="003215E6"/>
    <w:rsid w:val="00321B6D"/>
    <w:rsid w:val="00322481"/>
    <w:rsid w:val="0032365B"/>
    <w:rsid w:val="00323D3C"/>
    <w:rsid w:val="00324CF6"/>
    <w:rsid w:val="00324FBC"/>
    <w:rsid w:val="00325D4D"/>
    <w:rsid w:val="00326261"/>
    <w:rsid w:val="003268D5"/>
    <w:rsid w:val="00326C34"/>
    <w:rsid w:val="003272D5"/>
    <w:rsid w:val="00327880"/>
    <w:rsid w:val="00327E10"/>
    <w:rsid w:val="0033041E"/>
    <w:rsid w:val="00330458"/>
    <w:rsid w:val="003309E5"/>
    <w:rsid w:val="00330C56"/>
    <w:rsid w:val="0033163E"/>
    <w:rsid w:val="00332325"/>
    <w:rsid w:val="00332348"/>
    <w:rsid w:val="00332A00"/>
    <w:rsid w:val="0033316A"/>
    <w:rsid w:val="00333315"/>
    <w:rsid w:val="00333DA4"/>
    <w:rsid w:val="00334474"/>
    <w:rsid w:val="00334AE5"/>
    <w:rsid w:val="00334DFC"/>
    <w:rsid w:val="00335448"/>
    <w:rsid w:val="003356DB"/>
    <w:rsid w:val="0033579D"/>
    <w:rsid w:val="00336130"/>
    <w:rsid w:val="003373EF"/>
    <w:rsid w:val="0033755F"/>
    <w:rsid w:val="0034043E"/>
    <w:rsid w:val="00341FB6"/>
    <w:rsid w:val="00342205"/>
    <w:rsid w:val="0034299C"/>
    <w:rsid w:val="0034334D"/>
    <w:rsid w:val="00344678"/>
    <w:rsid w:val="003448F6"/>
    <w:rsid w:val="00344C0A"/>
    <w:rsid w:val="003454BA"/>
    <w:rsid w:val="00345807"/>
    <w:rsid w:val="00345A84"/>
    <w:rsid w:val="00345BB1"/>
    <w:rsid w:val="00345D26"/>
    <w:rsid w:val="00347137"/>
    <w:rsid w:val="00347B20"/>
    <w:rsid w:val="00347B95"/>
    <w:rsid w:val="00347C64"/>
    <w:rsid w:val="00350759"/>
    <w:rsid w:val="00350E57"/>
    <w:rsid w:val="0035207D"/>
    <w:rsid w:val="00352FBE"/>
    <w:rsid w:val="00353269"/>
    <w:rsid w:val="00354D27"/>
    <w:rsid w:val="00354F53"/>
    <w:rsid w:val="003556B1"/>
    <w:rsid w:val="00355AC7"/>
    <w:rsid w:val="00355F76"/>
    <w:rsid w:val="003563F7"/>
    <w:rsid w:val="00356901"/>
    <w:rsid w:val="0035736A"/>
    <w:rsid w:val="0035738A"/>
    <w:rsid w:val="003575AC"/>
    <w:rsid w:val="00357C6A"/>
    <w:rsid w:val="00357F64"/>
    <w:rsid w:val="003601A2"/>
    <w:rsid w:val="00360D23"/>
    <w:rsid w:val="0036160A"/>
    <w:rsid w:val="00361B60"/>
    <w:rsid w:val="00362213"/>
    <w:rsid w:val="00362A24"/>
    <w:rsid w:val="00362AC6"/>
    <w:rsid w:val="003635AF"/>
    <w:rsid w:val="00363894"/>
    <w:rsid w:val="00363DB8"/>
    <w:rsid w:val="003643C0"/>
    <w:rsid w:val="00366F56"/>
    <w:rsid w:val="00367959"/>
    <w:rsid w:val="00370C9A"/>
    <w:rsid w:val="0037206A"/>
    <w:rsid w:val="00372D5E"/>
    <w:rsid w:val="003733CA"/>
    <w:rsid w:val="00373805"/>
    <w:rsid w:val="00373918"/>
    <w:rsid w:val="003749F8"/>
    <w:rsid w:val="00375231"/>
    <w:rsid w:val="003755C9"/>
    <w:rsid w:val="00375655"/>
    <w:rsid w:val="00376CDE"/>
    <w:rsid w:val="0037718F"/>
    <w:rsid w:val="00377756"/>
    <w:rsid w:val="00377FA6"/>
    <w:rsid w:val="00380544"/>
    <w:rsid w:val="00380ED2"/>
    <w:rsid w:val="003810CA"/>
    <w:rsid w:val="0038113F"/>
    <w:rsid w:val="00381588"/>
    <w:rsid w:val="0038192A"/>
    <w:rsid w:val="003823DA"/>
    <w:rsid w:val="00382B41"/>
    <w:rsid w:val="003831FB"/>
    <w:rsid w:val="00383E8B"/>
    <w:rsid w:val="003848B1"/>
    <w:rsid w:val="003858A6"/>
    <w:rsid w:val="00386297"/>
    <w:rsid w:val="00387378"/>
    <w:rsid w:val="00387863"/>
    <w:rsid w:val="00387BBA"/>
    <w:rsid w:val="00387F9E"/>
    <w:rsid w:val="0039162D"/>
    <w:rsid w:val="00391A06"/>
    <w:rsid w:val="0039245D"/>
    <w:rsid w:val="00392DCC"/>
    <w:rsid w:val="003932B1"/>
    <w:rsid w:val="00393CC5"/>
    <w:rsid w:val="00393E92"/>
    <w:rsid w:val="00394395"/>
    <w:rsid w:val="00394A2B"/>
    <w:rsid w:val="00395B01"/>
    <w:rsid w:val="00396F14"/>
    <w:rsid w:val="00397BB5"/>
    <w:rsid w:val="00397C66"/>
    <w:rsid w:val="003A1D5A"/>
    <w:rsid w:val="003A2212"/>
    <w:rsid w:val="003A2286"/>
    <w:rsid w:val="003A2330"/>
    <w:rsid w:val="003A2F1C"/>
    <w:rsid w:val="003A3172"/>
    <w:rsid w:val="003A38D5"/>
    <w:rsid w:val="003A42D6"/>
    <w:rsid w:val="003A43DE"/>
    <w:rsid w:val="003A4F02"/>
    <w:rsid w:val="003A5B36"/>
    <w:rsid w:val="003A5BAD"/>
    <w:rsid w:val="003A7487"/>
    <w:rsid w:val="003A75CC"/>
    <w:rsid w:val="003A7F7F"/>
    <w:rsid w:val="003B037C"/>
    <w:rsid w:val="003B09C3"/>
    <w:rsid w:val="003B1097"/>
    <w:rsid w:val="003B1963"/>
    <w:rsid w:val="003B1E57"/>
    <w:rsid w:val="003B2425"/>
    <w:rsid w:val="003B3561"/>
    <w:rsid w:val="003B3620"/>
    <w:rsid w:val="003B3E44"/>
    <w:rsid w:val="003B59B5"/>
    <w:rsid w:val="003C0492"/>
    <w:rsid w:val="003C07BF"/>
    <w:rsid w:val="003C0E1E"/>
    <w:rsid w:val="003C1B67"/>
    <w:rsid w:val="003C1D2E"/>
    <w:rsid w:val="003C2063"/>
    <w:rsid w:val="003C24B4"/>
    <w:rsid w:val="003C3958"/>
    <w:rsid w:val="003C39BD"/>
    <w:rsid w:val="003C56FD"/>
    <w:rsid w:val="003C5867"/>
    <w:rsid w:val="003C5D80"/>
    <w:rsid w:val="003C6C98"/>
    <w:rsid w:val="003C766E"/>
    <w:rsid w:val="003D06AB"/>
    <w:rsid w:val="003D14EA"/>
    <w:rsid w:val="003D1ACD"/>
    <w:rsid w:val="003D1D34"/>
    <w:rsid w:val="003D2A27"/>
    <w:rsid w:val="003D2A41"/>
    <w:rsid w:val="003D2AC2"/>
    <w:rsid w:val="003D3946"/>
    <w:rsid w:val="003D3E03"/>
    <w:rsid w:val="003D5219"/>
    <w:rsid w:val="003D5647"/>
    <w:rsid w:val="003D5699"/>
    <w:rsid w:val="003D6B25"/>
    <w:rsid w:val="003E0298"/>
    <w:rsid w:val="003E14B7"/>
    <w:rsid w:val="003E15C5"/>
    <w:rsid w:val="003E1FC8"/>
    <w:rsid w:val="003E20D6"/>
    <w:rsid w:val="003E32A4"/>
    <w:rsid w:val="003E37BE"/>
    <w:rsid w:val="003E3C0A"/>
    <w:rsid w:val="003E47A9"/>
    <w:rsid w:val="003E48B2"/>
    <w:rsid w:val="003E4D87"/>
    <w:rsid w:val="003E5D6F"/>
    <w:rsid w:val="003E71F0"/>
    <w:rsid w:val="003E7638"/>
    <w:rsid w:val="003E7A86"/>
    <w:rsid w:val="003F0853"/>
    <w:rsid w:val="003F0FC9"/>
    <w:rsid w:val="003F1D7E"/>
    <w:rsid w:val="003F203D"/>
    <w:rsid w:val="003F2406"/>
    <w:rsid w:val="003F2E26"/>
    <w:rsid w:val="003F3D5A"/>
    <w:rsid w:val="003F45DD"/>
    <w:rsid w:val="003F56E9"/>
    <w:rsid w:val="003F64C5"/>
    <w:rsid w:val="00401082"/>
    <w:rsid w:val="00401EFA"/>
    <w:rsid w:val="004023BC"/>
    <w:rsid w:val="00403057"/>
    <w:rsid w:val="00403529"/>
    <w:rsid w:val="004038DD"/>
    <w:rsid w:val="004042F3"/>
    <w:rsid w:val="00404A10"/>
    <w:rsid w:val="00404D60"/>
    <w:rsid w:val="00405636"/>
    <w:rsid w:val="00406783"/>
    <w:rsid w:val="0040719E"/>
    <w:rsid w:val="00407535"/>
    <w:rsid w:val="00407FD1"/>
    <w:rsid w:val="00410819"/>
    <w:rsid w:val="004109AF"/>
    <w:rsid w:val="00410CB9"/>
    <w:rsid w:val="004117F4"/>
    <w:rsid w:val="00411D22"/>
    <w:rsid w:val="00412009"/>
    <w:rsid w:val="0041226A"/>
    <w:rsid w:val="00412BB6"/>
    <w:rsid w:val="00412E43"/>
    <w:rsid w:val="004131AC"/>
    <w:rsid w:val="00414A17"/>
    <w:rsid w:val="00415CF0"/>
    <w:rsid w:val="00415E90"/>
    <w:rsid w:val="00416400"/>
    <w:rsid w:val="00416762"/>
    <w:rsid w:val="00416E55"/>
    <w:rsid w:val="004172F4"/>
    <w:rsid w:val="004179D7"/>
    <w:rsid w:val="004209A7"/>
    <w:rsid w:val="00421500"/>
    <w:rsid w:val="00421955"/>
    <w:rsid w:val="00421F51"/>
    <w:rsid w:val="004233D1"/>
    <w:rsid w:val="0042512A"/>
    <w:rsid w:val="0042518A"/>
    <w:rsid w:val="004257D6"/>
    <w:rsid w:val="00425D3B"/>
    <w:rsid w:val="00426192"/>
    <w:rsid w:val="004271E1"/>
    <w:rsid w:val="00427583"/>
    <w:rsid w:val="004276A0"/>
    <w:rsid w:val="00427F8B"/>
    <w:rsid w:val="00430520"/>
    <w:rsid w:val="00431862"/>
    <w:rsid w:val="004319AD"/>
    <w:rsid w:val="00431A90"/>
    <w:rsid w:val="00432005"/>
    <w:rsid w:val="004322E0"/>
    <w:rsid w:val="004327CE"/>
    <w:rsid w:val="00432DF5"/>
    <w:rsid w:val="0043332C"/>
    <w:rsid w:val="00434016"/>
    <w:rsid w:val="004346A2"/>
    <w:rsid w:val="00435201"/>
    <w:rsid w:val="004361C3"/>
    <w:rsid w:val="0043654E"/>
    <w:rsid w:val="004365DF"/>
    <w:rsid w:val="00436B0A"/>
    <w:rsid w:val="00436BE7"/>
    <w:rsid w:val="00437B4A"/>
    <w:rsid w:val="00440875"/>
    <w:rsid w:val="004408F3"/>
    <w:rsid w:val="00441330"/>
    <w:rsid w:val="0044135F"/>
    <w:rsid w:val="00441C02"/>
    <w:rsid w:val="00441C64"/>
    <w:rsid w:val="004420B1"/>
    <w:rsid w:val="00442222"/>
    <w:rsid w:val="0044241D"/>
    <w:rsid w:val="004429C4"/>
    <w:rsid w:val="00442A3B"/>
    <w:rsid w:val="004437DD"/>
    <w:rsid w:val="00444359"/>
    <w:rsid w:val="0044466D"/>
    <w:rsid w:val="00444788"/>
    <w:rsid w:val="00444A63"/>
    <w:rsid w:val="00444C40"/>
    <w:rsid w:val="00445265"/>
    <w:rsid w:val="00445965"/>
    <w:rsid w:val="00445EEE"/>
    <w:rsid w:val="004461A6"/>
    <w:rsid w:val="0044752B"/>
    <w:rsid w:val="004477BD"/>
    <w:rsid w:val="004515FC"/>
    <w:rsid w:val="00451D37"/>
    <w:rsid w:val="0045206E"/>
    <w:rsid w:val="00452562"/>
    <w:rsid w:val="00453C0B"/>
    <w:rsid w:val="0045460E"/>
    <w:rsid w:val="004546B4"/>
    <w:rsid w:val="00454F17"/>
    <w:rsid w:val="004559CE"/>
    <w:rsid w:val="00456134"/>
    <w:rsid w:val="004562AB"/>
    <w:rsid w:val="004601A4"/>
    <w:rsid w:val="00460E1A"/>
    <w:rsid w:val="004610DE"/>
    <w:rsid w:val="00461174"/>
    <w:rsid w:val="00461D48"/>
    <w:rsid w:val="00462489"/>
    <w:rsid w:val="004626D8"/>
    <w:rsid w:val="004628A0"/>
    <w:rsid w:val="00462AE8"/>
    <w:rsid w:val="00462C9D"/>
    <w:rsid w:val="00463DF8"/>
    <w:rsid w:val="004649AF"/>
    <w:rsid w:val="00465011"/>
    <w:rsid w:val="00465316"/>
    <w:rsid w:val="00465A73"/>
    <w:rsid w:val="00465FBB"/>
    <w:rsid w:val="00466206"/>
    <w:rsid w:val="004664EB"/>
    <w:rsid w:val="00466C77"/>
    <w:rsid w:val="004673F0"/>
    <w:rsid w:val="004700C6"/>
    <w:rsid w:val="00470113"/>
    <w:rsid w:val="00470A75"/>
    <w:rsid w:val="00470C87"/>
    <w:rsid w:val="004711A3"/>
    <w:rsid w:val="00472E98"/>
    <w:rsid w:val="00475085"/>
    <w:rsid w:val="004755E5"/>
    <w:rsid w:val="0047613C"/>
    <w:rsid w:val="0047619B"/>
    <w:rsid w:val="00476CF6"/>
    <w:rsid w:val="00477AA8"/>
    <w:rsid w:val="00477D92"/>
    <w:rsid w:val="004800A7"/>
    <w:rsid w:val="00480569"/>
    <w:rsid w:val="00480581"/>
    <w:rsid w:val="00480A3C"/>
    <w:rsid w:val="00481C26"/>
    <w:rsid w:val="00483397"/>
    <w:rsid w:val="0048464E"/>
    <w:rsid w:val="00485657"/>
    <w:rsid w:val="00485B00"/>
    <w:rsid w:val="00486504"/>
    <w:rsid w:val="00486660"/>
    <w:rsid w:val="0048688D"/>
    <w:rsid w:val="00486BEA"/>
    <w:rsid w:val="0048751D"/>
    <w:rsid w:val="00490978"/>
    <w:rsid w:val="00490CF3"/>
    <w:rsid w:val="00491526"/>
    <w:rsid w:val="00491864"/>
    <w:rsid w:val="00491BCF"/>
    <w:rsid w:val="00492B02"/>
    <w:rsid w:val="00492FCB"/>
    <w:rsid w:val="00493B18"/>
    <w:rsid w:val="00493D7D"/>
    <w:rsid w:val="004974D6"/>
    <w:rsid w:val="004A04B7"/>
    <w:rsid w:val="004A0A0F"/>
    <w:rsid w:val="004A0F11"/>
    <w:rsid w:val="004A11C3"/>
    <w:rsid w:val="004A1B1A"/>
    <w:rsid w:val="004A1B4A"/>
    <w:rsid w:val="004A1BC4"/>
    <w:rsid w:val="004A2159"/>
    <w:rsid w:val="004A2624"/>
    <w:rsid w:val="004A298B"/>
    <w:rsid w:val="004A3EAA"/>
    <w:rsid w:val="004A49ED"/>
    <w:rsid w:val="004A5D1B"/>
    <w:rsid w:val="004A6034"/>
    <w:rsid w:val="004A63A6"/>
    <w:rsid w:val="004A6538"/>
    <w:rsid w:val="004A6E05"/>
    <w:rsid w:val="004A7370"/>
    <w:rsid w:val="004A7D97"/>
    <w:rsid w:val="004A7FB2"/>
    <w:rsid w:val="004B00DE"/>
    <w:rsid w:val="004B0235"/>
    <w:rsid w:val="004B024B"/>
    <w:rsid w:val="004B204F"/>
    <w:rsid w:val="004B23A8"/>
    <w:rsid w:val="004B2690"/>
    <w:rsid w:val="004B33E1"/>
    <w:rsid w:val="004B3CB6"/>
    <w:rsid w:val="004B492D"/>
    <w:rsid w:val="004B4D0E"/>
    <w:rsid w:val="004B4EDD"/>
    <w:rsid w:val="004B5133"/>
    <w:rsid w:val="004B5EF2"/>
    <w:rsid w:val="004B6CA2"/>
    <w:rsid w:val="004B6DEE"/>
    <w:rsid w:val="004B704B"/>
    <w:rsid w:val="004B7070"/>
    <w:rsid w:val="004B7224"/>
    <w:rsid w:val="004B746B"/>
    <w:rsid w:val="004B79F0"/>
    <w:rsid w:val="004B7A63"/>
    <w:rsid w:val="004B7B1A"/>
    <w:rsid w:val="004C0C07"/>
    <w:rsid w:val="004C1BBB"/>
    <w:rsid w:val="004C1E2B"/>
    <w:rsid w:val="004C2107"/>
    <w:rsid w:val="004C2186"/>
    <w:rsid w:val="004C2902"/>
    <w:rsid w:val="004C41B6"/>
    <w:rsid w:val="004C4273"/>
    <w:rsid w:val="004C436D"/>
    <w:rsid w:val="004C4B61"/>
    <w:rsid w:val="004C51C6"/>
    <w:rsid w:val="004C65F5"/>
    <w:rsid w:val="004C7201"/>
    <w:rsid w:val="004C7A4A"/>
    <w:rsid w:val="004D0915"/>
    <w:rsid w:val="004D09AC"/>
    <w:rsid w:val="004D14C3"/>
    <w:rsid w:val="004D1888"/>
    <w:rsid w:val="004D1894"/>
    <w:rsid w:val="004D248F"/>
    <w:rsid w:val="004D34ED"/>
    <w:rsid w:val="004D3514"/>
    <w:rsid w:val="004D36D0"/>
    <w:rsid w:val="004D3F7D"/>
    <w:rsid w:val="004D4C8B"/>
    <w:rsid w:val="004D543B"/>
    <w:rsid w:val="004D5442"/>
    <w:rsid w:val="004D6AEE"/>
    <w:rsid w:val="004D6E37"/>
    <w:rsid w:val="004E0085"/>
    <w:rsid w:val="004E00EA"/>
    <w:rsid w:val="004E0831"/>
    <w:rsid w:val="004E09F5"/>
    <w:rsid w:val="004E15A6"/>
    <w:rsid w:val="004E26FB"/>
    <w:rsid w:val="004E2771"/>
    <w:rsid w:val="004E32F3"/>
    <w:rsid w:val="004E33FC"/>
    <w:rsid w:val="004E477F"/>
    <w:rsid w:val="004E507D"/>
    <w:rsid w:val="004E60FC"/>
    <w:rsid w:val="004E6410"/>
    <w:rsid w:val="004E6B14"/>
    <w:rsid w:val="004E6D34"/>
    <w:rsid w:val="004E7492"/>
    <w:rsid w:val="004E7C3F"/>
    <w:rsid w:val="004F0B27"/>
    <w:rsid w:val="004F0B87"/>
    <w:rsid w:val="004F0E1E"/>
    <w:rsid w:val="004F0F15"/>
    <w:rsid w:val="004F173B"/>
    <w:rsid w:val="004F1BCC"/>
    <w:rsid w:val="004F1D95"/>
    <w:rsid w:val="004F4B92"/>
    <w:rsid w:val="004F4C58"/>
    <w:rsid w:val="004F4D33"/>
    <w:rsid w:val="004F4ED7"/>
    <w:rsid w:val="004F52DE"/>
    <w:rsid w:val="004F5426"/>
    <w:rsid w:val="004F602A"/>
    <w:rsid w:val="004F7C47"/>
    <w:rsid w:val="005014C0"/>
    <w:rsid w:val="0050162A"/>
    <w:rsid w:val="00501B6C"/>
    <w:rsid w:val="0050216F"/>
    <w:rsid w:val="00502798"/>
    <w:rsid w:val="00502A9D"/>
    <w:rsid w:val="00502FAD"/>
    <w:rsid w:val="0050542D"/>
    <w:rsid w:val="00505A4F"/>
    <w:rsid w:val="00506C72"/>
    <w:rsid w:val="00507125"/>
    <w:rsid w:val="005072F7"/>
    <w:rsid w:val="00507F17"/>
    <w:rsid w:val="00510779"/>
    <w:rsid w:val="00510C4A"/>
    <w:rsid w:val="00510D18"/>
    <w:rsid w:val="0051117E"/>
    <w:rsid w:val="005113CE"/>
    <w:rsid w:val="005124AA"/>
    <w:rsid w:val="00512AAD"/>
    <w:rsid w:val="00512B2D"/>
    <w:rsid w:val="0051397B"/>
    <w:rsid w:val="00513ADA"/>
    <w:rsid w:val="00513DD7"/>
    <w:rsid w:val="005148EF"/>
    <w:rsid w:val="00515722"/>
    <w:rsid w:val="00516785"/>
    <w:rsid w:val="0051720C"/>
    <w:rsid w:val="00517477"/>
    <w:rsid w:val="00517D1F"/>
    <w:rsid w:val="005215A0"/>
    <w:rsid w:val="00521A44"/>
    <w:rsid w:val="00521BF9"/>
    <w:rsid w:val="00521E59"/>
    <w:rsid w:val="0052226C"/>
    <w:rsid w:val="005222E4"/>
    <w:rsid w:val="005237EE"/>
    <w:rsid w:val="005239C6"/>
    <w:rsid w:val="0052419D"/>
    <w:rsid w:val="00524991"/>
    <w:rsid w:val="00525042"/>
    <w:rsid w:val="00525461"/>
    <w:rsid w:val="005256BA"/>
    <w:rsid w:val="005257C5"/>
    <w:rsid w:val="005264ED"/>
    <w:rsid w:val="00526C89"/>
    <w:rsid w:val="005270AD"/>
    <w:rsid w:val="0052726D"/>
    <w:rsid w:val="00527B1D"/>
    <w:rsid w:val="005301F8"/>
    <w:rsid w:val="00530C1B"/>
    <w:rsid w:val="00530E1A"/>
    <w:rsid w:val="00530F86"/>
    <w:rsid w:val="005312FC"/>
    <w:rsid w:val="00532276"/>
    <w:rsid w:val="0053271B"/>
    <w:rsid w:val="005328BD"/>
    <w:rsid w:val="00532C6D"/>
    <w:rsid w:val="005333BF"/>
    <w:rsid w:val="00533409"/>
    <w:rsid w:val="0053385A"/>
    <w:rsid w:val="005338D2"/>
    <w:rsid w:val="0053569E"/>
    <w:rsid w:val="0053603D"/>
    <w:rsid w:val="00536BBC"/>
    <w:rsid w:val="00536DE7"/>
    <w:rsid w:val="0053742A"/>
    <w:rsid w:val="00537B35"/>
    <w:rsid w:val="00537C85"/>
    <w:rsid w:val="00540B2F"/>
    <w:rsid w:val="00541010"/>
    <w:rsid w:val="0054175C"/>
    <w:rsid w:val="005418D2"/>
    <w:rsid w:val="00541D29"/>
    <w:rsid w:val="00542982"/>
    <w:rsid w:val="00543F23"/>
    <w:rsid w:val="00544909"/>
    <w:rsid w:val="00544E9C"/>
    <w:rsid w:val="0054525A"/>
    <w:rsid w:val="005452DE"/>
    <w:rsid w:val="00545921"/>
    <w:rsid w:val="00546465"/>
    <w:rsid w:val="0054689E"/>
    <w:rsid w:val="005470B9"/>
    <w:rsid w:val="0055065A"/>
    <w:rsid w:val="00551B5E"/>
    <w:rsid w:val="00551EA4"/>
    <w:rsid w:val="00553111"/>
    <w:rsid w:val="0055347D"/>
    <w:rsid w:val="00553AD1"/>
    <w:rsid w:val="00553E87"/>
    <w:rsid w:val="00555873"/>
    <w:rsid w:val="00555C2B"/>
    <w:rsid w:val="00556BA5"/>
    <w:rsid w:val="0055763C"/>
    <w:rsid w:val="00557C64"/>
    <w:rsid w:val="00561304"/>
    <w:rsid w:val="005618DC"/>
    <w:rsid w:val="00561916"/>
    <w:rsid w:val="00562791"/>
    <w:rsid w:val="00562F17"/>
    <w:rsid w:val="00563E9A"/>
    <w:rsid w:val="00563FB9"/>
    <w:rsid w:val="00564384"/>
    <w:rsid w:val="005648B6"/>
    <w:rsid w:val="00564DB8"/>
    <w:rsid w:val="0056582C"/>
    <w:rsid w:val="00565902"/>
    <w:rsid w:val="00567514"/>
    <w:rsid w:val="00567577"/>
    <w:rsid w:val="005675B6"/>
    <w:rsid w:val="00567C22"/>
    <w:rsid w:val="00570289"/>
    <w:rsid w:val="00570C2C"/>
    <w:rsid w:val="00570DF3"/>
    <w:rsid w:val="00570EF5"/>
    <w:rsid w:val="00571DC0"/>
    <w:rsid w:val="00572238"/>
    <w:rsid w:val="005723AA"/>
    <w:rsid w:val="0057244F"/>
    <w:rsid w:val="005727F6"/>
    <w:rsid w:val="0057309E"/>
    <w:rsid w:val="005735CD"/>
    <w:rsid w:val="00573AA7"/>
    <w:rsid w:val="0057401E"/>
    <w:rsid w:val="00574126"/>
    <w:rsid w:val="00574285"/>
    <w:rsid w:val="00574A8F"/>
    <w:rsid w:val="00575CDC"/>
    <w:rsid w:val="00575F74"/>
    <w:rsid w:val="00576BAA"/>
    <w:rsid w:val="00576F7E"/>
    <w:rsid w:val="005770DD"/>
    <w:rsid w:val="00577248"/>
    <w:rsid w:val="00577362"/>
    <w:rsid w:val="005776B2"/>
    <w:rsid w:val="00577B1C"/>
    <w:rsid w:val="00580943"/>
    <w:rsid w:val="00580F7B"/>
    <w:rsid w:val="005811A2"/>
    <w:rsid w:val="005812FD"/>
    <w:rsid w:val="00581914"/>
    <w:rsid w:val="00581948"/>
    <w:rsid w:val="00581A85"/>
    <w:rsid w:val="00582339"/>
    <w:rsid w:val="00582E89"/>
    <w:rsid w:val="005830F8"/>
    <w:rsid w:val="00583339"/>
    <w:rsid w:val="00583508"/>
    <w:rsid w:val="005837AB"/>
    <w:rsid w:val="0058389C"/>
    <w:rsid w:val="00584687"/>
    <w:rsid w:val="0058645E"/>
    <w:rsid w:val="00586605"/>
    <w:rsid w:val="005866BD"/>
    <w:rsid w:val="005868DE"/>
    <w:rsid w:val="00587351"/>
    <w:rsid w:val="00587375"/>
    <w:rsid w:val="005876B5"/>
    <w:rsid w:val="005877AC"/>
    <w:rsid w:val="00590224"/>
    <w:rsid w:val="005909AA"/>
    <w:rsid w:val="005921C6"/>
    <w:rsid w:val="005921C8"/>
    <w:rsid w:val="00592DB4"/>
    <w:rsid w:val="00592E08"/>
    <w:rsid w:val="00593163"/>
    <w:rsid w:val="00593689"/>
    <w:rsid w:val="005938B7"/>
    <w:rsid w:val="00593B4B"/>
    <w:rsid w:val="00594071"/>
    <w:rsid w:val="00594148"/>
    <w:rsid w:val="00594378"/>
    <w:rsid w:val="005950AD"/>
    <w:rsid w:val="00595256"/>
    <w:rsid w:val="005954D4"/>
    <w:rsid w:val="005966B7"/>
    <w:rsid w:val="0059670F"/>
    <w:rsid w:val="00596C11"/>
    <w:rsid w:val="00596CFF"/>
    <w:rsid w:val="00597022"/>
    <w:rsid w:val="00597A2D"/>
    <w:rsid w:val="005A0564"/>
    <w:rsid w:val="005A0C31"/>
    <w:rsid w:val="005A15B9"/>
    <w:rsid w:val="005A24E5"/>
    <w:rsid w:val="005A2CF1"/>
    <w:rsid w:val="005A2E1D"/>
    <w:rsid w:val="005A34BC"/>
    <w:rsid w:val="005A4379"/>
    <w:rsid w:val="005A64AB"/>
    <w:rsid w:val="005A7018"/>
    <w:rsid w:val="005A75AF"/>
    <w:rsid w:val="005A7C01"/>
    <w:rsid w:val="005B13BA"/>
    <w:rsid w:val="005B190C"/>
    <w:rsid w:val="005B1BA8"/>
    <w:rsid w:val="005B25E7"/>
    <w:rsid w:val="005B2D27"/>
    <w:rsid w:val="005B36D2"/>
    <w:rsid w:val="005B4271"/>
    <w:rsid w:val="005B4871"/>
    <w:rsid w:val="005B4ACD"/>
    <w:rsid w:val="005B5E2A"/>
    <w:rsid w:val="005B7153"/>
    <w:rsid w:val="005B7DE9"/>
    <w:rsid w:val="005B7E48"/>
    <w:rsid w:val="005B7E70"/>
    <w:rsid w:val="005C02A4"/>
    <w:rsid w:val="005C0E7F"/>
    <w:rsid w:val="005C115B"/>
    <w:rsid w:val="005C1162"/>
    <w:rsid w:val="005C1AC8"/>
    <w:rsid w:val="005C20D2"/>
    <w:rsid w:val="005C293F"/>
    <w:rsid w:val="005C2AF8"/>
    <w:rsid w:val="005C2B9D"/>
    <w:rsid w:val="005C2F4E"/>
    <w:rsid w:val="005C32FE"/>
    <w:rsid w:val="005C503A"/>
    <w:rsid w:val="005C5549"/>
    <w:rsid w:val="005C60EB"/>
    <w:rsid w:val="005C72E5"/>
    <w:rsid w:val="005D024A"/>
    <w:rsid w:val="005D04E8"/>
    <w:rsid w:val="005D1EC8"/>
    <w:rsid w:val="005D208D"/>
    <w:rsid w:val="005D4774"/>
    <w:rsid w:val="005D4C4F"/>
    <w:rsid w:val="005D4FD4"/>
    <w:rsid w:val="005D52D3"/>
    <w:rsid w:val="005D561C"/>
    <w:rsid w:val="005D6C3B"/>
    <w:rsid w:val="005D6C9F"/>
    <w:rsid w:val="005D6D62"/>
    <w:rsid w:val="005D6D64"/>
    <w:rsid w:val="005D6DEE"/>
    <w:rsid w:val="005D796A"/>
    <w:rsid w:val="005E0B40"/>
    <w:rsid w:val="005E10C7"/>
    <w:rsid w:val="005E17D8"/>
    <w:rsid w:val="005E1992"/>
    <w:rsid w:val="005E1C2F"/>
    <w:rsid w:val="005E1E6C"/>
    <w:rsid w:val="005E2B2D"/>
    <w:rsid w:val="005E2BC6"/>
    <w:rsid w:val="005E2E08"/>
    <w:rsid w:val="005E2FCA"/>
    <w:rsid w:val="005E3E7D"/>
    <w:rsid w:val="005E47B8"/>
    <w:rsid w:val="005E520D"/>
    <w:rsid w:val="005E5895"/>
    <w:rsid w:val="005E61EB"/>
    <w:rsid w:val="005E741F"/>
    <w:rsid w:val="005E7AC9"/>
    <w:rsid w:val="005E7E3B"/>
    <w:rsid w:val="005E7F3D"/>
    <w:rsid w:val="005F0551"/>
    <w:rsid w:val="005F1080"/>
    <w:rsid w:val="005F2E44"/>
    <w:rsid w:val="005F43E9"/>
    <w:rsid w:val="005F4C64"/>
    <w:rsid w:val="005F4D02"/>
    <w:rsid w:val="005F52C9"/>
    <w:rsid w:val="005F5416"/>
    <w:rsid w:val="005F5B41"/>
    <w:rsid w:val="005F5FE9"/>
    <w:rsid w:val="005F607E"/>
    <w:rsid w:val="005F67C7"/>
    <w:rsid w:val="005F6EAE"/>
    <w:rsid w:val="005F7146"/>
    <w:rsid w:val="006003B7"/>
    <w:rsid w:val="00600699"/>
    <w:rsid w:val="00600FD2"/>
    <w:rsid w:val="0060125E"/>
    <w:rsid w:val="00601650"/>
    <w:rsid w:val="006029A0"/>
    <w:rsid w:val="00602BD3"/>
    <w:rsid w:val="0060466B"/>
    <w:rsid w:val="00604EEF"/>
    <w:rsid w:val="00605AFD"/>
    <w:rsid w:val="00605D62"/>
    <w:rsid w:val="006066A4"/>
    <w:rsid w:val="006067F3"/>
    <w:rsid w:val="00606828"/>
    <w:rsid w:val="00606EE0"/>
    <w:rsid w:val="0060742F"/>
    <w:rsid w:val="00611165"/>
    <w:rsid w:val="006111BA"/>
    <w:rsid w:val="00611436"/>
    <w:rsid w:val="006114E5"/>
    <w:rsid w:val="006116CB"/>
    <w:rsid w:val="00611F59"/>
    <w:rsid w:val="006123D4"/>
    <w:rsid w:val="0061245C"/>
    <w:rsid w:val="00612904"/>
    <w:rsid w:val="00613754"/>
    <w:rsid w:val="00613783"/>
    <w:rsid w:val="006139CF"/>
    <w:rsid w:val="00613D60"/>
    <w:rsid w:val="00614242"/>
    <w:rsid w:val="0061445B"/>
    <w:rsid w:val="00614CAD"/>
    <w:rsid w:val="006151BE"/>
    <w:rsid w:val="0061527F"/>
    <w:rsid w:val="0061675D"/>
    <w:rsid w:val="006179FC"/>
    <w:rsid w:val="00620587"/>
    <w:rsid w:val="00620BEE"/>
    <w:rsid w:val="006223FE"/>
    <w:rsid w:val="00623796"/>
    <w:rsid w:val="00624C4B"/>
    <w:rsid w:val="00625024"/>
    <w:rsid w:val="006251B1"/>
    <w:rsid w:val="006252B2"/>
    <w:rsid w:val="00625A1A"/>
    <w:rsid w:val="00626688"/>
    <w:rsid w:val="00626920"/>
    <w:rsid w:val="00627100"/>
    <w:rsid w:val="00630DDF"/>
    <w:rsid w:val="00631142"/>
    <w:rsid w:val="00631537"/>
    <w:rsid w:val="00632519"/>
    <w:rsid w:val="00632E3C"/>
    <w:rsid w:val="006350C1"/>
    <w:rsid w:val="0063584D"/>
    <w:rsid w:val="00636430"/>
    <w:rsid w:val="0063646D"/>
    <w:rsid w:val="0063785D"/>
    <w:rsid w:val="006409E7"/>
    <w:rsid w:val="00641438"/>
    <w:rsid w:val="00642174"/>
    <w:rsid w:val="00642C6B"/>
    <w:rsid w:val="0064324E"/>
    <w:rsid w:val="00643AF3"/>
    <w:rsid w:val="0064470B"/>
    <w:rsid w:val="0064485D"/>
    <w:rsid w:val="00645442"/>
    <w:rsid w:val="00645CAB"/>
    <w:rsid w:val="006469CC"/>
    <w:rsid w:val="00646A90"/>
    <w:rsid w:val="00647A8B"/>
    <w:rsid w:val="00647E8C"/>
    <w:rsid w:val="00650956"/>
    <w:rsid w:val="0065105E"/>
    <w:rsid w:val="0065198D"/>
    <w:rsid w:val="00651A1E"/>
    <w:rsid w:val="006523BC"/>
    <w:rsid w:val="006529A8"/>
    <w:rsid w:val="00652E60"/>
    <w:rsid w:val="00652F20"/>
    <w:rsid w:val="00653D83"/>
    <w:rsid w:val="00653F18"/>
    <w:rsid w:val="00653F26"/>
    <w:rsid w:val="0065446B"/>
    <w:rsid w:val="00654BD6"/>
    <w:rsid w:val="006551B1"/>
    <w:rsid w:val="00656BC2"/>
    <w:rsid w:val="00660B96"/>
    <w:rsid w:val="00661764"/>
    <w:rsid w:val="00661FDB"/>
    <w:rsid w:val="00662A5D"/>
    <w:rsid w:val="00662B1A"/>
    <w:rsid w:val="00662D75"/>
    <w:rsid w:val="006634B0"/>
    <w:rsid w:val="0066362B"/>
    <w:rsid w:val="0066414E"/>
    <w:rsid w:val="006648AE"/>
    <w:rsid w:val="00664961"/>
    <w:rsid w:val="006649D1"/>
    <w:rsid w:val="00664AB3"/>
    <w:rsid w:val="00664B0F"/>
    <w:rsid w:val="00665358"/>
    <w:rsid w:val="00670072"/>
    <w:rsid w:val="0067012C"/>
    <w:rsid w:val="0067148F"/>
    <w:rsid w:val="00671791"/>
    <w:rsid w:val="006717F5"/>
    <w:rsid w:val="0067183C"/>
    <w:rsid w:val="00671DF8"/>
    <w:rsid w:val="00671E1B"/>
    <w:rsid w:val="00671E8E"/>
    <w:rsid w:val="00671F98"/>
    <w:rsid w:val="006721F1"/>
    <w:rsid w:val="006722AD"/>
    <w:rsid w:val="006726F0"/>
    <w:rsid w:val="00672B5D"/>
    <w:rsid w:val="00673480"/>
    <w:rsid w:val="00674C19"/>
    <w:rsid w:val="00674EC7"/>
    <w:rsid w:val="006757B8"/>
    <w:rsid w:val="00675848"/>
    <w:rsid w:val="00675C75"/>
    <w:rsid w:val="006761BC"/>
    <w:rsid w:val="0067622C"/>
    <w:rsid w:val="006770C8"/>
    <w:rsid w:val="00677495"/>
    <w:rsid w:val="0067750B"/>
    <w:rsid w:val="00677C82"/>
    <w:rsid w:val="00677DB3"/>
    <w:rsid w:val="00677DC7"/>
    <w:rsid w:val="006807ED"/>
    <w:rsid w:val="00681545"/>
    <w:rsid w:val="00681743"/>
    <w:rsid w:val="00682249"/>
    <w:rsid w:val="006827AE"/>
    <w:rsid w:val="006833CE"/>
    <w:rsid w:val="006841E3"/>
    <w:rsid w:val="006853DE"/>
    <w:rsid w:val="006854B6"/>
    <w:rsid w:val="006857AE"/>
    <w:rsid w:val="00685A10"/>
    <w:rsid w:val="00685AC1"/>
    <w:rsid w:val="00685CF7"/>
    <w:rsid w:val="00686165"/>
    <w:rsid w:val="006863EF"/>
    <w:rsid w:val="006904E6"/>
    <w:rsid w:val="00690C5B"/>
    <w:rsid w:val="0069182A"/>
    <w:rsid w:val="00691CB5"/>
    <w:rsid w:val="00692143"/>
    <w:rsid w:val="006923DF"/>
    <w:rsid w:val="006930D1"/>
    <w:rsid w:val="00693A59"/>
    <w:rsid w:val="00693C80"/>
    <w:rsid w:val="00695DD9"/>
    <w:rsid w:val="0069737F"/>
    <w:rsid w:val="00697F8A"/>
    <w:rsid w:val="006A0360"/>
    <w:rsid w:val="006A0573"/>
    <w:rsid w:val="006A1AB2"/>
    <w:rsid w:val="006A1C89"/>
    <w:rsid w:val="006A2F35"/>
    <w:rsid w:val="006A2F9D"/>
    <w:rsid w:val="006A36F4"/>
    <w:rsid w:val="006A37F5"/>
    <w:rsid w:val="006A543F"/>
    <w:rsid w:val="006A7A4B"/>
    <w:rsid w:val="006B03A8"/>
    <w:rsid w:val="006B33DE"/>
    <w:rsid w:val="006B38FF"/>
    <w:rsid w:val="006B56C0"/>
    <w:rsid w:val="006B720F"/>
    <w:rsid w:val="006B7531"/>
    <w:rsid w:val="006C01ED"/>
    <w:rsid w:val="006C1365"/>
    <w:rsid w:val="006C1892"/>
    <w:rsid w:val="006C1AA3"/>
    <w:rsid w:val="006C20CF"/>
    <w:rsid w:val="006C223E"/>
    <w:rsid w:val="006C3441"/>
    <w:rsid w:val="006C4590"/>
    <w:rsid w:val="006C486A"/>
    <w:rsid w:val="006C4E7F"/>
    <w:rsid w:val="006C5B73"/>
    <w:rsid w:val="006C5F8D"/>
    <w:rsid w:val="006C645D"/>
    <w:rsid w:val="006C6F26"/>
    <w:rsid w:val="006C72CD"/>
    <w:rsid w:val="006C776E"/>
    <w:rsid w:val="006C7DA5"/>
    <w:rsid w:val="006D1515"/>
    <w:rsid w:val="006D1A11"/>
    <w:rsid w:val="006D1A90"/>
    <w:rsid w:val="006D215A"/>
    <w:rsid w:val="006D2F82"/>
    <w:rsid w:val="006D3B30"/>
    <w:rsid w:val="006D41CA"/>
    <w:rsid w:val="006D4299"/>
    <w:rsid w:val="006D4496"/>
    <w:rsid w:val="006D4606"/>
    <w:rsid w:val="006D494E"/>
    <w:rsid w:val="006D4D6B"/>
    <w:rsid w:val="006D4F86"/>
    <w:rsid w:val="006D5D9D"/>
    <w:rsid w:val="006D63BA"/>
    <w:rsid w:val="006D79D0"/>
    <w:rsid w:val="006D7DF4"/>
    <w:rsid w:val="006E0F1F"/>
    <w:rsid w:val="006E105C"/>
    <w:rsid w:val="006E13A1"/>
    <w:rsid w:val="006E1457"/>
    <w:rsid w:val="006E19EA"/>
    <w:rsid w:val="006E1A81"/>
    <w:rsid w:val="006E248A"/>
    <w:rsid w:val="006E2D2A"/>
    <w:rsid w:val="006E3B62"/>
    <w:rsid w:val="006E3CC3"/>
    <w:rsid w:val="006E3CF8"/>
    <w:rsid w:val="006E463A"/>
    <w:rsid w:val="006E52D7"/>
    <w:rsid w:val="006E59ED"/>
    <w:rsid w:val="006E71C9"/>
    <w:rsid w:val="006E7BCC"/>
    <w:rsid w:val="006E7BED"/>
    <w:rsid w:val="006F0503"/>
    <w:rsid w:val="006F0ADA"/>
    <w:rsid w:val="006F0FFA"/>
    <w:rsid w:val="006F12F0"/>
    <w:rsid w:val="006F1CF2"/>
    <w:rsid w:val="006F2120"/>
    <w:rsid w:val="006F299F"/>
    <w:rsid w:val="006F4279"/>
    <w:rsid w:val="006F5143"/>
    <w:rsid w:val="006F5DAF"/>
    <w:rsid w:val="006F5EB3"/>
    <w:rsid w:val="006F63A1"/>
    <w:rsid w:val="006F6A2A"/>
    <w:rsid w:val="006F6D19"/>
    <w:rsid w:val="006F6F63"/>
    <w:rsid w:val="006F7373"/>
    <w:rsid w:val="006F7F81"/>
    <w:rsid w:val="00700DB0"/>
    <w:rsid w:val="007017E9"/>
    <w:rsid w:val="00701995"/>
    <w:rsid w:val="0070311C"/>
    <w:rsid w:val="0070328D"/>
    <w:rsid w:val="00703B3A"/>
    <w:rsid w:val="00703CC0"/>
    <w:rsid w:val="00703E86"/>
    <w:rsid w:val="0070416F"/>
    <w:rsid w:val="0070488A"/>
    <w:rsid w:val="00704B5E"/>
    <w:rsid w:val="00705D0F"/>
    <w:rsid w:val="00705D62"/>
    <w:rsid w:val="00705ED1"/>
    <w:rsid w:val="00706200"/>
    <w:rsid w:val="00706781"/>
    <w:rsid w:val="0070680F"/>
    <w:rsid w:val="00706E8E"/>
    <w:rsid w:val="00707BB9"/>
    <w:rsid w:val="00707C85"/>
    <w:rsid w:val="0071079C"/>
    <w:rsid w:val="00710BA6"/>
    <w:rsid w:val="00710BE5"/>
    <w:rsid w:val="007114C7"/>
    <w:rsid w:val="00711FDB"/>
    <w:rsid w:val="00712DC8"/>
    <w:rsid w:val="00712F83"/>
    <w:rsid w:val="00713F7B"/>
    <w:rsid w:val="007149AA"/>
    <w:rsid w:val="00714B7B"/>
    <w:rsid w:val="0071544F"/>
    <w:rsid w:val="00716075"/>
    <w:rsid w:val="007165DA"/>
    <w:rsid w:val="0071720F"/>
    <w:rsid w:val="007177FF"/>
    <w:rsid w:val="0072146C"/>
    <w:rsid w:val="007219D6"/>
    <w:rsid w:val="00722B53"/>
    <w:rsid w:val="00722CD2"/>
    <w:rsid w:val="00722DB9"/>
    <w:rsid w:val="00724799"/>
    <w:rsid w:val="00725375"/>
    <w:rsid w:val="007262AA"/>
    <w:rsid w:val="00726497"/>
    <w:rsid w:val="0072677A"/>
    <w:rsid w:val="007269D8"/>
    <w:rsid w:val="00727013"/>
    <w:rsid w:val="00727196"/>
    <w:rsid w:val="00727791"/>
    <w:rsid w:val="00727C02"/>
    <w:rsid w:val="00730639"/>
    <w:rsid w:val="007306FB"/>
    <w:rsid w:val="00731B4F"/>
    <w:rsid w:val="00732A29"/>
    <w:rsid w:val="00732F45"/>
    <w:rsid w:val="00733026"/>
    <w:rsid w:val="0073340F"/>
    <w:rsid w:val="00733F4A"/>
    <w:rsid w:val="0073426C"/>
    <w:rsid w:val="007347EF"/>
    <w:rsid w:val="00734F37"/>
    <w:rsid w:val="007353FD"/>
    <w:rsid w:val="007355FE"/>
    <w:rsid w:val="0073597A"/>
    <w:rsid w:val="007359E2"/>
    <w:rsid w:val="007364BF"/>
    <w:rsid w:val="00736C57"/>
    <w:rsid w:val="00737501"/>
    <w:rsid w:val="0074096C"/>
    <w:rsid w:val="00741FB7"/>
    <w:rsid w:val="007420AF"/>
    <w:rsid w:val="00742366"/>
    <w:rsid w:val="00742579"/>
    <w:rsid w:val="00742692"/>
    <w:rsid w:val="00744484"/>
    <w:rsid w:val="00745298"/>
    <w:rsid w:val="00745885"/>
    <w:rsid w:val="007462E6"/>
    <w:rsid w:val="00746F08"/>
    <w:rsid w:val="00746F3A"/>
    <w:rsid w:val="00746F41"/>
    <w:rsid w:val="007471B2"/>
    <w:rsid w:val="00747533"/>
    <w:rsid w:val="007509DD"/>
    <w:rsid w:val="00751057"/>
    <w:rsid w:val="0075166D"/>
    <w:rsid w:val="0075192C"/>
    <w:rsid w:val="00751A3B"/>
    <w:rsid w:val="00751C06"/>
    <w:rsid w:val="00752898"/>
    <w:rsid w:val="00753480"/>
    <w:rsid w:val="007547E4"/>
    <w:rsid w:val="00754A26"/>
    <w:rsid w:val="00754E35"/>
    <w:rsid w:val="007560F2"/>
    <w:rsid w:val="007564B1"/>
    <w:rsid w:val="007566FF"/>
    <w:rsid w:val="00756E0C"/>
    <w:rsid w:val="00757714"/>
    <w:rsid w:val="00760613"/>
    <w:rsid w:val="007606DC"/>
    <w:rsid w:val="007607BB"/>
    <w:rsid w:val="00760CDD"/>
    <w:rsid w:val="00761686"/>
    <w:rsid w:val="007626F8"/>
    <w:rsid w:val="00763474"/>
    <w:rsid w:val="007634E0"/>
    <w:rsid w:val="0076435D"/>
    <w:rsid w:val="00765E7C"/>
    <w:rsid w:val="00766184"/>
    <w:rsid w:val="007661E0"/>
    <w:rsid w:val="00766510"/>
    <w:rsid w:val="00766614"/>
    <w:rsid w:val="00766A54"/>
    <w:rsid w:val="00766E47"/>
    <w:rsid w:val="00770A60"/>
    <w:rsid w:val="007736F5"/>
    <w:rsid w:val="007762C3"/>
    <w:rsid w:val="00776C3A"/>
    <w:rsid w:val="007771E2"/>
    <w:rsid w:val="0077755F"/>
    <w:rsid w:val="00777901"/>
    <w:rsid w:val="00777912"/>
    <w:rsid w:val="00777D67"/>
    <w:rsid w:val="00780672"/>
    <w:rsid w:val="00780E6B"/>
    <w:rsid w:val="00782111"/>
    <w:rsid w:val="0078257B"/>
    <w:rsid w:val="00783D75"/>
    <w:rsid w:val="00784C0A"/>
    <w:rsid w:val="007857DA"/>
    <w:rsid w:val="0078599F"/>
    <w:rsid w:val="00785D1B"/>
    <w:rsid w:val="00787AC2"/>
    <w:rsid w:val="00790A45"/>
    <w:rsid w:val="0079149D"/>
    <w:rsid w:val="00791741"/>
    <w:rsid w:val="00791921"/>
    <w:rsid w:val="0079198A"/>
    <w:rsid w:val="0079231D"/>
    <w:rsid w:val="00792754"/>
    <w:rsid w:val="00792B0C"/>
    <w:rsid w:val="00792F8D"/>
    <w:rsid w:val="007936DF"/>
    <w:rsid w:val="007937DC"/>
    <w:rsid w:val="00793F08"/>
    <w:rsid w:val="00794B40"/>
    <w:rsid w:val="007956D4"/>
    <w:rsid w:val="007958B1"/>
    <w:rsid w:val="00795CA7"/>
    <w:rsid w:val="00796A68"/>
    <w:rsid w:val="00796BDC"/>
    <w:rsid w:val="00796E26"/>
    <w:rsid w:val="007A1079"/>
    <w:rsid w:val="007A154A"/>
    <w:rsid w:val="007A16BC"/>
    <w:rsid w:val="007A182A"/>
    <w:rsid w:val="007A1D52"/>
    <w:rsid w:val="007A1E84"/>
    <w:rsid w:val="007A1E98"/>
    <w:rsid w:val="007A2277"/>
    <w:rsid w:val="007A24AA"/>
    <w:rsid w:val="007A3068"/>
    <w:rsid w:val="007A309C"/>
    <w:rsid w:val="007A3294"/>
    <w:rsid w:val="007A3661"/>
    <w:rsid w:val="007A3B2E"/>
    <w:rsid w:val="007A415F"/>
    <w:rsid w:val="007A4324"/>
    <w:rsid w:val="007A43A4"/>
    <w:rsid w:val="007A4511"/>
    <w:rsid w:val="007A4824"/>
    <w:rsid w:val="007A4C75"/>
    <w:rsid w:val="007A4CC1"/>
    <w:rsid w:val="007A4FAF"/>
    <w:rsid w:val="007A56B8"/>
    <w:rsid w:val="007A5E42"/>
    <w:rsid w:val="007A7BD0"/>
    <w:rsid w:val="007B01AB"/>
    <w:rsid w:val="007B0639"/>
    <w:rsid w:val="007B076C"/>
    <w:rsid w:val="007B0D54"/>
    <w:rsid w:val="007B101C"/>
    <w:rsid w:val="007B1F9F"/>
    <w:rsid w:val="007B2677"/>
    <w:rsid w:val="007B2BD7"/>
    <w:rsid w:val="007B31CC"/>
    <w:rsid w:val="007B44B8"/>
    <w:rsid w:val="007B472D"/>
    <w:rsid w:val="007B56C4"/>
    <w:rsid w:val="007B5B04"/>
    <w:rsid w:val="007B5E2F"/>
    <w:rsid w:val="007B641F"/>
    <w:rsid w:val="007B6911"/>
    <w:rsid w:val="007B6D34"/>
    <w:rsid w:val="007B6ED7"/>
    <w:rsid w:val="007B71F5"/>
    <w:rsid w:val="007B7637"/>
    <w:rsid w:val="007B7680"/>
    <w:rsid w:val="007B76AB"/>
    <w:rsid w:val="007C065B"/>
    <w:rsid w:val="007C085F"/>
    <w:rsid w:val="007C0ABF"/>
    <w:rsid w:val="007C1047"/>
    <w:rsid w:val="007C1A2C"/>
    <w:rsid w:val="007C217B"/>
    <w:rsid w:val="007C2A0A"/>
    <w:rsid w:val="007C2A90"/>
    <w:rsid w:val="007C3563"/>
    <w:rsid w:val="007C530E"/>
    <w:rsid w:val="007C5642"/>
    <w:rsid w:val="007C575B"/>
    <w:rsid w:val="007C5B2E"/>
    <w:rsid w:val="007C6F4A"/>
    <w:rsid w:val="007C7039"/>
    <w:rsid w:val="007C706C"/>
    <w:rsid w:val="007C763D"/>
    <w:rsid w:val="007C7F05"/>
    <w:rsid w:val="007D0326"/>
    <w:rsid w:val="007D0C73"/>
    <w:rsid w:val="007D1170"/>
    <w:rsid w:val="007D144B"/>
    <w:rsid w:val="007D1F4F"/>
    <w:rsid w:val="007D23ED"/>
    <w:rsid w:val="007D3E85"/>
    <w:rsid w:val="007D45AD"/>
    <w:rsid w:val="007D592B"/>
    <w:rsid w:val="007D5AA6"/>
    <w:rsid w:val="007D6412"/>
    <w:rsid w:val="007D7A91"/>
    <w:rsid w:val="007D7B76"/>
    <w:rsid w:val="007D7C53"/>
    <w:rsid w:val="007D7F79"/>
    <w:rsid w:val="007E011B"/>
    <w:rsid w:val="007E03A7"/>
    <w:rsid w:val="007E04C8"/>
    <w:rsid w:val="007E2078"/>
    <w:rsid w:val="007E2EA3"/>
    <w:rsid w:val="007E3224"/>
    <w:rsid w:val="007E32BC"/>
    <w:rsid w:val="007E32CC"/>
    <w:rsid w:val="007E39A3"/>
    <w:rsid w:val="007E3BAB"/>
    <w:rsid w:val="007E44C0"/>
    <w:rsid w:val="007E4AB1"/>
    <w:rsid w:val="007E5811"/>
    <w:rsid w:val="007E5ABB"/>
    <w:rsid w:val="007E5D15"/>
    <w:rsid w:val="007E641F"/>
    <w:rsid w:val="007E6456"/>
    <w:rsid w:val="007E66D5"/>
    <w:rsid w:val="007E6D39"/>
    <w:rsid w:val="007E7529"/>
    <w:rsid w:val="007E7F78"/>
    <w:rsid w:val="007F0172"/>
    <w:rsid w:val="007F0714"/>
    <w:rsid w:val="007F09A0"/>
    <w:rsid w:val="007F0D21"/>
    <w:rsid w:val="007F0F13"/>
    <w:rsid w:val="007F18A5"/>
    <w:rsid w:val="007F1B46"/>
    <w:rsid w:val="007F2070"/>
    <w:rsid w:val="007F28A6"/>
    <w:rsid w:val="007F28D9"/>
    <w:rsid w:val="007F3289"/>
    <w:rsid w:val="007F3E82"/>
    <w:rsid w:val="007F423E"/>
    <w:rsid w:val="007F4767"/>
    <w:rsid w:val="007F4FC8"/>
    <w:rsid w:val="007F557D"/>
    <w:rsid w:val="007F55FD"/>
    <w:rsid w:val="007F7C3E"/>
    <w:rsid w:val="00802B3D"/>
    <w:rsid w:val="00803C83"/>
    <w:rsid w:val="00804C78"/>
    <w:rsid w:val="0080524F"/>
    <w:rsid w:val="0080541F"/>
    <w:rsid w:val="0080557D"/>
    <w:rsid w:val="008110C6"/>
    <w:rsid w:val="00811943"/>
    <w:rsid w:val="008123A0"/>
    <w:rsid w:val="00812411"/>
    <w:rsid w:val="008126F1"/>
    <w:rsid w:val="00812AEC"/>
    <w:rsid w:val="00812C1D"/>
    <w:rsid w:val="00812DAD"/>
    <w:rsid w:val="00813689"/>
    <w:rsid w:val="00813807"/>
    <w:rsid w:val="008152E3"/>
    <w:rsid w:val="00815C81"/>
    <w:rsid w:val="008164E3"/>
    <w:rsid w:val="008166D2"/>
    <w:rsid w:val="008167DA"/>
    <w:rsid w:val="0082072E"/>
    <w:rsid w:val="00820808"/>
    <w:rsid w:val="008232D7"/>
    <w:rsid w:val="008238DF"/>
    <w:rsid w:val="00824101"/>
    <w:rsid w:val="00824CAC"/>
    <w:rsid w:val="00825457"/>
    <w:rsid w:val="00825908"/>
    <w:rsid w:val="008262C7"/>
    <w:rsid w:val="00826945"/>
    <w:rsid w:val="008271D0"/>
    <w:rsid w:val="00827606"/>
    <w:rsid w:val="008278CE"/>
    <w:rsid w:val="0083045B"/>
    <w:rsid w:val="00830724"/>
    <w:rsid w:val="00830BD9"/>
    <w:rsid w:val="008311B8"/>
    <w:rsid w:val="00831888"/>
    <w:rsid w:val="00831B5E"/>
    <w:rsid w:val="00831BAF"/>
    <w:rsid w:val="00833370"/>
    <w:rsid w:val="008333F5"/>
    <w:rsid w:val="008337B4"/>
    <w:rsid w:val="00834243"/>
    <w:rsid w:val="008344C7"/>
    <w:rsid w:val="00834DDA"/>
    <w:rsid w:val="00836CFE"/>
    <w:rsid w:val="008374C4"/>
    <w:rsid w:val="008375D6"/>
    <w:rsid w:val="008378AE"/>
    <w:rsid w:val="00837A99"/>
    <w:rsid w:val="00840607"/>
    <w:rsid w:val="00840744"/>
    <w:rsid w:val="008409E2"/>
    <w:rsid w:val="00841E15"/>
    <w:rsid w:val="00844914"/>
    <w:rsid w:val="00845992"/>
    <w:rsid w:val="00845B05"/>
    <w:rsid w:val="0084601E"/>
    <w:rsid w:val="0084678E"/>
    <w:rsid w:val="0085077A"/>
    <w:rsid w:val="008508ED"/>
    <w:rsid w:val="00851723"/>
    <w:rsid w:val="00851F91"/>
    <w:rsid w:val="00852785"/>
    <w:rsid w:val="00854762"/>
    <w:rsid w:val="00854AC4"/>
    <w:rsid w:val="00855566"/>
    <w:rsid w:val="00855EFB"/>
    <w:rsid w:val="00856572"/>
    <w:rsid w:val="00857340"/>
    <w:rsid w:val="008575AC"/>
    <w:rsid w:val="00857969"/>
    <w:rsid w:val="00860277"/>
    <w:rsid w:val="0086065E"/>
    <w:rsid w:val="0086133A"/>
    <w:rsid w:val="00861D67"/>
    <w:rsid w:val="00862B7E"/>
    <w:rsid w:val="008638A8"/>
    <w:rsid w:val="00863D5C"/>
    <w:rsid w:val="008645AF"/>
    <w:rsid w:val="00864A40"/>
    <w:rsid w:val="00864C54"/>
    <w:rsid w:val="008655BC"/>
    <w:rsid w:val="0086642F"/>
    <w:rsid w:val="00866DEF"/>
    <w:rsid w:val="00867179"/>
    <w:rsid w:val="0086768C"/>
    <w:rsid w:val="00867C23"/>
    <w:rsid w:val="00867DB0"/>
    <w:rsid w:val="00870EBB"/>
    <w:rsid w:val="008711B0"/>
    <w:rsid w:val="0087148C"/>
    <w:rsid w:val="00871A46"/>
    <w:rsid w:val="008727F2"/>
    <w:rsid w:val="00873E17"/>
    <w:rsid w:val="00874573"/>
    <w:rsid w:val="008748C1"/>
    <w:rsid w:val="0087576F"/>
    <w:rsid w:val="0087615D"/>
    <w:rsid w:val="0087720C"/>
    <w:rsid w:val="008805C1"/>
    <w:rsid w:val="00881BC7"/>
    <w:rsid w:val="00882844"/>
    <w:rsid w:val="00882B25"/>
    <w:rsid w:val="00882CC4"/>
    <w:rsid w:val="00883509"/>
    <w:rsid w:val="008844AC"/>
    <w:rsid w:val="0088501F"/>
    <w:rsid w:val="008855E1"/>
    <w:rsid w:val="008857C6"/>
    <w:rsid w:val="00886604"/>
    <w:rsid w:val="00887207"/>
    <w:rsid w:val="008901AB"/>
    <w:rsid w:val="008904AB"/>
    <w:rsid w:val="0089058D"/>
    <w:rsid w:val="008905D2"/>
    <w:rsid w:val="00890850"/>
    <w:rsid w:val="008911D4"/>
    <w:rsid w:val="00891738"/>
    <w:rsid w:val="00892184"/>
    <w:rsid w:val="008931A2"/>
    <w:rsid w:val="00893BBF"/>
    <w:rsid w:val="00894158"/>
    <w:rsid w:val="0089460E"/>
    <w:rsid w:val="00894818"/>
    <w:rsid w:val="008963F5"/>
    <w:rsid w:val="008976E0"/>
    <w:rsid w:val="00897F46"/>
    <w:rsid w:val="008A0785"/>
    <w:rsid w:val="008A2265"/>
    <w:rsid w:val="008A22D2"/>
    <w:rsid w:val="008A3112"/>
    <w:rsid w:val="008A349C"/>
    <w:rsid w:val="008A55CC"/>
    <w:rsid w:val="008A5B4E"/>
    <w:rsid w:val="008A7B03"/>
    <w:rsid w:val="008B19CD"/>
    <w:rsid w:val="008B2AAF"/>
    <w:rsid w:val="008B3222"/>
    <w:rsid w:val="008B3A25"/>
    <w:rsid w:val="008B4C05"/>
    <w:rsid w:val="008B590F"/>
    <w:rsid w:val="008B712B"/>
    <w:rsid w:val="008B7337"/>
    <w:rsid w:val="008B7B33"/>
    <w:rsid w:val="008C0207"/>
    <w:rsid w:val="008C038E"/>
    <w:rsid w:val="008C04AD"/>
    <w:rsid w:val="008C0C6B"/>
    <w:rsid w:val="008C0F5A"/>
    <w:rsid w:val="008C1157"/>
    <w:rsid w:val="008C16CF"/>
    <w:rsid w:val="008C1B52"/>
    <w:rsid w:val="008C2996"/>
    <w:rsid w:val="008C382B"/>
    <w:rsid w:val="008C4C94"/>
    <w:rsid w:val="008C547D"/>
    <w:rsid w:val="008C628F"/>
    <w:rsid w:val="008C69BC"/>
    <w:rsid w:val="008C7208"/>
    <w:rsid w:val="008C7367"/>
    <w:rsid w:val="008C7505"/>
    <w:rsid w:val="008C768F"/>
    <w:rsid w:val="008C7F71"/>
    <w:rsid w:val="008D050B"/>
    <w:rsid w:val="008D16F0"/>
    <w:rsid w:val="008D27B4"/>
    <w:rsid w:val="008D305E"/>
    <w:rsid w:val="008D339F"/>
    <w:rsid w:val="008D4223"/>
    <w:rsid w:val="008D4716"/>
    <w:rsid w:val="008D4BC2"/>
    <w:rsid w:val="008D4E7A"/>
    <w:rsid w:val="008D5334"/>
    <w:rsid w:val="008D603B"/>
    <w:rsid w:val="008D662A"/>
    <w:rsid w:val="008D79C1"/>
    <w:rsid w:val="008D7BAB"/>
    <w:rsid w:val="008D7F9C"/>
    <w:rsid w:val="008E0343"/>
    <w:rsid w:val="008E146D"/>
    <w:rsid w:val="008E187B"/>
    <w:rsid w:val="008E24D2"/>
    <w:rsid w:val="008E2AF8"/>
    <w:rsid w:val="008E3AA4"/>
    <w:rsid w:val="008E3D0F"/>
    <w:rsid w:val="008E414C"/>
    <w:rsid w:val="008E44D3"/>
    <w:rsid w:val="008E45C9"/>
    <w:rsid w:val="008E5519"/>
    <w:rsid w:val="008E6292"/>
    <w:rsid w:val="008E67D3"/>
    <w:rsid w:val="008E7AC5"/>
    <w:rsid w:val="008E7DC7"/>
    <w:rsid w:val="008F033F"/>
    <w:rsid w:val="008F0345"/>
    <w:rsid w:val="008F0B86"/>
    <w:rsid w:val="008F14D8"/>
    <w:rsid w:val="008F14FA"/>
    <w:rsid w:val="008F23EB"/>
    <w:rsid w:val="008F263C"/>
    <w:rsid w:val="008F2BB8"/>
    <w:rsid w:val="008F2F45"/>
    <w:rsid w:val="008F3ABC"/>
    <w:rsid w:val="008F530A"/>
    <w:rsid w:val="008F57BA"/>
    <w:rsid w:val="008F5F90"/>
    <w:rsid w:val="008F6625"/>
    <w:rsid w:val="008F6BDA"/>
    <w:rsid w:val="008F6C0A"/>
    <w:rsid w:val="008F722E"/>
    <w:rsid w:val="008F7F0F"/>
    <w:rsid w:val="00900935"/>
    <w:rsid w:val="009014C0"/>
    <w:rsid w:val="009015FA"/>
    <w:rsid w:val="00903E16"/>
    <w:rsid w:val="00904124"/>
    <w:rsid w:val="00906E61"/>
    <w:rsid w:val="00907A21"/>
    <w:rsid w:val="00907B01"/>
    <w:rsid w:val="00910456"/>
    <w:rsid w:val="009106A8"/>
    <w:rsid w:val="0091172A"/>
    <w:rsid w:val="009122D1"/>
    <w:rsid w:val="00912948"/>
    <w:rsid w:val="009135A7"/>
    <w:rsid w:val="00914820"/>
    <w:rsid w:val="009159AC"/>
    <w:rsid w:val="00916557"/>
    <w:rsid w:val="00916D51"/>
    <w:rsid w:val="00916D65"/>
    <w:rsid w:val="00917204"/>
    <w:rsid w:val="0091750F"/>
    <w:rsid w:val="0091796D"/>
    <w:rsid w:val="00917DF7"/>
    <w:rsid w:val="00917E28"/>
    <w:rsid w:val="00917EDA"/>
    <w:rsid w:val="00921A26"/>
    <w:rsid w:val="00921A56"/>
    <w:rsid w:val="00921BDA"/>
    <w:rsid w:val="00922391"/>
    <w:rsid w:val="00922D65"/>
    <w:rsid w:val="009241EE"/>
    <w:rsid w:val="009244D7"/>
    <w:rsid w:val="009249A7"/>
    <w:rsid w:val="00925AA5"/>
    <w:rsid w:val="00925F9F"/>
    <w:rsid w:val="009269DD"/>
    <w:rsid w:val="00927CD3"/>
    <w:rsid w:val="00930B73"/>
    <w:rsid w:val="00931134"/>
    <w:rsid w:val="009316E8"/>
    <w:rsid w:val="00931D7C"/>
    <w:rsid w:val="0093303E"/>
    <w:rsid w:val="00933732"/>
    <w:rsid w:val="00933C26"/>
    <w:rsid w:val="00933EA3"/>
    <w:rsid w:val="0093504C"/>
    <w:rsid w:val="00935124"/>
    <w:rsid w:val="0093540D"/>
    <w:rsid w:val="009354D4"/>
    <w:rsid w:val="00935AFB"/>
    <w:rsid w:val="00937C45"/>
    <w:rsid w:val="0094019D"/>
    <w:rsid w:val="00940B36"/>
    <w:rsid w:val="0094280E"/>
    <w:rsid w:val="00942C11"/>
    <w:rsid w:val="00942D80"/>
    <w:rsid w:val="00942D9D"/>
    <w:rsid w:val="0094351F"/>
    <w:rsid w:val="00943FF5"/>
    <w:rsid w:val="00944671"/>
    <w:rsid w:val="009447AA"/>
    <w:rsid w:val="00945454"/>
    <w:rsid w:val="00945468"/>
    <w:rsid w:val="00946C77"/>
    <w:rsid w:val="00947048"/>
    <w:rsid w:val="00947916"/>
    <w:rsid w:val="00950870"/>
    <w:rsid w:val="00950C19"/>
    <w:rsid w:val="009525D2"/>
    <w:rsid w:val="00953791"/>
    <w:rsid w:val="00953BB8"/>
    <w:rsid w:val="009547F8"/>
    <w:rsid w:val="0095496A"/>
    <w:rsid w:val="00955DAC"/>
    <w:rsid w:val="00956283"/>
    <w:rsid w:val="009563C8"/>
    <w:rsid w:val="00956516"/>
    <w:rsid w:val="00957590"/>
    <w:rsid w:val="00957CDD"/>
    <w:rsid w:val="00961BA0"/>
    <w:rsid w:val="00962ACF"/>
    <w:rsid w:val="00962D80"/>
    <w:rsid w:val="00962DC1"/>
    <w:rsid w:val="00962DDF"/>
    <w:rsid w:val="00963739"/>
    <w:rsid w:val="0096444B"/>
    <w:rsid w:val="009646D0"/>
    <w:rsid w:val="0096481C"/>
    <w:rsid w:val="00964CAC"/>
    <w:rsid w:val="00965F22"/>
    <w:rsid w:val="009673E2"/>
    <w:rsid w:val="00970126"/>
    <w:rsid w:val="0097012B"/>
    <w:rsid w:val="009707E3"/>
    <w:rsid w:val="0097169C"/>
    <w:rsid w:val="009720C2"/>
    <w:rsid w:val="009726FA"/>
    <w:rsid w:val="009729D4"/>
    <w:rsid w:val="00972D9C"/>
    <w:rsid w:val="009730C0"/>
    <w:rsid w:val="00973604"/>
    <w:rsid w:val="00973F3E"/>
    <w:rsid w:val="009744BA"/>
    <w:rsid w:val="009746FC"/>
    <w:rsid w:val="009747A0"/>
    <w:rsid w:val="009762C0"/>
    <w:rsid w:val="009762C6"/>
    <w:rsid w:val="009763AB"/>
    <w:rsid w:val="00976C60"/>
    <w:rsid w:val="0097765B"/>
    <w:rsid w:val="009777B7"/>
    <w:rsid w:val="00980759"/>
    <w:rsid w:val="00980846"/>
    <w:rsid w:val="0098090F"/>
    <w:rsid w:val="009817B0"/>
    <w:rsid w:val="009819DC"/>
    <w:rsid w:val="009821CE"/>
    <w:rsid w:val="009823CC"/>
    <w:rsid w:val="00982963"/>
    <w:rsid w:val="00983656"/>
    <w:rsid w:val="00985952"/>
    <w:rsid w:val="00985F16"/>
    <w:rsid w:val="00991417"/>
    <w:rsid w:val="00991BFD"/>
    <w:rsid w:val="00991FA4"/>
    <w:rsid w:val="00992DD5"/>
    <w:rsid w:val="00992F75"/>
    <w:rsid w:val="00992FD0"/>
    <w:rsid w:val="00993410"/>
    <w:rsid w:val="00994BF4"/>
    <w:rsid w:val="00996895"/>
    <w:rsid w:val="00997662"/>
    <w:rsid w:val="009A01C0"/>
    <w:rsid w:val="009A14C4"/>
    <w:rsid w:val="009A1DC3"/>
    <w:rsid w:val="009A1E60"/>
    <w:rsid w:val="009A277C"/>
    <w:rsid w:val="009A287B"/>
    <w:rsid w:val="009A391D"/>
    <w:rsid w:val="009A3AD3"/>
    <w:rsid w:val="009A50F2"/>
    <w:rsid w:val="009A60FA"/>
    <w:rsid w:val="009A62CF"/>
    <w:rsid w:val="009A64A4"/>
    <w:rsid w:val="009A658F"/>
    <w:rsid w:val="009A719A"/>
    <w:rsid w:val="009A7E13"/>
    <w:rsid w:val="009B0558"/>
    <w:rsid w:val="009B088F"/>
    <w:rsid w:val="009B2249"/>
    <w:rsid w:val="009B2EF1"/>
    <w:rsid w:val="009B311C"/>
    <w:rsid w:val="009B33A9"/>
    <w:rsid w:val="009B424A"/>
    <w:rsid w:val="009B4C19"/>
    <w:rsid w:val="009B5221"/>
    <w:rsid w:val="009B57F5"/>
    <w:rsid w:val="009B68EC"/>
    <w:rsid w:val="009C0390"/>
    <w:rsid w:val="009C0F51"/>
    <w:rsid w:val="009C180F"/>
    <w:rsid w:val="009C1A32"/>
    <w:rsid w:val="009C20AD"/>
    <w:rsid w:val="009C3738"/>
    <w:rsid w:val="009C46A3"/>
    <w:rsid w:val="009C5AFF"/>
    <w:rsid w:val="009C7D58"/>
    <w:rsid w:val="009C7F17"/>
    <w:rsid w:val="009C7FDC"/>
    <w:rsid w:val="009D12FD"/>
    <w:rsid w:val="009D157A"/>
    <w:rsid w:val="009D1FE2"/>
    <w:rsid w:val="009D21A2"/>
    <w:rsid w:val="009D25F5"/>
    <w:rsid w:val="009D2CFF"/>
    <w:rsid w:val="009D2EBF"/>
    <w:rsid w:val="009D30A6"/>
    <w:rsid w:val="009D3382"/>
    <w:rsid w:val="009D45C1"/>
    <w:rsid w:val="009D4E18"/>
    <w:rsid w:val="009D5176"/>
    <w:rsid w:val="009D530E"/>
    <w:rsid w:val="009D6882"/>
    <w:rsid w:val="009D68AD"/>
    <w:rsid w:val="009D6A99"/>
    <w:rsid w:val="009D71AB"/>
    <w:rsid w:val="009D7559"/>
    <w:rsid w:val="009D7FB9"/>
    <w:rsid w:val="009E0CA5"/>
    <w:rsid w:val="009E171B"/>
    <w:rsid w:val="009E20DC"/>
    <w:rsid w:val="009E2584"/>
    <w:rsid w:val="009E25EA"/>
    <w:rsid w:val="009E274B"/>
    <w:rsid w:val="009E2D66"/>
    <w:rsid w:val="009E2F61"/>
    <w:rsid w:val="009E48A0"/>
    <w:rsid w:val="009E4A90"/>
    <w:rsid w:val="009E515F"/>
    <w:rsid w:val="009E53F9"/>
    <w:rsid w:val="009E633C"/>
    <w:rsid w:val="009E75E9"/>
    <w:rsid w:val="009E7F97"/>
    <w:rsid w:val="009F022C"/>
    <w:rsid w:val="009F0380"/>
    <w:rsid w:val="009F0592"/>
    <w:rsid w:val="009F05E4"/>
    <w:rsid w:val="009F218C"/>
    <w:rsid w:val="009F2B26"/>
    <w:rsid w:val="009F34B3"/>
    <w:rsid w:val="009F3A06"/>
    <w:rsid w:val="009F4E28"/>
    <w:rsid w:val="009F4EC1"/>
    <w:rsid w:val="009F4FA5"/>
    <w:rsid w:val="009F5142"/>
    <w:rsid w:val="009F5199"/>
    <w:rsid w:val="009F5626"/>
    <w:rsid w:val="009F5F28"/>
    <w:rsid w:val="009F639F"/>
    <w:rsid w:val="009F7D6C"/>
    <w:rsid w:val="00A00336"/>
    <w:rsid w:val="00A007E0"/>
    <w:rsid w:val="00A015E8"/>
    <w:rsid w:val="00A01F2C"/>
    <w:rsid w:val="00A022C2"/>
    <w:rsid w:val="00A0262E"/>
    <w:rsid w:val="00A02851"/>
    <w:rsid w:val="00A02C2D"/>
    <w:rsid w:val="00A02E96"/>
    <w:rsid w:val="00A0378A"/>
    <w:rsid w:val="00A03A37"/>
    <w:rsid w:val="00A043B5"/>
    <w:rsid w:val="00A04C74"/>
    <w:rsid w:val="00A054C4"/>
    <w:rsid w:val="00A066DB"/>
    <w:rsid w:val="00A07830"/>
    <w:rsid w:val="00A07A1A"/>
    <w:rsid w:val="00A07A61"/>
    <w:rsid w:val="00A07D47"/>
    <w:rsid w:val="00A10593"/>
    <w:rsid w:val="00A112F1"/>
    <w:rsid w:val="00A119F1"/>
    <w:rsid w:val="00A11A9C"/>
    <w:rsid w:val="00A11FE1"/>
    <w:rsid w:val="00A12F62"/>
    <w:rsid w:val="00A146C3"/>
    <w:rsid w:val="00A14A32"/>
    <w:rsid w:val="00A14FE9"/>
    <w:rsid w:val="00A15097"/>
    <w:rsid w:val="00A1523A"/>
    <w:rsid w:val="00A155F0"/>
    <w:rsid w:val="00A1574B"/>
    <w:rsid w:val="00A15D60"/>
    <w:rsid w:val="00A15E93"/>
    <w:rsid w:val="00A16604"/>
    <w:rsid w:val="00A17117"/>
    <w:rsid w:val="00A2076B"/>
    <w:rsid w:val="00A20FE7"/>
    <w:rsid w:val="00A217DE"/>
    <w:rsid w:val="00A21905"/>
    <w:rsid w:val="00A21B9F"/>
    <w:rsid w:val="00A21F51"/>
    <w:rsid w:val="00A22C16"/>
    <w:rsid w:val="00A22E29"/>
    <w:rsid w:val="00A2305F"/>
    <w:rsid w:val="00A23E22"/>
    <w:rsid w:val="00A24620"/>
    <w:rsid w:val="00A24970"/>
    <w:rsid w:val="00A25A53"/>
    <w:rsid w:val="00A26A56"/>
    <w:rsid w:val="00A27058"/>
    <w:rsid w:val="00A27488"/>
    <w:rsid w:val="00A279D7"/>
    <w:rsid w:val="00A30765"/>
    <w:rsid w:val="00A308C1"/>
    <w:rsid w:val="00A30BB7"/>
    <w:rsid w:val="00A30FE5"/>
    <w:rsid w:val="00A31DB5"/>
    <w:rsid w:val="00A32131"/>
    <w:rsid w:val="00A32C95"/>
    <w:rsid w:val="00A33B69"/>
    <w:rsid w:val="00A33CC7"/>
    <w:rsid w:val="00A345F3"/>
    <w:rsid w:val="00A346EB"/>
    <w:rsid w:val="00A35E75"/>
    <w:rsid w:val="00A35F7A"/>
    <w:rsid w:val="00A362EC"/>
    <w:rsid w:val="00A3733A"/>
    <w:rsid w:val="00A3749B"/>
    <w:rsid w:val="00A37763"/>
    <w:rsid w:val="00A37D87"/>
    <w:rsid w:val="00A41827"/>
    <w:rsid w:val="00A41D7F"/>
    <w:rsid w:val="00A426C9"/>
    <w:rsid w:val="00A43675"/>
    <w:rsid w:val="00A446B9"/>
    <w:rsid w:val="00A44836"/>
    <w:rsid w:val="00A44A0C"/>
    <w:rsid w:val="00A44AD2"/>
    <w:rsid w:val="00A44F49"/>
    <w:rsid w:val="00A45D95"/>
    <w:rsid w:val="00A46A28"/>
    <w:rsid w:val="00A47671"/>
    <w:rsid w:val="00A5025F"/>
    <w:rsid w:val="00A503D9"/>
    <w:rsid w:val="00A505B1"/>
    <w:rsid w:val="00A506FC"/>
    <w:rsid w:val="00A50D3E"/>
    <w:rsid w:val="00A50D88"/>
    <w:rsid w:val="00A511A8"/>
    <w:rsid w:val="00A5166B"/>
    <w:rsid w:val="00A518AC"/>
    <w:rsid w:val="00A51E0F"/>
    <w:rsid w:val="00A52152"/>
    <w:rsid w:val="00A5244D"/>
    <w:rsid w:val="00A52714"/>
    <w:rsid w:val="00A52B1E"/>
    <w:rsid w:val="00A53675"/>
    <w:rsid w:val="00A539BC"/>
    <w:rsid w:val="00A53AEE"/>
    <w:rsid w:val="00A53BC4"/>
    <w:rsid w:val="00A53E24"/>
    <w:rsid w:val="00A53E80"/>
    <w:rsid w:val="00A53FFB"/>
    <w:rsid w:val="00A54654"/>
    <w:rsid w:val="00A54AF7"/>
    <w:rsid w:val="00A55294"/>
    <w:rsid w:val="00A555C8"/>
    <w:rsid w:val="00A5612C"/>
    <w:rsid w:val="00A56923"/>
    <w:rsid w:val="00A56AE2"/>
    <w:rsid w:val="00A57104"/>
    <w:rsid w:val="00A57C5A"/>
    <w:rsid w:val="00A60175"/>
    <w:rsid w:val="00A6075E"/>
    <w:rsid w:val="00A62574"/>
    <w:rsid w:val="00A62AAA"/>
    <w:rsid w:val="00A62AEE"/>
    <w:rsid w:val="00A62E42"/>
    <w:rsid w:val="00A63A1A"/>
    <w:rsid w:val="00A63B79"/>
    <w:rsid w:val="00A63D50"/>
    <w:rsid w:val="00A64025"/>
    <w:rsid w:val="00A64A71"/>
    <w:rsid w:val="00A65303"/>
    <w:rsid w:val="00A65676"/>
    <w:rsid w:val="00A658FC"/>
    <w:rsid w:val="00A65A92"/>
    <w:rsid w:val="00A65FA6"/>
    <w:rsid w:val="00A6648E"/>
    <w:rsid w:val="00A669AD"/>
    <w:rsid w:val="00A70343"/>
    <w:rsid w:val="00A70CAF"/>
    <w:rsid w:val="00A70DB3"/>
    <w:rsid w:val="00A70FF3"/>
    <w:rsid w:val="00A71643"/>
    <w:rsid w:val="00A7236C"/>
    <w:rsid w:val="00A72960"/>
    <w:rsid w:val="00A72B8D"/>
    <w:rsid w:val="00A72D8F"/>
    <w:rsid w:val="00A737C9"/>
    <w:rsid w:val="00A73EFB"/>
    <w:rsid w:val="00A74815"/>
    <w:rsid w:val="00A749C0"/>
    <w:rsid w:val="00A74B13"/>
    <w:rsid w:val="00A751DE"/>
    <w:rsid w:val="00A76EAD"/>
    <w:rsid w:val="00A77552"/>
    <w:rsid w:val="00A80D98"/>
    <w:rsid w:val="00A8274E"/>
    <w:rsid w:val="00A82D3A"/>
    <w:rsid w:val="00A82F3B"/>
    <w:rsid w:val="00A82FEC"/>
    <w:rsid w:val="00A83049"/>
    <w:rsid w:val="00A8393F"/>
    <w:rsid w:val="00A85614"/>
    <w:rsid w:val="00A85A8A"/>
    <w:rsid w:val="00A85BBF"/>
    <w:rsid w:val="00A85C0E"/>
    <w:rsid w:val="00A8651E"/>
    <w:rsid w:val="00A8656F"/>
    <w:rsid w:val="00A87A47"/>
    <w:rsid w:val="00A90C76"/>
    <w:rsid w:val="00A91D00"/>
    <w:rsid w:val="00A9239E"/>
    <w:rsid w:val="00A92C6E"/>
    <w:rsid w:val="00A93401"/>
    <w:rsid w:val="00A935B9"/>
    <w:rsid w:val="00A93D8A"/>
    <w:rsid w:val="00A940F2"/>
    <w:rsid w:val="00A9526A"/>
    <w:rsid w:val="00A952C0"/>
    <w:rsid w:val="00A95D07"/>
    <w:rsid w:val="00A95F19"/>
    <w:rsid w:val="00A96018"/>
    <w:rsid w:val="00A965A4"/>
    <w:rsid w:val="00A967D9"/>
    <w:rsid w:val="00A96899"/>
    <w:rsid w:val="00A96A54"/>
    <w:rsid w:val="00A97160"/>
    <w:rsid w:val="00A97B73"/>
    <w:rsid w:val="00AA08F6"/>
    <w:rsid w:val="00AA0E98"/>
    <w:rsid w:val="00AA1333"/>
    <w:rsid w:val="00AA1A9D"/>
    <w:rsid w:val="00AA200D"/>
    <w:rsid w:val="00AA2FFD"/>
    <w:rsid w:val="00AA3556"/>
    <w:rsid w:val="00AA3D16"/>
    <w:rsid w:val="00AA3D18"/>
    <w:rsid w:val="00AA4158"/>
    <w:rsid w:val="00AA429D"/>
    <w:rsid w:val="00AA42AF"/>
    <w:rsid w:val="00AA471B"/>
    <w:rsid w:val="00AA4B04"/>
    <w:rsid w:val="00AA721D"/>
    <w:rsid w:val="00AB07AA"/>
    <w:rsid w:val="00AB185B"/>
    <w:rsid w:val="00AB1B92"/>
    <w:rsid w:val="00AB20BF"/>
    <w:rsid w:val="00AB24E0"/>
    <w:rsid w:val="00AB289A"/>
    <w:rsid w:val="00AB2B6D"/>
    <w:rsid w:val="00AB3F35"/>
    <w:rsid w:val="00AB4696"/>
    <w:rsid w:val="00AB4D1E"/>
    <w:rsid w:val="00AB6256"/>
    <w:rsid w:val="00AB63B6"/>
    <w:rsid w:val="00AC07F4"/>
    <w:rsid w:val="00AC0A44"/>
    <w:rsid w:val="00AC1A68"/>
    <w:rsid w:val="00AC1CB6"/>
    <w:rsid w:val="00AC219F"/>
    <w:rsid w:val="00AC3196"/>
    <w:rsid w:val="00AC325C"/>
    <w:rsid w:val="00AC4065"/>
    <w:rsid w:val="00AC436D"/>
    <w:rsid w:val="00AC557D"/>
    <w:rsid w:val="00AC68FC"/>
    <w:rsid w:val="00AC7243"/>
    <w:rsid w:val="00AC75E2"/>
    <w:rsid w:val="00AC7BA5"/>
    <w:rsid w:val="00AD1233"/>
    <w:rsid w:val="00AD30A7"/>
    <w:rsid w:val="00AD320C"/>
    <w:rsid w:val="00AD382F"/>
    <w:rsid w:val="00AD43CD"/>
    <w:rsid w:val="00AD46A1"/>
    <w:rsid w:val="00AD485D"/>
    <w:rsid w:val="00AD4AE5"/>
    <w:rsid w:val="00AD5E52"/>
    <w:rsid w:val="00AD660E"/>
    <w:rsid w:val="00AD6792"/>
    <w:rsid w:val="00AE05E1"/>
    <w:rsid w:val="00AE1BC0"/>
    <w:rsid w:val="00AE2042"/>
    <w:rsid w:val="00AE2D06"/>
    <w:rsid w:val="00AE2F90"/>
    <w:rsid w:val="00AE350E"/>
    <w:rsid w:val="00AE4423"/>
    <w:rsid w:val="00AE5E32"/>
    <w:rsid w:val="00AE6135"/>
    <w:rsid w:val="00AE6266"/>
    <w:rsid w:val="00AE6DA7"/>
    <w:rsid w:val="00AF043C"/>
    <w:rsid w:val="00AF077B"/>
    <w:rsid w:val="00AF1052"/>
    <w:rsid w:val="00AF2FC3"/>
    <w:rsid w:val="00AF31A8"/>
    <w:rsid w:val="00AF34DD"/>
    <w:rsid w:val="00AF39BA"/>
    <w:rsid w:val="00AF3F04"/>
    <w:rsid w:val="00AF53D3"/>
    <w:rsid w:val="00AF545D"/>
    <w:rsid w:val="00AF5DF8"/>
    <w:rsid w:val="00AF6971"/>
    <w:rsid w:val="00AF733D"/>
    <w:rsid w:val="00AF7A0D"/>
    <w:rsid w:val="00B00D5F"/>
    <w:rsid w:val="00B01616"/>
    <w:rsid w:val="00B016A8"/>
    <w:rsid w:val="00B019C9"/>
    <w:rsid w:val="00B01A00"/>
    <w:rsid w:val="00B01F1F"/>
    <w:rsid w:val="00B0286B"/>
    <w:rsid w:val="00B028A2"/>
    <w:rsid w:val="00B0342A"/>
    <w:rsid w:val="00B035D6"/>
    <w:rsid w:val="00B03DD6"/>
    <w:rsid w:val="00B0409E"/>
    <w:rsid w:val="00B04B53"/>
    <w:rsid w:val="00B04C66"/>
    <w:rsid w:val="00B0560D"/>
    <w:rsid w:val="00B05BE0"/>
    <w:rsid w:val="00B065F0"/>
    <w:rsid w:val="00B06718"/>
    <w:rsid w:val="00B071BD"/>
    <w:rsid w:val="00B07D9B"/>
    <w:rsid w:val="00B1044F"/>
    <w:rsid w:val="00B10759"/>
    <w:rsid w:val="00B10D45"/>
    <w:rsid w:val="00B11A6D"/>
    <w:rsid w:val="00B11EAC"/>
    <w:rsid w:val="00B126C4"/>
    <w:rsid w:val="00B12BCE"/>
    <w:rsid w:val="00B12DBF"/>
    <w:rsid w:val="00B13199"/>
    <w:rsid w:val="00B167D0"/>
    <w:rsid w:val="00B16F62"/>
    <w:rsid w:val="00B17492"/>
    <w:rsid w:val="00B20017"/>
    <w:rsid w:val="00B20420"/>
    <w:rsid w:val="00B20BD9"/>
    <w:rsid w:val="00B214C6"/>
    <w:rsid w:val="00B22062"/>
    <w:rsid w:val="00B2284B"/>
    <w:rsid w:val="00B22F7D"/>
    <w:rsid w:val="00B230AC"/>
    <w:rsid w:val="00B23874"/>
    <w:rsid w:val="00B23CF8"/>
    <w:rsid w:val="00B23D9D"/>
    <w:rsid w:val="00B23FC5"/>
    <w:rsid w:val="00B248D1"/>
    <w:rsid w:val="00B252A6"/>
    <w:rsid w:val="00B269C1"/>
    <w:rsid w:val="00B272CD"/>
    <w:rsid w:val="00B27F10"/>
    <w:rsid w:val="00B27FCD"/>
    <w:rsid w:val="00B30302"/>
    <w:rsid w:val="00B30D5C"/>
    <w:rsid w:val="00B30E43"/>
    <w:rsid w:val="00B31D4B"/>
    <w:rsid w:val="00B32338"/>
    <w:rsid w:val="00B3268D"/>
    <w:rsid w:val="00B33272"/>
    <w:rsid w:val="00B3583B"/>
    <w:rsid w:val="00B35A9F"/>
    <w:rsid w:val="00B35EA6"/>
    <w:rsid w:val="00B36819"/>
    <w:rsid w:val="00B37483"/>
    <w:rsid w:val="00B37A8F"/>
    <w:rsid w:val="00B401BD"/>
    <w:rsid w:val="00B40217"/>
    <w:rsid w:val="00B40D55"/>
    <w:rsid w:val="00B41C26"/>
    <w:rsid w:val="00B42931"/>
    <w:rsid w:val="00B43045"/>
    <w:rsid w:val="00B43305"/>
    <w:rsid w:val="00B43C0D"/>
    <w:rsid w:val="00B43FF1"/>
    <w:rsid w:val="00B448C7"/>
    <w:rsid w:val="00B4528E"/>
    <w:rsid w:val="00B45548"/>
    <w:rsid w:val="00B46864"/>
    <w:rsid w:val="00B4693C"/>
    <w:rsid w:val="00B47202"/>
    <w:rsid w:val="00B476A2"/>
    <w:rsid w:val="00B5032F"/>
    <w:rsid w:val="00B50BA6"/>
    <w:rsid w:val="00B50C4F"/>
    <w:rsid w:val="00B50FEB"/>
    <w:rsid w:val="00B52427"/>
    <w:rsid w:val="00B52716"/>
    <w:rsid w:val="00B534F6"/>
    <w:rsid w:val="00B54B05"/>
    <w:rsid w:val="00B54D7E"/>
    <w:rsid w:val="00B55B04"/>
    <w:rsid w:val="00B5604D"/>
    <w:rsid w:val="00B563C0"/>
    <w:rsid w:val="00B56ECD"/>
    <w:rsid w:val="00B57046"/>
    <w:rsid w:val="00B570DD"/>
    <w:rsid w:val="00B60207"/>
    <w:rsid w:val="00B60D07"/>
    <w:rsid w:val="00B60FE4"/>
    <w:rsid w:val="00B61153"/>
    <w:rsid w:val="00B638EC"/>
    <w:rsid w:val="00B64089"/>
    <w:rsid w:val="00B64C22"/>
    <w:rsid w:val="00B650B1"/>
    <w:rsid w:val="00B65347"/>
    <w:rsid w:val="00B65DE1"/>
    <w:rsid w:val="00B65E04"/>
    <w:rsid w:val="00B66173"/>
    <w:rsid w:val="00B668CD"/>
    <w:rsid w:val="00B67A1D"/>
    <w:rsid w:val="00B67E68"/>
    <w:rsid w:val="00B70B26"/>
    <w:rsid w:val="00B70DE8"/>
    <w:rsid w:val="00B72ACC"/>
    <w:rsid w:val="00B72AF0"/>
    <w:rsid w:val="00B72DD3"/>
    <w:rsid w:val="00B73728"/>
    <w:rsid w:val="00B737EB"/>
    <w:rsid w:val="00B740D0"/>
    <w:rsid w:val="00B74800"/>
    <w:rsid w:val="00B76804"/>
    <w:rsid w:val="00B76E8C"/>
    <w:rsid w:val="00B775EE"/>
    <w:rsid w:val="00B77AA6"/>
    <w:rsid w:val="00B77FC0"/>
    <w:rsid w:val="00B80340"/>
    <w:rsid w:val="00B828D2"/>
    <w:rsid w:val="00B838E4"/>
    <w:rsid w:val="00B83B6A"/>
    <w:rsid w:val="00B83C1D"/>
    <w:rsid w:val="00B8460F"/>
    <w:rsid w:val="00B848DF"/>
    <w:rsid w:val="00B85F73"/>
    <w:rsid w:val="00B86F38"/>
    <w:rsid w:val="00B872F0"/>
    <w:rsid w:val="00B87492"/>
    <w:rsid w:val="00B87927"/>
    <w:rsid w:val="00B87B1C"/>
    <w:rsid w:val="00B907FD"/>
    <w:rsid w:val="00B928FD"/>
    <w:rsid w:val="00B92924"/>
    <w:rsid w:val="00B9423D"/>
    <w:rsid w:val="00B947B2"/>
    <w:rsid w:val="00B9505F"/>
    <w:rsid w:val="00B953D4"/>
    <w:rsid w:val="00B9598A"/>
    <w:rsid w:val="00B961C9"/>
    <w:rsid w:val="00B962F1"/>
    <w:rsid w:val="00B966EF"/>
    <w:rsid w:val="00B96854"/>
    <w:rsid w:val="00B96D11"/>
    <w:rsid w:val="00B96ED4"/>
    <w:rsid w:val="00BA097E"/>
    <w:rsid w:val="00BA0C81"/>
    <w:rsid w:val="00BA1422"/>
    <w:rsid w:val="00BA1964"/>
    <w:rsid w:val="00BA1F51"/>
    <w:rsid w:val="00BA1F7B"/>
    <w:rsid w:val="00BA2B81"/>
    <w:rsid w:val="00BA3D0D"/>
    <w:rsid w:val="00BA3D74"/>
    <w:rsid w:val="00BA4511"/>
    <w:rsid w:val="00BA4830"/>
    <w:rsid w:val="00BA4C24"/>
    <w:rsid w:val="00BA520E"/>
    <w:rsid w:val="00BA5E87"/>
    <w:rsid w:val="00BA604C"/>
    <w:rsid w:val="00BA63FA"/>
    <w:rsid w:val="00BA692E"/>
    <w:rsid w:val="00BA71FE"/>
    <w:rsid w:val="00BA7A25"/>
    <w:rsid w:val="00BB00F3"/>
    <w:rsid w:val="00BB0EBA"/>
    <w:rsid w:val="00BB121F"/>
    <w:rsid w:val="00BB157C"/>
    <w:rsid w:val="00BB17F3"/>
    <w:rsid w:val="00BB39AF"/>
    <w:rsid w:val="00BB3E92"/>
    <w:rsid w:val="00BB454E"/>
    <w:rsid w:val="00BB48C0"/>
    <w:rsid w:val="00BB5BD4"/>
    <w:rsid w:val="00BB5C57"/>
    <w:rsid w:val="00BB6A3F"/>
    <w:rsid w:val="00BB6F72"/>
    <w:rsid w:val="00BB7B48"/>
    <w:rsid w:val="00BB7C2A"/>
    <w:rsid w:val="00BC0592"/>
    <w:rsid w:val="00BC074D"/>
    <w:rsid w:val="00BC17AE"/>
    <w:rsid w:val="00BC1BF8"/>
    <w:rsid w:val="00BC33C1"/>
    <w:rsid w:val="00BC3611"/>
    <w:rsid w:val="00BC3837"/>
    <w:rsid w:val="00BC3A5F"/>
    <w:rsid w:val="00BC44FD"/>
    <w:rsid w:val="00BC470B"/>
    <w:rsid w:val="00BC52A6"/>
    <w:rsid w:val="00BC5C23"/>
    <w:rsid w:val="00BC5CAF"/>
    <w:rsid w:val="00BC6E69"/>
    <w:rsid w:val="00BC700E"/>
    <w:rsid w:val="00BC7A95"/>
    <w:rsid w:val="00BD1A4C"/>
    <w:rsid w:val="00BD1E9E"/>
    <w:rsid w:val="00BD26AA"/>
    <w:rsid w:val="00BD2B05"/>
    <w:rsid w:val="00BD2B12"/>
    <w:rsid w:val="00BD2B14"/>
    <w:rsid w:val="00BD2E02"/>
    <w:rsid w:val="00BD30CC"/>
    <w:rsid w:val="00BD419D"/>
    <w:rsid w:val="00BD454F"/>
    <w:rsid w:val="00BD4671"/>
    <w:rsid w:val="00BD7944"/>
    <w:rsid w:val="00BE008A"/>
    <w:rsid w:val="00BE0F6E"/>
    <w:rsid w:val="00BE15F4"/>
    <w:rsid w:val="00BE206D"/>
    <w:rsid w:val="00BE22CB"/>
    <w:rsid w:val="00BE2907"/>
    <w:rsid w:val="00BE29F2"/>
    <w:rsid w:val="00BE2CEA"/>
    <w:rsid w:val="00BE3026"/>
    <w:rsid w:val="00BE3085"/>
    <w:rsid w:val="00BE39FF"/>
    <w:rsid w:val="00BE3D05"/>
    <w:rsid w:val="00BE557A"/>
    <w:rsid w:val="00BE55C5"/>
    <w:rsid w:val="00BE5C77"/>
    <w:rsid w:val="00BE626F"/>
    <w:rsid w:val="00BE6431"/>
    <w:rsid w:val="00BE64FB"/>
    <w:rsid w:val="00BE680D"/>
    <w:rsid w:val="00BE7EA5"/>
    <w:rsid w:val="00BF0F41"/>
    <w:rsid w:val="00BF100D"/>
    <w:rsid w:val="00BF1A54"/>
    <w:rsid w:val="00BF219E"/>
    <w:rsid w:val="00BF2915"/>
    <w:rsid w:val="00BF2E6E"/>
    <w:rsid w:val="00BF3908"/>
    <w:rsid w:val="00BF473A"/>
    <w:rsid w:val="00BF529C"/>
    <w:rsid w:val="00BF5D4D"/>
    <w:rsid w:val="00BF63BA"/>
    <w:rsid w:val="00BF75CA"/>
    <w:rsid w:val="00C0026D"/>
    <w:rsid w:val="00C00569"/>
    <w:rsid w:val="00C01195"/>
    <w:rsid w:val="00C01DCC"/>
    <w:rsid w:val="00C02CB0"/>
    <w:rsid w:val="00C03318"/>
    <w:rsid w:val="00C045BC"/>
    <w:rsid w:val="00C04C12"/>
    <w:rsid w:val="00C04EB3"/>
    <w:rsid w:val="00C061C6"/>
    <w:rsid w:val="00C06AF1"/>
    <w:rsid w:val="00C07917"/>
    <w:rsid w:val="00C07D74"/>
    <w:rsid w:val="00C10F5C"/>
    <w:rsid w:val="00C11F97"/>
    <w:rsid w:val="00C12840"/>
    <w:rsid w:val="00C128AC"/>
    <w:rsid w:val="00C15510"/>
    <w:rsid w:val="00C15D82"/>
    <w:rsid w:val="00C169DF"/>
    <w:rsid w:val="00C202B3"/>
    <w:rsid w:val="00C206BE"/>
    <w:rsid w:val="00C20DA7"/>
    <w:rsid w:val="00C21AAD"/>
    <w:rsid w:val="00C21EE0"/>
    <w:rsid w:val="00C22A20"/>
    <w:rsid w:val="00C230CC"/>
    <w:rsid w:val="00C24273"/>
    <w:rsid w:val="00C24FEE"/>
    <w:rsid w:val="00C255A3"/>
    <w:rsid w:val="00C26789"/>
    <w:rsid w:val="00C268E1"/>
    <w:rsid w:val="00C274D8"/>
    <w:rsid w:val="00C27FEF"/>
    <w:rsid w:val="00C30297"/>
    <w:rsid w:val="00C312CE"/>
    <w:rsid w:val="00C31AB9"/>
    <w:rsid w:val="00C3275B"/>
    <w:rsid w:val="00C33A2C"/>
    <w:rsid w:val="00C33EE6"/>
    <w:rsid w:val="00C33F58"/>
    <w:rsid w:val="00C34B0C"/>
    <w:rsid w:val="00C34BF5"/>
    <w:rsid w:val="00C3596A"/>
    <w:rsid w:val="00C37178"/>
    <w:rsid w:val="00C4067B"/>
    <w:rsid w:val="00C40898"/>
    <w:rsid w:val="00C421E0"/>
    <w:rsid w:val="00C42416"/>
    <w:rsid w:val="00C43BBD"/>
    <w:rsid w:val="00C43FD8"/>
    <w:rsid w:val="00C44089"/>
    <w:rsid w:val="00C44331"/>
    <w:rsid w:val="00C4545C"/>
    <w:rsid w:val="00C45E8A"/>
    <w:rsid w:val="00C46329"/>
    <w:rsid w:val="00C463BC"/>
    <w:rsid w:val="00C46752"/>
    <w:rsid w:val="00C472DD"/>
    <w:rsid w:val="00C47AAA"/>
    <w:rsid w:val="00C47CF2"/>
    <w:rsid w:val="00C50421"/>
    <w:rsid w:val="00C504EF"/>
    <w:rsid w:val="00C50727"/>
    <w:rsid w:val="00C5076B"/>
    <w:rsid w:val="00C50B48"/>
    <w:rsid w:val="00C50FDB"/>
    <w:rsid w:val="00C517D8"/>
    <w:rsid w:val="00C51A1A"/>
    <w:rsid w:val="00C52677"/>
    <w:rsid w:val="00C52A21"/>
    <w:rsid w:val="00C5425E"/>
    <w:rsid w:val="00C54748"/>
    <w:rsid w:val="00C54990"/>
    <w:rsid w:val="00C555AC"/>
    <w:rsid w:val="00C5594D"/>
    <w:rsid w:val="00C55969"/>
    <w:rsid w:val="00C55C1A"/>
    <w:rsid w:val="00C55CD2"/>
    <w:rsid w:val="00C56935"/>
    <w:rsid w:val="00C600D9"/>
    <w:rsid w:val="00C600FA"/>
    <w:rsid w:val="00C60999"/>
    <w:rsid w:val="00C61B0B"/>
    <w:rsid w:val="00C61C05"/>
    <w:rsid w:val="00C62884"/>
    <w:rsid w:val="00C6350C"/>
    <w:rsid w:val="00C63F93"/>
    <w:rsid w:val="00C64917"/>
    <w:rsid w:val="00C65215"/>
    <w:rsid w:val="00C65A42"/>
    <w:rsid w:val="00C65B5C"/>
    <w:rsid w:val="00C7097B"/>
    <w:rsid w:val="00C713ED"/>
    <w:rsid w:val="00C71910"/>
    <w:rsid w:val="00C72318"/>
    <w:rsid w:val="00C724E6"/>
    <w:rsid w:val="00C72AB8"/>
    <w:rsid w:val="00C730D9"/>
    <w:rsid w:val="00C7354B"/>
    <w:rsid w:val="00C7402D"/>
    <w:rsid w:val="00C74326"/>
    <w:rsid w:val="00C745DA"/>
    <w:rsid w:val="00C747A5"/>
    <w:rsid w:val="00C7526A"/>
    <w:rsid w:val="00C752DF"/>
    <w:rsid w:val="00C76077"/>
    <w:rsid w:val="00C766B2"/>
    <w:rsid w:val="00C77F75"/>
    <w:rsid w:val="00C813DB"/>
    <w:rsid w:val="00C8172C"/>
    <w:rsid w:val="00C82032"/>
    <w:rsid w:val="00C8250E"/>
    <w:rsid w:val="00C82758"/>
    <w:rsid w:val="00C85314"/>
    <w:rsid w:val="00C85717"/>
    <w:rsid w:val="00C85CA7"/>
    <w:rsid w:val="00C86966"/>
    <w:rsid w:val="00C87578"/>
    <w:rsid w:val="00C916A3"/>
    <w:rsid w:val="00C92577"/>
    <w:rsid w:val="00C9294D"/>
    <w:rsid w:val="00C93478"/>
    <w:rsid w:val="00C93BF9"/>
    <w:rsid w:val="00C95B9C"/>
    <w:rsid w:val="00C964E0"/>
    <w:rsid w:val="00C96621"/>
    <w:rsid w:val="00C970EB"/>
    <w:rsid w:val="00CA0116"/>
    <w:rsid w:val="00CA157E"/>
    <w:rsid w:val="00CA1E83"/>
    <w:rsid w:val="00CA202F"/>
    <w:rsid w:val="00CA236A"/>
    <w:rsid w:val="00CA3FE9"/>
    <w:rsid w:val="00CA44AD"/>
    <w:rsid w:val="00CA4BC0"/>
    <w:rsid w:val="00CA5117"/>
    <w:rsid w:val="00CA5CA8"/>
    <w:rsid w:val="00CA5CEA"/>
    <w:rsid w:val="00CA6339"/>
    <w:rsid w:val="00CA6691"/>
    <w:rsid w:val="00CA67D8"/>
    <w:rsid w:val="00CA6A93"/>
    <w:rsid w:val="00CA7697"/>
    <w:rsid w:val="00CB008C"/>
    <w:rsid w:val="00CB0157"/>
    <w:rsid w:val="00CB1185"/>
    <w:rsid w:val="00CB28E9"/>
    <w:rsid w:val="00CB3095"/>
    <w:rsid w:val="00CB347B"/>
    <w:rsid w:val="00CB3BBF"/>
    <w:rsid w:val="00CB4C3B"/>
    <w:rsid w:val="00CB4F90"/>
    <w:rsid w:val="00CB5205"/>
    <w:rsid w:val="00CB5213"/>
    <w:rsid w:val="00CB5BE6"/>
    <w:rsid w:val="00CB5DB5"/>
    <w:rsid w:val="00CB5ECF"/>
    <w:rsid w:val="00CB6E74"/>
    <w:rsid w:val="00CB73DF"/>
    <w:rsid w:val="00CC0F7F"/>
    <w:rsid w:val="00CC10D4"/>
    <w:rsid w:val="00CC1C24"/>
    <w:rsid w:val="00CC2367"/>
    <w:rsid w:val="00CC343C"/>
    <w:rsid w:val="00CC3454"/>
    <w:rsid w:val="00CC38AC"/>
    <w:rsid w:val="00CC3A4A"/>
    <w:rsid w:val="00CC3BE7"/>
    <w:rsid w:val="00CC3F6B"/>
    <w:rsid w:val="00CC4023"/>
    <w:rsid w:val="00CC54C3"/>
    <w:rsid w:val="00CC559D"/>
    <w:rsid w:val="00CC75D1"/>
    <w:rsid w:val="00CD0C13"/>
    <w:rsid w:val="00CD0F22"/>
    <w:rsid w:val="00CD1AEB"/>
    <w:rsid w:val="00CD2932"/>
    <w:rsid w:val="00CD2E61"/>
    <w:rsid w:val="00CD30AD"/>
    <w:rsid w:val="00CD33C6"/>
    <w:rsid w:val="00CD3684"/>
    <w:rsid w:val="00CD38C3"/>
    <w:rsid w:val="00CD4527"/>
    <w:rsid w:val="00CD4AC5"/>
    <w:rsid w:val="00CD51F5"/>
    <w:rsid w:val="00CD5F0C"/>
    <w:rsid w:val="00CD6521"/>
    <w:rsid w:val="00CD654B"/>
    <w:rsid w:val="00CD7E65"/>
    <w:rsid w:val="00CE0D48"/>
    <w:rsid w:val="00CE11E4"/>
    <w:rsid w:val="00CE151C"/>
    <w:rsid w:val="00CE223E"/>
    <w:rsid w:val="00CE2696"/>
    <w:rsid w:val="00CE2AAC"/>
    <w:rsid w:val="00CE363E"/>
    <w:rsid w:val="00CE384A"/>
    <w:rsid w:val="00CE3867"/>
    <w:rsid w:val="00CE3C9C"/>
    <w:rsid w:val="00CE3CC9"/>
    <w:rsid w:val="00CE3EF6"/>
    <w:rsid w:val="00CE4172"/>
    <w:rsid w:val="00CE53A2"/>
    <w:rsid w:val="00CE5630"/>
    <w:rsid w:val="00CE6550"/>
    <w:rsid w:val="00CE77E7"/>
    <w:rsid w:val="00CF05DC"/>
    <w:rsid w:val="00CF074D"/>
    <w:rsid w:val="00CF1532"/>
    <w:rsid w:val="00CF17F9"/>
    <w:rsid w:val="00CF19C6"/>
    <w:rsid w:val="00CF2408"/>
    <w:rsid w:val="00CF292D"/>
    <w:rsid w:val="00CF2ACF"/>
    <w:rsid w:val="00CF2DA5"/>
    <w:rsid w:val="00CF33CF"/>
    <w:rsid w:val="00CF3F0D"/>
    <w:rsid w:val="00CF485D"/>
    <w:rsid w:val="00CF5D03"/>
    <w:rsid w:val="00CF6B28"/>
    <w:rsid w:val="00CF6E53"/>
    <w:rsid w:val="00CF712F"/>
    <w:rsid w:val="00CF742A"/>
    <w:rsid w:val="00D002A2"/>
    <w:rsid w:val="00D019C3"/>
    <w:rsid w:val="00D02BDF"/>
    <w:rsid w:val="00D02D6A"/>
    <w:rsid w:val="00D032D8"/>
    <w:rsid w:val="00D03F80"/>
    <w:rsid w:val="00D0400A"/>
    <w:rsid w:val="00D04266"/>
    <w:rsid w:val="00D04760"/>
    <w:rsid w:val="00D05203"/>
    <w:rsid w:val="00D05E28"/>
    <w:rsid w:val="00D06513"/>
    <w:rsid w:val="00D06522"/>
    <w:rsid w:val="00D06F7C"/>
    <w:rsid w:val="00D0781A"/>
    <w:rsid w:val="00D078FC"/>
    <w:rsid w:val="00D101F7"/>
    <w:rsid w:val="00D10453"/>
    <w:rsid w:val="00D111E5"/>
    <w:rsid w:val="00D115B4"/>
    <w:rsid w:val="00D118DD"/>
    <w:rsid w:val="00D12B17"/>
    <w:rsid w:val="00D132F8"/>
    <w:rsid w:val="00D13DAF"/>
    <w:rsid w:val="00D14226"/>
    <w:rsid w:val="00D145F5"/>
    <w:rsid w:val="00D14717"/>
    <w:rsid w:val="00D14A15"/>
    <w:rsid w:val="00D20055"/>
    <w:rsid w:val="00D202B5"/>
    <w:rsid w:val="00D216A5"/>
    <w:rsid w:val="00D23DC2"/>
    <w:rsid w:val="00D24084"/>
    <w:rsid w:val="00D25D08"/>
    <w:rsid w:val="00D27652"/>
    <w:rsid w:val="00D27943"/>
    <w:rsid w:val="00D303E9"/>
    <w:rsid w:val="00D303FC"/>
    <w:rsid w:val="00D309DB"/>
    <w:rsid w:val="00D316A1"/>
    <w:rsid w:val="00D31AFA"/>
    <w:rsid w:val="00D31E6A"/>
    <w:rsid w:val="00D329F1"/>
    <w:rsid w:val="00D3302C"/>
    <w:rsid w:val="00D331FC"/>
    <w:rsid w:val="00D33288"/>
    <w:rsid w:val="00D332C6"/>
    <w:rsid w:val="00D3401A"/>
    <w:rsid w:val="00D34DD2"/>
    <w:rsid w:val="00D34E1D"/>
    <w:rsid w:val="00D355F0"/>
    <w:rsid w:val="00D36B9B"/>
    <w:rsid w:val="00D379E0"/>
    <w:rsid w:val="00D414B0"/>
    <w:rsid w:val="00D41916"/>
    <w:rsid w:val="00D41B03"/>
    <w:rsid w:val="00D41C19"/>
    <w:rsid w:val="00D4208E"/>
    <w:rsid w:val="00D421CA"/>
    <w:rsid w:val="00D42912"/>
    <w:rsid w:val="00D42ADB"/>
    <w:rsid w:val="00D42D9C"/>
    <w:rsid w:val="00D43AC8"/>
    <w:rsid w:val="00D4418E"/>
    <w:rsid w:val="00D44338"/>
    <w:rsid w:val="00D44A0E"/>
    <w:rsid w:val="00D45561"/>
    <w:rsid w:val="00D45DB7"/>
    <w:rsid w:val="00D46454"/>
    <w:rsid w:val="00D46833"/>
    <w:rsid w:val="00D46C0E"/>
    <w:rsid w:val="00D5052F"/>
    <w:rsid w:val="00D50879"/>
    <w:rsid w:val="00D51230"/>
    <w:rsid w:val="00D51610"/>
    <w:rsid w:val="00D518B0"/>
    <w:rsid w:val="00D521CD"/>
    <w:rsid w:val="00D52D96"/>
    <w:rsid w:val="00D53EAF"/>
    <w:rsid w:val="00D54AF6"/>
    <w:rsid w:val="00D56113"/>
    <w:rsid w:val="00D56352"/>
    <w:rsid w:val="00D566EC"/>
    <w:rsid w:val="00D57808"/>
    <w:rsid w:val="00D57C16"/>
    <w:rsid w:val="00D6016C"/>
    <w:rsid w:val="00D60983"/>
    <w:rsid w:val="00D61038"/>
    <w:rsid w:val="00D619E2"/>
    <w:rsid w:val="00D62EE1"/>
    <w:rsid w:val="00D63283"/>
    <w:rsid w:val="00D643F4"/>
    <w:rsid w:val="00D64CEC"/>
    <w:rsid w:val="00D64E1C"/>
    <w:rsid w:val="00D708F1"/>
    <w:rsid w:val="00D717E7"/>
    <w:rsid w:val="00D73E3E"/>
    <w:rsid w:val="00D74826"/>
    <w:rsid w:val="00D750C5"/>
    <w:rsid w:val="00D75647"/>
    <w:rsid w:val="00D75A7E"/>
    <w:rsid w:val="00D7736E"/>
    <w:rsid w:val="00D7754D"/>
    <w:rsid w:val="00D77E07"/>
    <w:rsid w:val="00D80434"/>
    <w:rsid w:val="00D80F5B"/>
    <w:rsid w:val="00D80FAA"/>
    <w:rsid w:val="00D81F27"/>
    <w:rsid w:val="00D82372"/>
    <w:rsid w:val="00D833D9"/>
    <w:rsid w:val="00D83675"/>
    <w:rsid w:val="00D83BD9"/>
    <w:rsid w:val="00D84769"/>
    <w:rsid w:val="00D84E9B"/>
    <w:rsid w:val="00D84ECE"/>
    <w:rsid w:val="00D8614A"/>
    <w:rsid w:val="00D86BA0"/>
    <w:rsid w:val="00D87EFF"/>
    <w:rsid w:val="00D903D5"/>
    <w:rsid w:val="00D91F76"/>
    <w:rsid w:val="00D9233A"/>
    <w:rsid w:val="00D92563"/>
    <w:rsid w:val="00D92BEF"/>
    <w:rsid w:val="00D93540"/>
    <w:rsid w:val="00D93D82"/>
    <w:rsid w:val="00D94178"/>
    <w:rsid w:val="00D94317"/>
    <w:rsid w:val="00D946A1"/>
    <w:rsid w:val="00D94C88"/>
    <w:rsid w:val="00D94DCF"/>
    <w:rsid w:val="00D94EAE"/>
    <w:rsid w:val="00D95478"/>
    <w:rsid w:val="00D956B9"/>
    <w:rsid w:val="00D960F6"/>
    <w:rsid w:val="00D96B75"/>
    <w:rsid w:val="00D96F6F"/>
    <w:rsid w:val="00D96FEC"/>
    <w:rsid w:val="00D973D6"/>
    <w:rsid w:val="00DA063F"/>
    <w:rsid w:val="00DA0C73"/>
    <w:rsid w:val="00DA1B05"/>
    <w:rsid w:val="00DA1EC3"/>
    <w:rsid w:val="00DA2B6E"/>
    <w:rsid w:val="00DA3574"/>
    <w:rsid w:val="00DA3A61"/>
    <w:rsid w:val="00DA580E"/>
    <w:rsid w:val="00DA586F"/>
    <w:rsid w:val="00DA5D91"/>
    <w:rsid w:val="00DA6478"/>
    <w:rsid w:val="00DA6780"/>
    <w:rsid w:val="00DA7162"/>
    <w:rsid w:val="00DA76D9"/>
    <w:rsid w:val="00DB08DA"/>
    <w:rsid w:val="00DB0C61"/>
    <w:rsid w:val="00DB1794"/>
    <w:rsid w:val="00DB26F9"/>
    <w:rsid w:val="00DB315D"/>
    <w:rsid w:val="00DB3160"/>
    <w:rsid w:val="00DB3A34"/>
    <w:rsid w:val="00DB4BF4"/>
    <w:rsid w:val="00DB4CDF"/>
    <w:rsid w:val="00DB5747"/>
    <w:rsid w:val="00DB57DF"/>
    <w:rsid w:val="00DB6121"/>
    <w:rsid w:val="00DB6137"/>
    <w:rsid w:val="00DB61EB"/>
    <w:rsid w:val="00DB68F4"/>
    <w:rsid w:val="00DB7394"/>
    <w:rsid w:val="00DB7839"/>
    <w:rsid w:val="00DB79A9"/>
    <w:rsid w:val="00DB7BE9"/>
    <w:rsid w:val="00DB7F09"/>
    <w:rsid w:val="00DB7F63"/>
    <w:rsid w:val="00DC00E8"/>
    <w:rsid w:val="00DC0863"/>
    <w:rsid w:val="00DC0BCD"/>
    <w:rsid w:val="00DC1C01"/>
    <w:rsid w:val="00DC1C56"/>
    <w:rsid w:val="00DC227C"/>
    <w:rsid w:val="00DC2393"/>
    <w:rsid w:val="00DC2601"/>
    <w:rsid w:val="00DC288A"/>
    <w:rsid w:val="00DC3346"/>
    <w:rsid w:val="00DC3F38"/>
    <w:rsid w:val="00DC4262"/>
    <w:rsid w:val="00DC4756"/>
    <w:rsid w:val="00DC5C05"/>
    <w:rsid w:val="00DC5E33"/>
    <w:rsid w:val="00DC6379"/>
    <w:rsid w:val="00DC6674"/>
    <w:rsid w:val="00DC6AAD"/>
    <w:rsid w:val="00DC6B0B"/>
    <w:rsid w:val="00DC7E6D"/>
    <w:rsid w:val="00DD037B"/>
    <w:rsid w:val="00DD11E0"/>
    <w:rsid w:val="00DD281B"/>
    <w:rsid w:val="00DD5BB7"/>
    <w:rsid w:val="00DD5F9B"/>
    <w:rsid w:val="00DD6165"/>
    <w:rsid w:val="00DD6591"/>
    <w:rsid w:val="00DD68EE"/>
    <w:rsid w:val="00DD6CE2"/>
    <w:rsid w:val="00DD6F76"/>
    <w:rsid w:val="00DE0148"/>
    <w:rsid w:val="00DE15EF"/>
    <w:rsid w:val="00DE1F12"/>
    <w:rsid w:val="00DE2763"/>
    <w:rsid w:val="00DE3A53"/>
    <w:rsid w:val="00DE3AAC"/>
    <w:rsid w:val="00DE3C47"/>
    <w:rsid w:val="00DE3C77"/>
    <w:rsid w:val="00DE3FD2"/>
    <w:rsid w:val="00DE43D6"/>
    <w:rsid w:val="00DE4A02"/>
    <w:rsid w:val="00DE4AF8"/>
    <w:rsid w:val="00DE6142"/>
    <w:rsid w:val="00DE6B7F"/>
    <w:rsid w:val="00DE700D"/>
    <w:rsid w:val="00DE70F1"/>
    <w:rsid w:val="00DE71DD"/>
    <w:rsid w:val="00DE75BD"/>
    <w:rsid w:val="00DF2E52"/>
    <w:rsid w:val="00DF33AC"/>
    <w:rsid w:val="00DF4921"/>
    <w:rsid w:val="00DF5547"/>
    <w:rsid w:val="00DF5685"/>
    <w:rsid w:val="00DF5C89"/>
    <w:rsid w:val="00DF6F61"/>
    <w:rsid w:val="00DF7554"/>
    <w:rsid w:val="00E028B4"/>
    <w:rsid w:val="00E03535"/>
    <w:rsid w:val="00E03676"/>
    <w:rsid w:val="00E0459C"/>
    <w:rsid w:val="00E05BE8"/>
    <w:rsid w:val="00E05DFB"/>
    <w:rsid w:val="00E06446"/>
    <w:rsid w:val="00E101C6"/>
    <w:rsid w:val="00E1020D"/>
    <w:rsid w:val="00E10669"/>
    <w:rsid w:val="00E10AB6"/>
    <w:rsid w:val="00E11BE1"/>
    <w:rsid w:val="00E11F0E"/>
    <w:rsid w:val="00E122C0"/>
    <w:rsid w:val="00E1394F"/>
    <w:rsid w:val="00E14EBA"/>
    <w:rsid w:val="00E174A2"/>
    <w:rsid w:val="00E179A9"/>
    <w:rsid w:val="00E200AD"/>
    <w:rsid w:val="00E20A86"/>
    <w:rsid w:val="00E213C2"/>
    <w:rsid w:val="00E227A5"/>
    <w:rsid w:val="00E22D51"/>
    <w:rsid w:val="00E23896"/>
    <w:rsid w:val="00E239FC"/>
    <w:rsid w:val="00E23E1C"/>
    <w:rsid w:val="00E242C6"/>
    <w:rsid w:val="00E243DB"/>
    <w:rsid w:val="00E24AEA"/>
    <w:rsid w:val="00E255CD"/>
    <w:rsid w:val="00E26164"/>
    <w:rsid w:val="00E2628C"/>
    <w:rsid w:val="00E263B2"/>
    <w:rsid w:val="00E26B86"/>
    <w:rsid w:val="00E271E3"/>
    <w:rsid w:val="00E2761F"/>
    <w:rsid w:val="00E3026C"/>
    <w:rsid w:val="00E30390"/>
    <w:rsid w:val="00E30563"/>
    <w:rsid w:val="00E305CE"/>
    <w:rsid w:val="00E310FB"/>
    <w:rsid w:val="00E3152E"/>
    <w:rsid w:val="00E318EF"/>
    <w:rsid w:val="00E32643"/>
    <w:rsid w:val="00E32963"/>
    <w:rsid w:val="00E33162"/>
    <w:rsid w:val="00E349A7"/>
    <w:rsid w:val="00E34E7B"/>
    <w:rsid w:val="00E3582E"/>
    <w:rsid w:val="00E3609F"/>
    <w:rsid w:val="00E37300"/>
    <w:rsid w:val="00E37AA4"/>
    <w:rsid w:val="00E405D9"/>
    <w:rsid w:val="00E40A80"/>
    <w:rsid w:val="00E40F2B"/>
    <w:rsid w:val="00E413AF"/>
    <w:rsid w:val="00E417E6"/>
    <w:rsid w:val="00E42007"/>
    <w:rsid w:val="00E4204C"/>
    <w:rsid w:val="00E42A14"/>
    <w:rsid w:val="00E431C4"/>
    <w:rsid w:val="00E43526"/>
    <w:rsid w:val="00E438D1"/>
    <w:rsid w:val="00E44B66"/>
    <w:rsid w:val="00E45333"/>
    <w:rsid w:val="00E45EDC"/>
    <w:rsid w:val="00E46019"/>
    <w:rsid w:val="00E47211"/>
    <w:rsid w:val="00E4744D"/>
    <w:rsid w:val="00E503F0"/>
    <w:rsid w:val="00E50E7C"/>
    <w:rsid w:val="00E51075"/>
    <w:rsid w:val="00E51383"/>
    <w:rsid w:val="00E51545"/>
    <w:rsid w:val="00E51B0C"/>
    <w:rsid w:val="00E51D9E"/>
    <w:rsid w:val="00E52504"/>
    <w:rsid w:val="00E52DC3"/>
    <w:rsid w:val="00E52ED0"/>
    <w:rsid w:val="00E53602"/>
    <w:rsid w:val="00E537D1"/>
    <w:rsid w:val="00E53DF4"/>
    <w:rsid w:val="00E54040"/>
    <w:rsid w:val="00E54BB5"/>
    <w:rsid w:val="00E5537B"/>
    <w:rsid w:val="00E56663"/>
    <w:rsid w:val="00E567E6"/>
    <w:rsid w:val="00E568CF"/>
    <w:rsid w:val="00E56971"/>
    <w:rsid w:val="00E574B4"/>
    <w:rsid w:val="00E57CD6"/>
    <w:rsid w:val="00E613D5"/>
    <w:rsid w:val="00E61484"/>
    <w:rsid w:val="00E61860"/>
    <w:rsid w:val="00E623F3"/>
    <w:rsid w:val="00E62A95"/>
    <w:rsid w:val="00E62B6B"/>
    <w:rsid w:val="00E62BAD"/>
    <w:rsid w:val="00E63613"/>
    <w:rsid w:val="00E6375A"/>
    <w:rsid w:val="00E64B9D"/>
    <w:rsid w:val="00E6502E"/>
    <w:rsid w:val="00E654E6"/>
    <w:rsid w:val="00E660D0"/>
    <w:rsid w:val="00E66840"/>
    <w:rsid w:val="00E66843"/>
    <w:rsid w:val="00E7017C"/>
    <w:rsid w:val="00E70912"/>
    <w:rsid w:val="00E70C2A"/>
    <w:rsid w:val="00E70E9D"/>
    <w:rsid w:val="00E711D7"/>
    <w:rsid w:val="00E72058"/>
    <w:rsid w:val="00E729D8"/>
    <w:rsid w:val="00E72D99"/>
    <w:rsid w:val="00E72F51"/>
    <w:rsid w:val="00E73512"/>
    <w:rsid w:val="00E73573"/>
    <w:rsid w:val="00E735F4"/>
    <w:rsid w:val="00E73814"/>
    <w:rsid w:val="00E74991"/>
    <w:rsid w:val="00E74B10"/>
    <w:rsid w:val="00E75023"/>
    <w:rsid w:val="00E75745"/>
    <w:rsid w:val="00E75F1F"/>
    <w:rsid w:val="00E763AD"/>
    <w:rsid w:val="00E769E9"/>
    <w:rsid w:val="00E76C5E"/>
    <w:rsid w:val="00E76CFA"/>
    <w:rsid w:val="00E77E87"/>
    <w:rsid w:val="00E8064A"/>
    <w:rsid w:val="00E810D0"/>
    <w:rsid w:val="00E815E1"/>
    <w:rsid w:val="00E81878"/>
    <w:rsid w:val="00E81890"/>
    <w:rsid w:val="00E81F33"/>
    <w:rsid w:val="00E821D0"/>
    <w:rsid w:val="00E82848"/>
    <w:rsid w:val="00E82AF4"/>
    <w:rsid w:val="00E847D9"/>
    <w:rsid w:val="00E84A64"/>
    <w:rsid w:val="00E85641"/>
    <w:rsid w:val="00E85AEA"/>
    <w:rsid w:val="00E85EEB"/>
    <w:rsid w:val="00E872A7"/>
    <w:rsid w:val="00E901E6"/>
    <w:rsid w:val="00E902B0"/>
    <w:rsid w:val="00E902E8"/>
    <w:rsid w:val="00E917FF"/>
    <w:rsid w:val="00E91EEA"/>
    <w:rsid w:val="00E9296B"/>
    <w:rsid w:val="00E92C63"/>
    <w:rsid w:val="00E92E15"/>
    <w:rsid w:val="00E9357C"/>
    <w:rsid w:val="00E94D46"/>
    <w:rsid w:val="00E953BF"/>
    <w:rsid w:val="00E95DCF"/>
    <w:rsid w:val="00E9691C"/>
    <w:rsid w:val="00E96E0E"/>
    <w:rsid w:val="00E96FEB"/>
    <w:rsid w:val="00E97C19"/>
    <w:rsid w:val="00E97C5B"/>
    <w:rsid w:val="00E97D9D"/>
    <w:rsid w:val="00EA23AC"/>
    <w:rsid w:val="00EA2AA6"/>
    <w:rsid w:val="00EA3039"/>
    <w:rsid w:val="00EA34EE"/>
    <w:rsid w:val="00EA398F"/>
    <w:rsid w:val="00EA4604"/>
    <w:rsid w:val="00EA4B1D"/>
    <w:rsid w:val="00EA5298"/>
    <w:rsid w:val="00EA52D4"/>
    <w:rsid w:val="00EA533C"/>
    <w:rsid w:val="00EA638D"/>
    <w:rsid w:val="00EA7C3D"/>
    <w:rsid w:val="00EB10DA"/>
    <w:rsid w:val="00EB1BF6"/>
    <w:rsid w:val="00EB2025"/>
    <w:rsid w:val="00EB35B6"/>
    <w:rsid w:val="00EB4B0B"/>
    <w:rsid w:val="00EB543A"/>
    <w:rsid w:val="00EB5E7E"/>
    <w:rsid w:val="00EB62F1"/>
    <w:rsid w:val="00EB631D"/>
    <w:rsid w:val="00EB685C"/>
    <w:rsid w:val="00EB6878"/>
    <w:rsid w:val="00EB6999"/>
    <w:rsid w:val="00EB7257"/>
    <w:rsid w:val="00EB754F"/>
    <w:rsid w:val="00EC033D"/>
    <w:rsid w:val="00EC04BC"/>
    <w:rsid w:val="00EC0E96"/>
    <w:rsid w:val="00EC1364"/>
    <w:rsid w:val="00EC17AF"/>
    <w:rsid w:val="00EC1E01"/>
    <w:rsid w:val="00EC1E0E"/>
    <w:rsid w:val="00EC1E7E"/>
    <w:rsid w:val="00EC236D"/>
    <w:rsid w:val="00EC2981"/>
    <w:rsid w:val="00EC39EA"/>
    <w:rsid w:val="00EC4863"/>
    <w:rsid w:val="00EC4AC0"/>
    <w:rsid w:val="00EC4AF5"/>
    <w:rsid w:val="00EC53A4"/>
    <w:rsid w:val="00EC6197"/>
    <w:rsid w:val="00EC66BC"/>
    <w:rsid w:val="00EC6B16"/>
    <w:rsid w:val="00EC704B"/>
    <w:rsid w:val="00EC7069"/>
    <w:rsid w:val="00EC72D8"/>
    <w:rsid w:val="00EC74CB"/>
    <w:rsid w:val="00ED0951"/>
    <w:rsid w:val="00ED0F7E"/>
    <w:rsid w:val="00ED144B"/>
    <w:rsid w:val="00ED2066"/>
    <w:rsid w:val="00ED2090"/>
    <w:rsid w:val="00ED34E9"/>
    <w:rsid w:val="00ED3A16"/>
    <w:rsid w:val="00ED4691"/>
    <w:rsid w:val="00ED5A20"/>
    <w:rsid w:val="00ED6891"/>
    <w:rsid w:val="00ED69F0"/>
    <w:rsid w:val="00ED6C6F"/>
    <w:rsid w:val="00ED7A45"/>
    <w:rsid w:val="00ED7C87"/>
    <w:rsid w:val="00ED7F47"/>
    <w:rsid w:val="00EE135D"/>
    <w:rsid w:val="00EE1447"/>
    <w:rsid w:val="00EE1772"/>
    <w:rsid w:val="00EE1BF1"/>
    <w:rsid w:val="00EE1D4A"/>
    <w:rsid w:val="00EE3044"/>
    <w:rsid w:val="00EE3358"/>
    <w:rsid w:val="00EE3451"/>
    <w:rsid w:val="00EE34BB"/>
    <w:rsid w:val="00EE378E"/>
    <w:rsid w:val="00EE3C56"/>
    <w:rsid w:val="00EE4864"/>
    <w:rsid w:val="00EE6B18"/>
    <w:rsid w:val="00EE6DB1"/>
    <w:rsid w:val="00EE7744"/>
    <w:rsid w:val="00EE790F"/>
    <w:rsid w:val="00EE7FA1"/>
    <w:rsid w:val="00EF03E1"/>
    <w:rsid w:val="00EF07DD"/>
    <w:rsid w:val="00EF0C9A"/>
    <w:rsid w:val="00EF145E"/>
    <w:rsid w:val="00EF16F3"/>
    <w:rsid w:val="00EF2BBB"/>
    <w:rsid w:val="00EF3D80"/>
    <w:rsid w:val="00EF40D2"/>
    <w:rsid w:val="00EF4960"/>
    <w:rsid w:val="00EF5D1A"/>
    <w:rsid w:val="00EF60B4"/>
    <w:rsid w:val="00EF619F"/>
    <w:rsid w:val="00EF6344"/>
    <w:rsid w:val="00EF6580"/>
    <w:rsid w:val="00EF6AB0"/>
    <w:rsid w:val="00F0039E"/>
    <w:rsid w:val="00F00542"/>
    <w:rsid w:val="00F0082D"/>
    <w:rsid w:val="00F00931"/>
    <w:rsid w:val="00F00951"/>
    <w:rsid w:val="00F00DC2"/>
    <w:rsid w:val="00F01356"/>
    <w:rsid w:val="00F015AB"/>
    <w:rsid w:val="00F01992"/>
    <w:rsid w:val="00F01DE8"/>
    <w:rsid w:val="00F0203D"/>
    <w:rsid w:val="00F02620"/>
    <w:rsid w:val="00F02D40"/>
    <w:rsid w:val="00F03B4F"/>
    <w:rsid w:val="00F045E0"/>
    <w:rsid w:val="00F049EA"/>
    <w:rsid w:val="00F06235"/>
    <w:rsid w:val="00F0784B"/>
    <w:rsid w:val="00F07C90"/>
    <w:rsid w:val="00F10598"/>
    <w:rsid w:val="00F1099B"/>
    <w:rsid w:val="00F112B7"/>
    <w:rsid w:val="00F11F4D"/>
    <w:rsid w:val="00F1233B"/>
    <w:rsid w:val="00F1372D"/>
    <w:rsid w:val="00F139E1"/>
    <w:rsid w:val="00F140DC"/>
    <w:rsid w:val="00F14140"/>
    <w:rsid w:val="00F14B83"/>
    <w:rsid w:val="00F15FB0"/>
    <w:rsid w:val="00F16216"/>
    <w:rsid w:val="00F17B6D"/>
    <w:rsid w:val="00F2091D"/>
    <w:rsid w:val="00F20F8A"/>
    <w:rsid w:val="00F2355D"/>
    <w:rsid w:val="00F25530"/>
    <w:rsid w:val="00F25BAE"/>
    <w:rsid w:val="00F266E8"/>
    <w:rsid w:val="00F26B21"/>
    <w:rsid w:val="00F26B51"/>
    <w:rsid w:val="00F26E37"/>
    <w:rsid w:val="00F2722B"/>
    <w:rsid w:val="00F27E24"/>
    <w:rsid w:val="00F304A4"/>
    <w:rsid w:val="00F305BA"/>
    <w:rsid w:val="00F30697"/>
    <w:rsid w:val="00F30D78"/>
    <w:rsid w:val="00F31D25"/>
    <w:rsid w:val="00F3247B"/>
    <w:rsid w:val="00F331FF"/>
    <w:rsid w:val="00F335BF"/>
    <w:rsid w:val="00F339E5"/>
    <w:rsid w:val="00F33DB8"/>
    <w:rsid w:val="00F34421"/>
    <w:rsid w:val="00F34C4F"/>
    <w:rsid w:val="00F34D8F"/>
    <w:rsid w:val="00F3520D"/>
    <w:rsid w:val="00F3555A"/>
    <w:rsid w:val="00F35B76"/>
    <w:rsid w:val="00F36EDD"/>
    <w:rsid w:val="00F36F52"/>
    <w:rsid w:val="00F3725E"/>
    <w:rsid w:val="00F407EB"/>
    <w:rsid w:val="00F4083A"/>
    <w:rsid w:val="00F40ADD"/>
    <w:rsid w:val="00F41D3A"/>
    <w:rsid w:val="00F42098"/>
    <w:rsid w:val="00F42A70"/>
    <w:rsid w:val="00F44440"/>
    <w:rsid w:val="00F44509"/>
    <w:rsid w:val="00F44969"/>
    <w:rsid w:val="00F44A3D"/>
    <w:rsid w:val="00F44C4F"/>
    <w:rsid w:val="00F44E83"/>
    <w:rsid w:val="00F44E87"/>
    <w:rsid w:val="00F4522C"/>
    <w:rsid w:val="00F468E5"/>
    <w:rsid w:val="00F50133"/>
    <w:rsid w:val="00F51D7F"/>
    <w:rsid w:val="00F5304E"/>
    <w:rsid w:val="00F5346B"/>
    <w:rsid w:val="00F5365A"/>
    <w:rsid w:val="00F537C9"/>
    <w:rsid w:val="00F55457"/>
    <w:rsid w:val="00F560B2"/>
    <w:rsid w:val="00F56E46"/>
    <w:rsid w:val="00F57068"/>
    <w:rsid w:val="00F573F6"/>
    <w:rsid w:val="00F57BED"/>
    <w:rsid w:val="00F57E7E"/>
    <w:rsid w:val="00F60198"/>
    <w:rsid w:val="00F61092"/>
    <w:rsid w:val="00F610F6"/>
    <w:rsid w:val="00F6126C"/>
    <w:rsid w:val="00F62337"/>
    <w:rsid w:val="00F62B71"/>
    <w:rsid w:val="00F6359E"/>
    <w:rsid w:val="00F635B4"/>
    <w:rsid w:val="00F63C14"/>
    <w:rsid w:val="00F64774"/>
    <w:rsid w:val="00F64A51"/>
    <w:rsid w:val="00F66313"/>
    <w:rsid w:val="00F669CD"/>
    <w:rsid w:val="00F671AF"/>
    <w:rsid w:val="00F67708"/>
    <w:rsid w:val="00F67EDA"/>
    <w:rsid w:val="00F70121"/>
    <w:rsid w:val="00F7152A"/>
    <w:rsid w:val="00F71A4B"/>
    <w:rsid w:val="00F71B8D"/>
    <w:rsid w:val="00F737DB"/>
    <w:rsid w:val="00F73888"/>
    <w:rsid w:val="00F748DE"/>
    <w:rsid w:val="00F7613A"/>
    <w:rsid w:val="00F76F03"/>
    <w:rsid w:val="00F77D69"/>
    <w:rsid w:val="00F8075D"/>
    <w:rsid w:val="00F80777"/>
    <w:rsid w:val="00F80935"/>
    <w:rsid w:val="00F8121E"/>
    <w:rsid w:val="00F81AA2"/>
    <w:rsid w:val="00F82746"/>
    <w:rsid w:val="00F8325F"/>
    <w:rsid w:val="00F836F9"/>
    <w:rsid w:val="00F83783"/>
    <w:rsid w:val="00F845D7"/>
    <w:rsid w:val="00F84907"/>
    <w:rsid w:val="00F86BDE"/>
    <w:rsid w:val="00F900CA"/>
    <w:rsid w:val="00F9022B"/>
    <w:rsid w:val="00F91BE7"/>
    <w:rsid w:val="00F92022"/>
    <w:rsid w:val="00F92279"/>
    <w:rsid w:val="00F924AA"/>
    <w:rsid w:val="00F93388"/>
    <w:rsid w:val="00F9344C"/>
    <w:rsid w:val="00F94492"/>
    <w:rsid w:val="00F9470F"/>
    <w:rsid w:val="00F95FDC"/>
    <w:rsid w:val="00F966A2"/>
    <w:rsid w:val="00F9793C"/>
    <w:rsid w:val="00F97C21"/>
    <w:rsid w:val="00FA1411"/>
    <w:rsid w:val="00FA3EB1"/>
    <w:rsid w:val="00FA51F3"/>
    <w:rsid w:val="00FA5818"/>
    <w:rsid w:val="00FA6AC7"/>
    <w:rsid w:val="00FA7940"/>
    <w:rsid w:val="00FB007B"/>
    <w:rsid w:val="00FB069B"/>
    <w:rsid w:val="00FB0740"/>
    <w:rsid w:val="00FB08FA"/>
    <w:rsid w:val="00FB1BE3"/>
    <w:rsid w:val="00FB1DDD"/>
    <w:rsid w:val="00FB3BDB"/>
    <w:rsid w:val="00FB4D21"/>
    <w:rsid w:val="00FB5562"/>
    <w:rsid w:val="00FB56E7"/>
    <w:rsid w:val="00FB66A5"/>
    <w:rsid w:val="00FB6D71"/>
    <w:rsid w:val="00FB7086"/>
    <w:rsid w:val="00FB762B"/>
    <w:rsid w:val="00FB76FE"/>
    <w:rsid w:val="00FC12A3"/>
    <w:rsid w:val="00FC162D"/>
    <w:rsid w:val="00FC241F"/>
    <w:rsid w:val="00FC2DFC"/>
    <w:rsid w:val="00FC31F3"/>
    <w:rsid w:val="00FC40CE"/>
    <w:rsid w:val="00FC485E"/>
    <w:rsid w:val="00FC53BF"/>
    <w:rsid w:val="00FC56FB"/>
    <w:rsid w:val="00FC6ADA"/>
    <w:rsid w:val="00FC6F8C"/>
    <w:rsid w:val="00FC7445"/>
    <w:rsid w:val="00FC7BA1"/>
    <w:rsid w:val="00FC7C43"/>
    <w:rsid w:val="00FD03D4"/>
    <w:rsid w:val="00FD09E7"/>
    <w:rsid w:val="00FD0C8B"/>
    <w:rsid w:val="00FD0D6F"/>
    <w:rsid w:val="00FD0E9D"/>
    <w:rsid w:val="00FD0EBE"/>
    <w:rsid w:val="00FD16FB"/>
    <w:rsid w:val="00FD171A"/>
    <w:rsid w:val="00FD2392"/>
    <w:rsid w:val="00FD2DB5"/>
    <w:rsid w:val="00FD3222"/>
    <w:rsid w:val="00FD3588"/>
    <w:rsid w:val="00FD3FF9"/>
    <w:rsid w:val="00FD52D8"/>
    <w:rsid w:val="00FD5447"/>
    <w:rsid w:val="00FD56A6"/>
    <w:rsid w:val="00FD5EC8"/>
    <w:rsid w:val="00FD6759"/>
    <w:rsid w:val="00FD6957"/>
    <w:rsid w:val="00FD6C73"/>
    <w:rsid w:val="00FD703C"/>
    <w:rsid w:val="00FD7287"/>
    <w:rsid w:val="00FD7678"/>
    <w:rsid w:val="00FD7A4C"/>
    <w:rsid w:val="00FE03A1"/>
    <w:rsid w:val="00FE086C"/>
    <w:rsid w:val="00FE0BE0"/>
    <w:rsid w:val="00FE175E"/>
    <w:rsid w:val="00FE1871"/>
    <w:rsid w:val="00FE1B65"/>
    <w:rsid w:val="00FE2033"/>
    <w:rsid w:val="00FE2E0E"/>
    <w:rsid w:val="00FE404B"/>
    <w:rsid w:val="00FE4558"/>
    <w:rsid w:val="00FE62D5"/>
    <w:rsid w:val="00FE716F"/>
    <w:rsid w:val="00FE7CEF"/>
    <w:rsid w:val="00FF0BB3"/>
    <w:rsid w:val="00FF1286"/>
    <w:rsid w:val="00FF12BA"/>
    <w:rsid w:val="00FF2170"/>
    <w:rsid w:val="00FF3AAB"/>
    <w:rsid w:val="00FF47C7"/>
    <w:rsid w:val="00FF4CB2"/>
    <w:rsid w:val="00FF4EEC"/>
    <w:rsid w:val="00FF5DD4"/>
    <w:rsid w:val="00FF65A6"/>
    <w:rsid w:val="00FF7563"/>
    <w:rsid w:val="011E67E0"/>
    <w:rsid w:val="0171727B"/>
    <w:rsid w:val="01847E01"/>
    <w:rsid w:val="096ECC62"/>
    <w:rsid w:val="0CA58448"/>
    <w:rsid w:val="0E17DFA9"/>
    <w:rsid w:val="1396E3C3"/>
    <w:rsid w:val="17536AA5"/>
    <w:rsid w:val="1997D3BC"/>
    <w:rsid w:val="1A96817E"/>
    <w:rsid w:val="231ADC8F"/>
    <w:rsid w:val="2502956B"/>
    <w:rsid w:val="25073C5C"/>
    <w:rsid w:val="2717E221"/>
    <w:rsid w:val="2A6434F1"/>
    <w:rsid w:val="2CA12F17"/>
    <w:rsid w:val="30001E52"/>
    <w:rsid w:val="34E94CA1"/>
    <w:rsid w:val="370A145D"/>
    <w:rsid w:val="3996A9C3"/>
    <w:rsid w:val="3A3CD710"/>
    <w:rsid w:val="44D47C59"/>
    <w:rsid w:val="49D22972"/>
    <w:rsid w:val="4C6189F5"/>
    <w:rsid w:val="4E679B16"/>
    <w:rsid w:val="4E922E5E"/>
    <w:rsid w:val="50EA0FDC"/>
    <w:rsid w:val="52D8862E"/>
    <w:rsid w:val="5852E5F4"/>
    <w:rsid w:val="5B40559E"/>
    <w:rsid w:val="64E6D072"/>
    <w:rsid w:val="65361E34"/>
    <w:rsid w:val="6BE826F0"/>
    <w:rsid w:val="6D5B1C77"/>
    <w:rsid w:val="736A7E8F"/>
    <w:rsid w:val="77A7F8D6"/>
    <w:rsid w:val="77FCF3E2"/>
    <w:rsid w:val="7CA9E9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73"/>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C47CF2"/>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693A59"/>
    <w:pPr>
      <w:spacing w:before="320" w:after="0" w:line="276" w:lineRule="auto"/>
      <w:outlineLvl w:val="2"/>
    </w:pPr>
    <w:rPr>
      <w:b/>
      <w:bCs w:val="0"/>
      <w:color w:val="5D779D" w:themeColor="accent3"/>
      <w:sz w:val="28"/>
      <w:szCs w:val="26"/>
    </w:rPr>
  </w:style>
  <w:style w:type="paragraph" w:styleId="Heading4">
    <w:name w:val="heading 4"/>
    <w:basedOn w:val="HeadingBase"/>
    <w:next w:val="Normal"/>
    <w:link w:val="Heading4Char"/>
    <w:qFormat/>
    <w:rsid w:val="00693A59"/>
    <w:pPr>
      <w:spacing w:before="280" w:after="0" w:line="276" w:lineRule="auto"/>
      <w:outlineLvl w:val="3"/>
    </w:pPr>
    <w:rPr>
      <w:rFonts w:ascii="Calibri Light" w:hAnsi="Calibri Light"/>
      <w:bCs w:val="0"/>
      <w:color w:val="5D779D" w:themeColor="accent3"/>
      <w:sz w:val="24"/>
      <w:szCs w:val="26"/>
    </w:rPr>
  </w:style>
  <w:style w:type="paragraph" w:styleId="Heading5">
    <w:name w:val="heading 5"/>
    <w:basedOn w:val="HeadingBase"/>
    <w:next w:val="Normal"/>
    <w:link w:val="Heading5Char"/>
    <w:rsid w:val="00693A59"/>
    <w:pPr>
      <w:spacing w:before="240" w:after="0" w:line="276" w:lineRule="auto"/>
      <w:outlineLvl w:val="4"/>
    </w:pPr>
    <w:rPr>
      <w:rFonts w:asciiTheme="majorHAnsi" w:hAnsiTheme="majorHAnsi"/>
      <w:b/>
      <w:bCs w:val="0"/>
      <w:iCs/>
      <w:color w:val="2C384A" w:themeColor="accent1"/>
      <w:sz w:val="22"/>
    </w:rPr>
  </w:style>
  <w:style w:type="paragraph" w:styleId="Heading6">
    <w:name w:val="heading 6"/>
    <w:basedOn w:val="HeadingBase"/>
    <w:next w:val="Normal"/>
    <w:link w:val="Heading6Char"/>
    <w:rsid w:val="00693A59"/>
    <w:pPr>
      <w:spacing w:before="120" w:after="0" w:line="276" w:lineRule="auto"/>
      <w:outlineLvl w:val="5"/>
    </w:pPr>
    <w:rPr>
      <w:rFonts w:ascii="Calibri Light" w:hAnsi="Calibri Light"/>
      <w:bCs w:val="0"/>
      <w:color w:val="2C384A"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CF2"/>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693A59"/>
    <w:rPr>
      <w:rFonts w:ascii="Calibri" w:eastAsia="Times New Roman" w:hAnsi="Calibri" w:cs="Arial"/>
      <w:b/>
      <w:color w:val="5D779D" w:themeColor="accent3"/>
      <w:kern w:val="32"/>
      <w:sz w:val="28"/>
      <w:szCs w:val="26"/>
      <w:lang w:eastAsia="en-AU"/>
    </w:rPr>
  </w:style>
  <w:style w:type="character" w:customStyle="1" w:styleId="Heading4Char">
    <w:name w:val="Heading 4 Char"/>
    <w:basedOn w:val="DefaultParagraphFont"/>
    <w:link w:val="Heading4"/>
    <w:rsid w:val="00693A59"/>
    <w:rPr>
      <w:rFonts w:ascii="Calibri Light" w:eastAsia="Times New Roman" w:hAnsi="Calibri Light" w:cs="Arial"/>
      <w:color w:val="5D779D" w:themeColor="accent3"/>
      <w:kern w:val="32"/>
      <w:sz w:val="24"/>
      <w:szCs w:val="26"/>
      <w:lang w:eastAsia="en-AU"/>
    </w:rPr>
  </w:style>
  <w:style w:type="character" w:customStyle="1" w:styleId="Heading5Char">
    <w:name w:val="Heading 5 Char"/>
    <w:basedOn w:val="DefaultParagraphFont"/>
    <w:link w:val="Heading5"/>
    <w:rsid w:val="00693A59"/>
    <w:rPr>
      <w:rFonts w:asciiTheme="majorHAnsi" w:eastAsia="Times New Roman" w:hAnsiTheme="majorHAnsi" w:cs="Arial"/>
      <w:b/>
      <w:iCs/>
      <w:color w:val="2C384A" w:themeColor="accent1"/>
      <w:kern w:val="32"/>
      <w:szCs w:val="36"/>
      <w:lang w:eastAsia="en-AU"/>
    </w:rPr>
  </w:style>
  <w:style w:type="character" w:customStyle="1" w:styleId="Heading6Char">
    <w:name w:val="Heading 6 Char"/>
    <w:basedOn w:val="DefaultParagraphFont"/>
    <w:link w:val="Heading6"/>
    <w:rsid w:val="00693A59"/>
    <w:rPr>
      <w:rFonts w:ascii="Calibri Light" w:eastAsia="Times New Roman" w:hAnsi="Calibri Light" w:cs="Arial"/>
      <w:color w:val="2C384A" w:themeColor="accen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12"/>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86065E"/>
    <w:pPr>
      <w:keepNext/>
      <w:spacing w:before="0" w:after="360"/>
    </w:pPr>
    <w:rPr>
      <w:color w:val="9CACC4" w:themeColor="accent1" w:themeTint="66"/>
      <w:sz w:val="32"/>
    </w:rPr>
  </w:style>
  <w:style w:type="paragraph" w:customStyle="1" w:styleId="Dash">
    <w:name w:val="Dash"/>
    <w:basedOn w:val="Normal"/>
    <w:link w:val="DashChar"/>
    <w:qFormat/>
    <w:rsid w:val="000E0B74"/>
    <w:pPr>
      <w:numPr>
        <w:ilvl w:val="1"/>
        <w:numId w:val="12"/>
      </w:numPr>
      <w:spacing w:before="0"/>
    </w:pPr>
  </w:style>
  <w:style w:type="paragraph" w:customStyle="1" w:styleId="DoubleDot">
    <w:name w:val="Double Dot"/>
    <w:basedOn w:val="Normal"/>
    <w:link w:val="DoubleDotChar"/>
    <w:qFormat/>
    <w:rsid w:val="000E0B74"/>
    <w:pPr>
      <w:numPr>
        <w:ilvl w:val="2"/>
        <w:numId w:val="12"/>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B07AA"/>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5"/>
      </w:numPr>
    </w:pPr>
  </w:style>
  <w:style w:type="numbering" w:customStyle="1" w:styleId="BulletedList">
    <w:name w:val="Bulleted List"/>
    <w:uiPriority w:val="99"/>
    <w:rsid w:val="000E0B74"/>
    <w:pPr>
      <w:numPr>
        <w:numId w:val="2"/>
      </w:numPr>
    </w:pPr>
  </w:style>
  <w:style w:type="numbering" w:customStyle="1" w:styleId="BoxBulletedList">
    <w:name w:val="Box Bulleted List"/>
    <w:uiPriority w:val="99"/>
    <w:rsid w:val="000E0B74"/>
    <w:pPr>
      <w:numPr>
        <w:numId w:val="3"/>
      </w:numPr>
    </w:pPr>
  </w:style>
  <w:style w:type="numbering" w:customStyle="1" w:styleId="OneLevelList">
    <w:name w:val="OneLevelList"/>
    <w:uiPriority w:val="99"/>
    <w:rsid w:val="000E0B74"/>
    <w:pPr>
      <w:numPr>
        <w:numId w:val="4"/>
      </w:numPr>
    </w:pPr>
  </w:style>
  <w:style w:type="numbering" w:customStyle="1" w:styleId="ChartandTableFootnoteAlphaList">
    <w:name w:val="ChartandTableFootnoteAlphaList"/>
    <w:uiPriority w:val="99"/>
    <w:rsid w:val="000E0B74"/>
    <w:pPr>
      <w:numPr>
        <w:numId w:val="10"/>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693A59"/>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86065E"/>
    <w:rPr>
      <w:rFonts w:ascii="Calibri Light" w:eastAsia="Times New Roman" w:hAnsi="Calibri Light" w:cs="Times New Roman"/>
      <w:color w:val="9CACC4" w:themeColor="accent1" w:themeTint="66"/>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1"/>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1"/>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1"/>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ui-provider">
    <w:name w:val="ui-provider"/>
    <w:basedOn w:val="DefaultParagraphFont"/>
    <w:rsid w:val="007A182A"/>
  </w:style>
  <w:style w:type="character" w:styleId="Mention">
    <w:name w:val="Mention"/>
    <w:basedOn w:val="DefaultParagraphFont"/>
    <w:uiPriority w:val="99"/>
    <w:unhideWhenUsed/>
    <w:rsid w:val="00017E5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E3609F"/>
    <w:rPr>
      <w:rFonts w:ascii="Calibri Light" w:hAnsi="Calibri Light"/>
      <w:b/>
      <w:bCs/>
    </w:rPr>
  </w:style>
  <w:style w:type="character" w:customStyle="1" w:styleId="CommentSubjectChar">
    <w:name w:val="Comment Subject Char"/>
    <w:basedOn w:val="CommentTextChar"/>
    <w:link w:val="CommentSubject"/>
    <w:uiPriority w:val="99"/>
    <w:semiHidden/>
    <w:rsid w:val="00E3609F"/>
    <w:rPr>
      <w:rFonts w:ascii="Calibri Light" w:eastAsia="Times New Roman" w:hAnsi="Calibri Light" w:cs="Times New Roman"/>
      <w:b/>
      <w:bCs/>
      <w:sz w:val="20"/>
      <w:szCs w:val="20"/>
      <w:lang w:eastAsia="en-AU"/>
    </w:rPr>
  </w:style>
  <w:style w:type="paragraph" w:styleId="Revision">
    <w:name w:val="Revision"/>
    <w:hidden/>
    <w:uiPriority w:val="99"/>
    <w:semiHidden/>
    <w:rsid w:val="00916D51"/>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3C07BF"/>
    <w:rPr>
      <w:color w:val="605E5C"/>
      <w:shd w:val="clear" w:color="auto" w:fill="E1DFDD"/>
    </w:rPr>
  </w:style>
  <w:style w:type="character" w:customStyle="1" w:styleId="A2">
    <w:name w:val="A2"/>
    <w:uiPriority w:val="99"/>
    <w:rsid w:val="005D1EC8"/>
    <w:rPr>
      <w:color w:val="221E1F"/>
      <w:sz w:val="20"/>
      <w:szCs w:val="20"/>
    </w:rPr>
  </w:style>
  <w:style w:type="paragraph" w:styleId="NormalWeb">
    <w:name w:val="Normal (Web)"/>
    <w:basedOn w:val="Normal"/>
    <w:uiPriority w:val="99"/>
    <w:semiHidden/>
    <w:unhideWhenUsed/>
    <w:rsid w:val="00E769E9"/>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E769E9"/>
    <w:rPr>
      <w:i/>
      <w:iCs/>
    </w:rPr>
  </w:style>
  <w:style w:type="character" w:customStyle="1" w:styleId="sr-only">
    <w:name w:val="sr-only"/>
    <w:basedOn w:val="DefaultParagraphFont"/>
    <w:rsid w:val="00E769E9"/>
  </w:style>
  <w:style w:type="character" w:customStyle="1" w:styleId="normaltextrun">
    <w:name w:val="normaltextrun"/>
    <w:basedOn w:val="DefaultParagraphFont"/>
    <w:rsid w:val="00581914"/>
  </w:style>
  <w:style w:type="character" w:customStyle="1" w:styleId="eop">
    <w:name w:val="eop"/>
    <w:basedOn w:val="DefaultParagraphFont"/>
    <w:rsid w:val="00581914"/>
  </w:style>
  <w:style w:type="paragraph" w:styleId="Caption">
    <w:name w:val="caption"/>
    <w:basedOn w:val="Normal"/>
    <w:next w:val="Normal"/>
    <w:uiPriority w:val="35"/>
    <w:unhideWhenUsed/>
    <w:qFormat/>
    <w:rsid w:val="00AA721D"/>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26036341">
      <w:bodyDiv w:val="1"/>
      <w:marLeft w:val="0"/>
      <w:marRight w:val="0"/>
      <w:marTop w:val="0"/>
      <w:marBottom w:val="0"/>
      <w:divBdr>
        <w:top w:val="none" w:sz="0" w:space="0" w:color="auto"/>
        <w:left w:val="none" w:sz="0" w:space="0" w:color="auto"/>
        <w:bottom w:val="none" w:sz="0" w:space="0" w:color="auto"/>
        <w:right w:val="none" w:sz="0" w:space="0" w:color="auto"/>
      </w:divBdr>
    </w:div>
    <w:div w:id="1445225179">
      <w:bodyDiv w:val="1"/>
      <w:marLeft w:val="0"/>
      <w:marRight w:val="0"/>
      <w:marTop w:val="0"/>
      <w:marBottom w:val="0"/>
      <w:divBdr>
        <w:top w:val="none" w:sz="0" w:space="0" w:color="auto"/>
        <w:left w:val="none" w:sz="0" w:space="0" w:color="auto"/>
        <w:bottom w:val="none" w:sz="0" w:space="0" w:color="auto"/>
        <w:right w:val="none" w:sz="0" w:space="0" w:color="auto"/>
      </w:divBdr>
    </w:div>
    <w:div w:id="1502768817">
      <w:bodyDiv w:val="1"/>
      <w:marLeft w:val="0"/>
      <w:marRight w:val="0"/>
      <w:marTop w:val="0"/>
      <w:marBottom w:val="0"/>
      <w:divBdr>
        <w:top w:val="none" w:sz="0" w:space="0" w:color="auto"/>
        <w:left w:val="none" w:sz="0" w:space="0" w:color="auto"/>
        <w:bottom w:val="none" w:sz="0" w:space="0" w:color="auto"/>
        <w:right w:val="none" w:sz="0" w:space="0" w:color="auto"/>
      </w:divBdr>
    </w:div>
    <w:div w:id="214461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honours-and-symbols/commonwealth-coat-arms" TargetMode="External"/><Relationship Id="rId18" Type="http://schemas.openxmlformats.org/officeDocument/2006/relationships/footer" Target="footer2.xml"/><Relationship Id="rId26" Type="http://schemas.openxmlformats.org/officeDocument/2006/relationships/hyperlink" Target="https://www.finance.gov.au/sites/default/files/2023-05/Budget_Process_Operational_Rule_esffective_6%20_December_2022.pdf"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CreativeServices@treasury.gov.au" TargetMode="External"/><Relationship Id="rId17" Type="http://schemas.openxmlformats.org/officeDocument/2006/relationships/footer" Target="footer1.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header" Target="header5.xml"/><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austreasury.sharepoint.com/:p:/r/sites/eval-function/eva/ACE%20ToC%20WIP.pptx?d=wa8d7a0d39b1046ae8d43996b5d336f7a&amp;csf=1&amp;web=1&amp;e=oXtYk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www.finance.gov.au/government/managing-commonwealth-resources/structure-australian-government-public-sector/pgpa-act-flipchart-and-list"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valuation.treasury.gov.au/about/commonwealth-evaluation-policy" TargetMode="External"/><Relationship Id="rId28" Type="http://schemas.openxmlformats.org/officeDocument/2006/relationships/hyperlink" Target="https://oia.pmc.gov.au/impact-analysis-process" TargetMode="External"/><Relationship Id="rId36" Type="http://schemas.openxmlformats.org/officeDocument/2006/relationships/header" Target="header6.xml"/><Relationship Id="rId10" Type="http://schemas.openxmlformats.org/officeDocument/2006/relationships/hyperlink" Target="https://www.w3.org/TR/WCAG20/" TargetMode="External"/><Relationship Id="rId19" Type="http://schemas.openxmlformats.org/officeDocument/2006/relationships/header" Target="header3.xml"/><Relationship Id="rId31" Type="http://schemas.openxmlformats.org/officeDocument/2006/relationships/hyperlink" Target="https://austreasury.sharepoint.com/:p:/r/sites/eval-function/_layouts/15/Doc.aspx?sourcedoc=%7BA8D7A0D3-9B10-46AE-8D43-996B5D336F7A%7D&amp;file=ACE%20ToC%20090224.pptx&amp;action=edit&amp;mobileredirect=true&amp;DefaultItemOpen=1" TargetMode="External"/><Relationship Id="rId4" Type="http://schemas.openxmlformats.org/officeDocument/2006/relationships/settings" Target="settings.xml"/><Relationship Id="rId9" Type="http://schemas.openxmlformats.org/officeDocument/2006/relationships/hyperlink" Target="mailto:DigitalDelivery@treasury.gov.au" TargetMode="External"/><Relationship Id="rId14" Type="http://schemas.openxmlformats.org/officeDocument/2006/relationships/hyperlink" Target="http://creativecommons.org/licenses/by/3.0/au/deed.en" TargetMode="External"/><Relationship Id="rId22" Type="http://schemas.openxmlformats.org/officeDocument/2006/relationships/hyperlink" Target="https://www.finance.gov.au/government/managing-commonwealth-resources/planning-and-reporting/commonwealth-performance-framework" TargetMode="External"/><Relationship Id="rId27" Type="http://schemas.openxmlformats.org/officeDocument/2006/relationships/hyperlink" Target="https://evaluation.treasury.gov.au/toolkit/commonwealth-evaluation-toolkit" TargetMode="External"/><Relationship Id="rId30" Type="http://schemas.openxmlformats.org/officeDocument/2006/relationships/hyperlink" Target="https://www.pc.gov.au/inquiries/completed/indigenous-evaluation/strategy" TargetMode="External"/><Relationship Id="rId35"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pmc.gov.au/resources/independent-review-australian-public-service" TargetMode="External"/><Relationship Id="rId2" Type="http://schemas.openxmlformats.org/officeDocument/2006/relationships/hyperlink" Target="https://www.finance.gov.au/government/managing-commonwealth-resources/planning-and-reporting/commonwealth-performance-framework/commonwealth-evaluation-policy" TargetMode="External"/><Relationship Id="rId1" Type="http://schemas.openxmlformats.org/officeDocument/2006/relationships/hyperlink" Target="https://www.finance.gov.au/government/managing-commonwealth-resources/structure-australian-government-public-sector/pgpa-act-flipchart-and-lis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39113-F61C-4543-9249-28063D56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4733</Words>
  <Characters>29088</Characters>
  <Application>Microsoft Office Word</Application>
  <DocSecurity>0</DocSecurity>
  <Lines>939</Lines>
  <Paragraphs>468</Paragraphs>
  <ScaleCrop>false</ScaleCrop>
  <HeadingPairs>
    <vt:vector size="2" baseType="variant">
      <vt:variant>
        <vt:lpstr>Title</vt:lpstr>
      </vt:variant>
      <vt:variant>
        <vt:i4>1</vt:i4>
      </vt:variant>
    </vt:vector>
  </HeadingPairs>
  <TitlesOfParts>
    <vt:vector size="1" baseType="lpstr">
      <vt:lpstr>Australian Centre for Evaluation Strategy</vt:lpstr>
    </vt:vector>
  </TitlesOfParts>
  <Company/>
  <LinksUpToDate>false</LinksUpToDate>
  <CharactersWithSpaces>33551</CharactersWithSpaces>
  <SharedDoc>false</SharedDoc>
  <HLinks>
    <vt:vector size="282" baseType="variant">
      <vt:variant>
        <vt:i4>7143445</vt:i4>
      </vt:variant>
      <vt:variant>
        <vt:i4>231</vt:i4>
      </vt:variant>
      <vt:variant>
        <vt:i4>0</vt:i4>
      </vt:variant>
      <vt:variant>
        <vt:i4>5</vt:i4>
      </vt:variant>
      <vt:variant>
        <vt:lpwstr>https://austreasury.sharepoint.com/:p:/r/sites/eval-function/_layouts/15/Doc.aspx?sourcedoc=%7BA8D7A0D3-9B10-46AE-8D43-996B5D336F7A%7D&amp;file=ACE%20ToC%20090224.pptx&amp;action=edit&amp;mobileredirect=true&amp;DefaultItemOpen=1</vt:lpwstr>
      </vt:variant>
      <vt:variant>
        <vt:lpwstr/>
      </vt:variant>
      <vt:variant>
        <vt:i4>3670141</vt:i4>
      </vt:variant>
      <vt:variant>
        <vt:i4>228</vt:i4>
      </vt:variant>
      <vt:variant>
        <vt:i4>0</vt:i4>
      </vt:variant>
      <vt:variant>
        <vt:i4>5</vt:i4>
      </vt:variant>
      <vt:variant>
        <vt:lpwstr>https://austreasury.sharepoint.com/:p:/r/sites/eval-function/eva/ACE ToC WIP.pptx?d=wa8d7a0d39b1046ae8d43996b5d336f7a&amp;csf=1&amp;web=1&amp;e=oXtYkf</vt:lpwstr>
      </vt:variant>
      <vt:variant>
        <vt:lpwstr/>
      </vt:variant>
      <vt:variant>
        <vt:i4>8192037</vt:i4>
      </vt:variant>
      <vt:variant>
        <vt:i4>225</vt:i4>
      </vt:variant>
      <vt:variant>
        <vt:i4>0</vt:i4>
      </vt:variant>
      <vt:variant>
        <vt:i4>5</vt:i4>
      </vt:variant>
      <vt:variant>
        <vt:lpwstr>https://oia.pmc.gov.au/impact-analysis-process</vt:lpwstr>
      </vt:variant>
      <vt:variant>
        <vt:lpwstr/>
      </vt:variant>
      <vt:variant>
        <vt:i4>3473441</vt:i4>
      </vt:variant>
      <vt:variant>
        <vt:i4>222</vt:i4>
      </vt:variant>
      <vt:variant>
        <vt:i4>0</vt:i4>
      </vt:variant>
      <vt:variant>
        <vt:i4>5</vt:i4>
      </vt:variant>
      <vt:variant>
        <vt:lpwstr>https://evaluation.treasury.gov.au/toolkit/commonwealth-evaluation-toolkit</vt:lpwstr>
      </vt:variant>
      <vt:variant>
        <vt:lpwstr/>
      </vt:variant>
      <vt:variant>
        <vt:i4>4587552</vt:i4>
      </vt:variant>
      <vt:variant>
        <vt:i4>219</vt:i4>
      </vt:variant>
      <vt:variant>
        <vt:i4>0</vt:i4>
      </vt:variant>
      <vt:variant>
        <vt:i4>5</vt:i4>
      </vt:variant>
      <vt:variant>
        <vt:lpwstr>https://www.finance.gov.au/sites/default/files/2023-05/Budget_Process_Operational_Rule_esffective_6 _December_2022.pdf</vt:lpwstr>
      </vt:variant>
      <vt:variant>
        <vt:lpwstr/>
      </vt:variant>
      <vt:variant>
        <vt:i4>4063287</vt:i4>
      </vt:variant>
      <vt:variant>
        <vt:i4>215</vt:i4>
      </vt:variant>
      <vt:variant>
        <vt:i4>0</vt:i4>
      </vt:variant>
      <vt:variant>
        <vt:i4>5</vt:i4>
      </vt:variant>
      <vt:variant>
        <vt:lpwstr>https://www.finance.gov.au/government/managing-commonwealth-resources/structure-australian-government-public-sector/pgpa-act-flipchart-and-list</vt:lpwstr>
      </vt:variant>
      <vt:variant>
        <vt:lpwstr/>
      </vt:variant>
      <vt:variant>
        <vt:i4>4063287</vt:i4>
      </vt:variant>
      <vt:variant>
        <vt:i4>213</vt:i4>
      </vt:variant>
      <vt:variant>
        <vt:i4>0</vt:i4>
      </vt:variant>
      <vt:variant>
        <vt:i4>5</vt:i4>
      </vt:variant>
      <vt:variant>
        <vt:lpwstr>https://www.finance.gov.au/government/managing-commonwealth-resources/structure-australian-government-public-sector/pgpa-act-flipchart-and-list</vt:lpwstr>
      </vt:variant>
      <vt:variant>
        <vt:lpwstr/>
      </vt:variant>
      <vt:variant>
        <vt:i4>3145776</vt:i4>
      </vt:variant>
      <vt:variant>
        <vt:i4>210</vt:i4>
      </vt:variant>
      <vt:variant>
        <vt:i4>0</vt:i4>
      </vt:variant>
      <vt:variant>
        <vt:i4>5</vt:i4>
      </vt:variant>
      <vt:variant>
        <vt:lpwstr>https://evaluation.treasury.gov.au/about/commonwealth-evaluation-policy</vt:lpwstr>
      </vt:variant>
      <vt:variant>
        <vt:lpwstr/>
      </vt:variant>
      <vt:variant>
        <vt:i4>7929964</vt:i4>
      </vt:variant>
      <vt:variant>
        <vt:i4>207</vt:i4>
      </vt:variant>
      <vt:variant>
        <vt:i4>0</vt:i4>
      </vt:variant>
      <vt:variant>
        <vt:i4>5</vt:i4>
      </vt:variant>
      <vt:variant>
        <vt:lpwstr>https://www.finance.gov.au/government/managing-commonwealth-resources/planning-and-reporting/commonwealth-performance-framework</vt:lpwstr>
      </vt:variant>
      <vt:variant>
        <vt:lpwstr/>
      </vt:variant>
      <vt:variant>
        <vt:i4>1507379</vt:i4>
      </vt:variant>
      <vt:variant>
        <vt:i4>197</vt:i4>
      </vt:variant>
      <vt:variant>
        <vt:i4>0</vt:i4>
      </vt:variant>
      <vt:variant>
        <vt:i4>5</vt:i4>
      </vt:variant>
      <vt:variant>
        <vt:lpwstr/>
      </vt:variant>
      <vt:variant>
        <vt:lpwstr>_Toc175056211</vt:lpwstr>
      </vt:variant>
      <vt:variant>
        <vt:i4>1507379</vt:i4>
      </vt:variant>
      <vt:variant>
        <vt:i4>191</vt:i4>
      </vt:variant>
      <vt:variant>
        <vt:i4>0</vt:i4>
      </vt:variant>
      <vt:variant>
        <vt:i4>5</vt:i4>
      </vt:variant>
      <vt:variant>
        <vt:lpwstr/>
      </vt:variant>
      <vt:variant>
        <vt:lpwstr>_Toc175056210</vt:lpwstr>
      </vt:variant>
      <vt:variant>
        <vt:i4>1441843</vt:i4>
      </vt:variant>
      <vt:variant>
        <vt:i4>185</vt:i4>
      </vt:variant>
      <vt:variant>
        <vt:i4>0</vt:i4>
      </vt:variant>
      <vt:variant>
        <vt:i4>5</vt:i4>
      </vt:variant>
      <vt:variant>
        <vt:lpwstr/>
      </vt:variant>
      <vt:variant>
        <vt:lpwstr>_Toc175056209</vt:lpwstr>
      </vt:variant>
      <vt:variant>
        <vt:i4>1441843</vt:i4>
      </vt:variant>
      <vt:variant>
        <vt:i4>179</vt:i4>
      </vt:variant>
      <vt:variant>
        <vt:i4>0</vt:i4>
      </vt:variant>
      <vt:variant>
        <vt:i4>5</vt:i4>
      </vt:variant>
      <vt:variant>
        <vt:lpwstr/>
      </vt:variant>
      <vt:variant>
        <vt:lpwstr>_Toc175056208</vt:lpwstr>
      </vt:variant>
      <vt:variant>
        <vt:i4>1441843</vt:i4>
      </vt:variant>
      <vt:variant>
        <vt:i4>173</vt:i4>
      </vt:variant>
      <vt:variant>
        <vt:i4>0</vt:i4>
      </vt:variant>
      <vt:variant>
        <vt:i4>5</vt:i4>
      </vt:variant>
      <vt:variant>
        <vt:lpwstr/>
      </vt:variant>
      <vt:variant>
        <vt:lpwstr>_Toc175056207</vt:lpwstr>
      </vt:variant>
      <vt:variant>
        <vt:i4>1441843</vt:i4>
      </vt:variant>
      <vt:variant>
        <vt:i4>167</vt:i4>
      </vt:variant>
      <vt:variant>
        <vt:i4>0</vt:i4>
      </vt:variant>
      <vt:variant>
        <vt:i4>5</vt:i4>
      </vt:variant>
      <vt:variant>
        <vt:lpwstr/>
      </vt:variant>
      <vt:variant>
        <vt:lpwstr>_Toc175056206</vt:lpwstr>
      </vt:variant>
      <vt:variant>
        <vt:i4>1441843</vt:i4>
      </vt:variant>
      <vt:variant>
        <vt:i4>161</vt:i4>
      </vt:variant>
      <vt:variant>
        <vt:i4>0</vt:i4>
      </vt:variant>
      <vt:variant>
        <vt:i4>5</vt:i4>
      </vt:variant>
      <vt:variant>
        <vt:lpwstr/>
      </vt:variant>
      <vt:variant>
        <vt:lpwstr>_Toc175056205</vt:lpwstr>
      </vt:variant>
      <vt:variant>
        <vt:i4>1441843</vt:i4>
      </vt:variant>
      <vt:variant>
        <vt:i4>155</vt:i4>
      </vt:variant>
      <vt:variant>
        <vt:i4>0</vt:i4>
      </vt:variant>
      <vt:variant>
        <vt:i4>5</vt:i4>
      </vt:variant>
      <vt:variant>
        <vt:lpwstr/>
      </vt:variant>
      <vt:variant>
        <vt:lpwstr>_Toc175056204</vt:lpwstr>
      </vt:variant>
      <vt:variant>
        <vt:i4>1441843</vt:i4>
      </vt:variant>
      <vt:variant>
        <vt:i4>149</vt:i4>
      </vt:variant>
      <vt:variant>
        <vt:i4>0</vt:i4>
      </vt:variant>
      <vt:variant>
        <vt:i4>5</vt:i4>
      </vt:variant>
      <vt:variant>
        <vt:lpwstr/>
      </vt:variant>
      <vt:variant>
        <vt:lpwstr>_Toc175056203</vt:lpwstr>
      </vt:variant>
      <vt:variant>
        <vt:i4>1441843</vt:i4>
      </vt:variant>
      <vt:variant>
        <vt:i4>143</vt:i4>
      </vt:variant>
      <vt:variant>
        <vt:i4>0</vt:i4>
      </vt:variant>
      <vt:variant>
        <vt:i4>5</vt:i4>
      </vt:variant>
      <vt:variant>
        <vt:lpwstr/>
      </vt:variant>
      <vt:variant>
        <vt:lpwstr>_Toc175056202</vt:lpwstr>
      </vt:variant>
      <vt:variant>
        <vt:i4>1441843</vt:i4>
      </vt:variant>
      <vt:variant>
        <vt:i4>137</vt:i4>
      </vt:variant>
      <vt:variant>
        <vt:i4>0</vt:i4>
      </vt:variant>
      <vt:variant>
        <vt:i4>5</vt:i4>
      </vt:variant>
      <vt:variant>
        <vt:lpwstr/>
      </vt:variant>
      <vt:variant>
        <vt:lpwstr>_Toc175056201</vt:lpwstr>
      </vt:variant>
      <vt:variant>
        <vt:i4>1441843</vt:i4>
      </vt:variant>
      <vt:variant>
        <vt:i4>131</vt:i4>
      </vt:variant>
      <vt:variant>
        <vt:i4>0</vt:i4>
      </vt:variant>
      <vt:variant>
        <vt:i4>5</vt:i4>
      </vt:variant>
      <vt:variant>
        <vt:lpwstr/>
      </vt:variant>
      <vt:variant>
        <vt:lpwstr>_Toc175056200</vt:lpwstr>
      </vt:variant>
      <vt:variant>
        <vt:i4>2031664</vt:i4>
      </vt:variant>
      <vt:variant>
        <vt:i4>125</vt:i4>
      </vt:variant>
      <vt:variant>
        <vt:i4>0</vt:i4>
      </vt:variant>
      <vt:variant>
        <vt:i4>5</vt:i4>
      </vt:variant>
      <vt:variant>
        <vt:lpwstr/>
      </vt:variant>
      <vt:variant>
        <vt:lpwstr>_Toc175056199</vt:lpwstr>
      </vt:variant>
      <vt:variant>
        <vt:i4>2031664</vt:i4>
      </vt:variant>
      <vt:variant>
        <vt:i4>119</vt:i4>
      </vt:variant>
      <vt:variant>
        <vt:i4>0</vt:i4>
      </vt:variant>
      <vt:variant>
        <vt:i4>5</vt:i4>
      </vt:variant>
      <vt:variant>
        <vt:lpwstr/>
      </vt:variant>
      <vt:variant>
        <vt:lpwstr>_Toc175056198</vt:lpwstr>
      </vt:variant>
      <vt:variant>
        <vt:i4>2031664</vt:i4>
      </vt:variant>
      <vt:variant>
        <vt:i4>113</vt:i4>
      </vt:variant>
      <vt:variant>
        <vt:i4>0</vt:i4>
      </vt:variant>
      <vt:variant>
        <vt:i4>5</vt:i4>
      </vt:variant>
      <vt:variant>
        <vt:lpwstr/>
      </vt:variant>
      <vt:variant>
        <vt:lpwstr>_Toc175056197</vt:lpwstr>
      </vt:variant>
      <vt:variant>
        <vt:i4>2031664</vt:i4>
      </vt:variant>
      <vt:variant>
        <vt:i4>107</vt:i4>
      </vt:variant>
      <vt:variant>
        <vt:i4>0</vt:i4>
      </vt:variant>
      <vt:variant>
        <vt:i4>5</vt:i4>
      </vt:variant>
      <vt:variant>
        <vt:lpwstr/>
      </vt:variant>
      <vt:variant>
        <vt:lpwstr>_Toc175056196</vt:lpwstr>
      </vt:variant>
      <vt:variant>
        <vt:i4>2031664</vt:i4>
      </vt:variant>
      <vt:variant>
        <vt:i4>101</vt:i4>
      </vt:variant>
      <vt:variant>
        <vt:i4>0</vt:i4>
      </vt:variant>
      <vt:variant>
        <vt:i4>5</vt:i4>
      </vt:variant>
      <vt:variant>
        <vt:lpwstr/>
      </vt:variant>
      <vt:variant>
        <vt:lpwstr>_Toc175056195</vt:lpwstr>
      </vt:variant>
      <vt:variant>
        <vt:i4>2031664</vt:i4>
      </vt:variant>
      <vt:variant>
        <vt:i4>95</vt:i4>
      </vt:variant>
      <vt:variant>
        <vt:i4>0</vt:i4>
      </vt:variant>
      <vt:variant>
        <vt:i4>5</vt:i4>
      </vt:variant>
      <vt:variant>
        <vt:lpwstr/>
      </vt:variant>
      <vt:variant>
        <vt:lpwstr>_Toc175056194</vt:lpwstr>
      </vt:variant>
      <vt:variant>
        <vt:i4>2031664</vt:i4>
      </vt:variant>
      <vt:variant>
        <vt:i4>89</vt:i4>
      </vt:variant>
      <vt:variant>
        <vt:i4>0</vt:i4>
      </vt:variant>
      <vt:variant>
        <vt:i4>5</vt:i4>
      </vt:variant>
      <vt:variant>
        <vt:lpwstr/>
      </vt:variant>
      <vt:variant>
        <vt:lpwstr>_Toc175056193</vt:lpwstr>
      </vt:variant>
      <vt:variant>
        <vt:i4>2031664</vt:i4>
      </vt:variant>
      <vt:variant>
        <vt:i4>83</vt:i4>
      </vt:variant>
      <vt:variant>
        <vt:i4>0</vt:i4>
      </vt:variant>
      <vt:variant>
        <vt:i4>5</vt:i4>
      </vt:variant>
      <vt:variant>
        <vt:lpwstr/>
      </vt:variant>
      <vt:variant>
        <vt:lpwstr>_Toc175056192</vt:lpwstr>
      </vt:variant>
      <vt:variant>
        <vt:i4>2031664</vt:i4>
      </vt:variant>
      <vt:variant>
        <vt:i4>77</vt:i4>
      </vt:variant>
      <vt:variant>
        <vt:i4>0</vt:i4>
      </vt:variant>
      <vt:variant>
        <vt:i4>5</vt:i4>
      </vt:variant>
      <vt:variant>
        <vt:lpwstr/>
      </vt:variant>
      <vt:variant>
        <vt:lpwstr>_Toc175056191</vt:lpwstr>
      </vt:variant>
      <vt:variant>
        <vt:i4>2031664</vt:i4>
      </vt:variant>
      <vt:variant>
        <vt:i4>71</vt:i4>
      </vt:variant>
      <vt:variant>
        <vt:i4>0</vt:i4>
      </vt:variant>
      <vt:variant>
        <vt:i4>5</vt:i4>
      </vt:variant>
      <vt:variant>
        <vt:lpwstr/>
      </vt:variant>
      <vt:variant>
        <vt:lpwstr>_Toc175056190</vt:lpwstr>
      </vt:variant>
      <vt:variant>
        <vt:i4>1966128</vt:i4>
      </vt:variant>
      <vt:variant>
        <vt:i4>65</vt:i4>
      </vt:variant>
      <vt:variant>
        <vt:i4>0</vt:i4>
      </vt:variant>
      <vt:variant>
        <vt:i4>5</vt:i4>
      </vt:variant>
      <vt:variant>
        <vt:lpwstr/>
      </vt:variant>
      <vt:variant>
        <vt:lpwstr>_Toc175056189</vt:lpwstr>
      </vt:variant>
      <vt:variant>
        <vt:i4>1966128</vt:i4>
      </vt:variant>
      <vt:variant>
        <vt:i4>59</vt:i4>
      </vt:variant>
      <vt:variant>
        <vt:i4>0</vt:i4>
      </vt:variant>
      <vt:variant>
        <vt:i4>5</vt:i4>
      </vt:variant>
      <vt:variant>
        <vt:lpwstr/>
      </vt:variant>
      <vt:variant>
        <vt:lpwstr>_Toc175056188</vt:lpwstr>
      </vt:variant>
      <vt:variant>
        <vt:i4>1966128</vt:i4>
      </vt:variant>
      <vt:variant>
        <vt:i4>53</vt:i4>
      </vt:variant>
      <vt:variant>
        <vt:i4>0</vt:i4>
      </vt:variant>
      <vt:variant>
        <vt:i4>5</vt:i4>
      </vt:variant>
      <vt:variant>
        <vt:lpwstr/>
      </vt:variant>
      <vt:variant>
        <vt:lpwstr>_Toc175056187</vt:lpwstr>
      </vt:variant>
      <vt:variant>
        <vt:i4>1966128</vt:i4>
      </vt:variant>
      <vt:variant>
        <vt:i4>47</vt:i4>
      </vt:variant>
      <vt:variant>
        <vt:i4>0</vt:i4>
      </vt:variant>
      <vt:variant>
        <vt:i4>5</vt:i4>
      </vt:variant>
      <vt:variant>
        <vt:lpwstr/>
      </vt:variant>
      <vt:variant>
        <vt:lpwstr>_Toc175056186</vt:lpwstr>
      </vt:variant>
      <vt:variant>
        <vt:i4>1966128</vt:i4>
      </vt:variant>
      <vt:variant>
        <vt:i4>41</vt:i4>
      </vt:variant>
      <vt:variant>
        <vt:i4>0</vt:i4>
      </vt:variant>
      <vt:variant>
        <vt:i4>5</vt:i4>
      </vt:variant>
      <vt:variant>
        <vt:lpwstr/>
      </vt:variant>
      <vt:variant>
        <vt:lpwstr>_Toc175056185</vt:lpwstr>
      </vt:variant>
      <vt:variant>
        <vt:i4>1966128</vt:i4>
      </vt:variant>
      <vt:variant>
        <vt:i4>35</vt:i4>
      </vt:variant>
      <vt:variant>
        <vt:i4>0</vt:i4>
      </vt:variant>
      <vt:variant>
        <vt:i4>5</vt:i4>
      </vt:variant>
      <vt:variant>
        <vt:lpwstr/>
      </vt:variant>
      <vt:variant>
        <vt:lpwstr>_Toc175056184</vt:lpwstr>
      </vt:variant>
      <vt:variant>
        <vt:i4>1966128</vt:i4>
      </vt:variant>
      <vt:variant>
        <vt:i4>29</vt:i4>
      </vt:variant>
      <vt:variant>
        <vt:i4>0</vt:i4>
      </vt:variant>
      <vt:variant>
        <vt:i4>5</vt:i4>
      </vt:variant>
      <vt:variant>
        <vt:lpwstr/>
      </vt:variant>
      <vt:variant>
        <vt:lpwstr>_Toc175056183</vt:lpwstr>
      </vt:variant>
      <vt:variant>
        <vt:i4>1966128</vt:i4>
      </vt:variant>
      <vt:variant>
        <vt:i4>23</vt:i4>
      </vt:variant>
      <vt:variant>
        <vt:i4>0</vt:i4>
      </vt:variant>
      <vt:variant>
        <vt:i4>5</vt:i4>
      </vt:variant>
      <vt:variant>
        <vt:lpwstr/>
      </vt:variant>
      <vt:variant>
        <vt:lpwstr>_Toc175056182</vt:lpwstr>
      </vt:variant>
      <vt:variant>
        <vt:i4>1966128</vt:i4>
      </vt:variant>
      <vt:variant>
        <vt:i4>17</vt:i4>
      </vt:variant>
      <vt:variant>
        <vt:i4>0</vt:i4>
      </vt:variant>
      <vt:variant>
        <vt:i4>5</vt:i4>
      </vt:variant>
      <vt:variant>
        <vt:lpwstr/>
      </vt:variant>
      <vt:variant>
        <vt:lpwstr>_Toc175056181</vt:lpwstr>
      </vt:variant>
      <vt:variant>
        <vt:i4>5111827</vt:i4>
      </vt:variant>
      <vt:variant>
        <vt:i4>12</vt:i4>
      </vt:variant>
      <vt:variant>
        <vt:i4>0</vt:i4>
      </vt:variant>
      <vt:variant>
        <vt:i4>5</vt:i4>
      </vt:variant>
      <vt:variant>
        <vt:lpwstr>http://creativecommons.org/licenses/by/3.0/au/deed.en</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4456489</vt:i4>
      </vt:variant>
      <vt:variant>
        <vt:i4>6</vt:i4>
      </vt:variant>
      <vt:variant>
        <vt:i4>0</vt:i4>
      </vt:variant>
      <vt:variant>
        <vt:i4>5</vt:i4>
      </vt:variant>
      <vt:variant>
        <vt:lpwstr>mailto:CreativeServices@treasury.gov.au</vt:lpwstr>
      </vt:variant>
      <vt:variant>
        <vt:lpwstr/>
      </vt:variant>
      <vt:variant>
        <vt:i4>1835026</vt:i4>
      </vt:variant>
      <vt:variant>
        <vt:i4>3</vt:i4>
      </vt:variant>
      <vt:variant>
        <vt:i4>0</vt:i4>
      </vt:variant>
      <vt:variant>
        <vt:i4>5</vt:i4>
      </vt:variant>
      <vt:variant>
        <vt:lpwstr>https://www.w3.org/TR/WCAG20/</vt:lpwstr>
      </vt:variant>
      <vt:variant>
        <vt:lpwstr/>
      </vt:variant>
      <vt:variant>
        <vt:i4>6488072</vt:i4>
      </vt:variant>
      <vt:variant>
        <vt:i4>0</vt:i4>
      </vt:variant>
      <vt:variant>
        <vt:i4>0</vt:i4>
      </vt:variant>
      <vt:variant>
        <vt:i4>5</vt:i4>
      </vt:variant>
      <vt:variant>
        <vt:lpwstr>mailto:DigitalDelivery@treasury.gov.au</vt:lpwstr>
      </vt:variant>
      <vt:variant>
        <vt:lpwstr/>
      </vt:variant>
      <vt:variant>
        <vt:i4>6488106</vt:i4>
      </vt:variant>
      <vt:variant>
        <vt:i4>3</vt:i4>
      </vt:variant>
      <vt:variant>
        <vt:i4>0</vt:i4>
      </vt:variant>
      <vt:variant>
        <vt:i4>5</vt:i4>
      </vt:variant>
      <vt:variant>
        <vt:lpwstr>https://www.finance.gov.au/government/managing-commonwealth-resources/planning-and-reporting/commonwealth-performance-framework/commonwealth-evaluation-policy</vt:lpwstr>
      </vt:variant>
      <vt:variant>
        <vt:lpwstr/>
      </vt:variant>
      <vt:variant>
        <vt:i4>4063287</vt:i4>
      </vt:variant>
      <vt:variant>
        <vt:i4>0</vt:i4>
      </vt:variant>
      <vt:variant>
        <vt:i4>0</vt:i4>
      </vt:variant>
      <vt:variant>
        <vt:i4>5</vt:i4>
      </vt:variant>
      <vt:variant>
        <vt:lpwstr>https://www.finance.gov.au/government/managing-commonwealth-resources/structure-australian-government-public-sector/pgpa-act-flipchart-and-list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Centre for Evaluation Strategy</dc:title>
  <dc:subject/>
  <dc:creator/>
  <cp:keywords/>
  <dc:description/>
  <cp:lastModifiedBy/>
  <cp:revision>1</cp:revision>
  <dcterms:created xsi:type="dcterms:W3CDTF">2024-10-15T02:23:00Z</dcterms:created>
  <dcterms:modified xsi:type="dcterms:W3CDTF">2024-10-15T02:25:00Z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2024-10-15T02:25:00Z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bbdb71fb-72ad-401d-a1fb-a50be29e8681</vt:lpwstr>
  </property>
  <property fmtid="{D5CDD505-2E9C-101B-9397-08002B2CF9AE}" pid="8" name="MSIP_Label_4f932d64-9ab1-4d9b-81d2-a3a8b82dd47d_ContentBits">
    <vt:lpwstr>0</vt:lpwstr>
  </property>
</Properties>
</file>