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A56F" w14:textId="77777777" w:rsidR="000C2A48" w:rsidRDefault="00A24C47" w:rsidP="000C2A48">
      <w:r>
        <w:rPr>
          <w:noProof/>
          <w:lang w:eastAsia="en-AU"/>
        </w:rPr>
        <mc:AlternateContent>
          <mc:Choice Requires="wpg">
            <w:drawing>
              <wp:anchor distT="0" distB="0" distL="114300" distR="114300" simplePos="0" relativeHeight="251658241" behindDoc="0" locked="0" layoutInCell="1" allowOverlap="1" wp14:anchorId="20474D9C" wp14:editId="6A792CEA">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760B993A" w14:textId="77777777" w:rsidR="00A8200F" w:rsidRDefault="00A8200F"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0474D9C" id="Group 10" o:spid="_x0000_s1026" style="position:absolute;margin-left:-26.95pt;margin-top:-79.75pt;width:203.85pt;height:65.2pt;z-index:251658241;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60B993A" w14:textId="77777777" w:rsidR="00A8200F" w:rsidRDefault="00A8200F"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Pr>
          <w:noProof/>
          <w:lang w:eastAsia="en-AU"/>
        </w:rPr>
        <w:drawing>
          <wp:anchor distT="0" distB="0" distL="114300" distR="114300" simplePos="0" relativeHeight="251658240" behindDoc="1" locked="0" layoutInCell="1" allowOverlap="1" wp14:anchorId="45BD05A4" wp14:editId="7F8E4F59">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p w14:paraId="3C827CC0" w14:textId="60484D96" w:rsidR="004E058F" w:rsidRDefault="587384A8" w:rsidP="0066130F">
      <w:pPr>
        <w:pStyle w:val="Title"/>
        <w:spacing w:before="3600"/>
        <w:ind w:left="3969"/>
        <w:jc w:val="left"/>
        <w:outlineLvl w:val="9"/>
        <w:rPr>
          <w:color w:val="FFFFFF" w:themeColor="background1"/>
          <w:sz w:val="48"/>
          <w:szCs w:val="48"/>
        </w:rPr>
      </w:pPr>
      <w:r w:rsidRPr="2798AF85">
        <w:rPr>
          <w:color w:val="FFFFFF" w:themeColor="background1"/>
          <w:sz w:val="48"/>
          <w:szCs w:val="48"/>
        </w:rPr>
        <w:t>Pre-</w:t>
      </w:r>
      <w:r w:rsidR="58A6E58A" w:rsidRPr="2798AF85">
        <w:rPr>
          <w:color w:val="FFFFFF" w:themeColor="background1"/>
          <w:sz w:val="48"/>
          <w:szCs w:val="48"/>
        </w:rPr>
        <w:t>a</w:t>
      </w:r>
      <w:r w:rsidR="49D091D1" w:rsidRPr="2798AF85">
        <w:rPr>
          <w:color w:val="FFFFFF" w:themeColor="background1"/>
          <w:sz w:val="48"/>
          <w:szCs w:val="48"/>
        </w:rPr>
        <w:t xml:space="preserve">nalysis </w:t>
      </w:r>
      <w:r w:rsidR="112D406B" w:rsidRPr="2798AF85">
        <w:rPr>
          <w:color w:val="FFFFFF" w:themeColor="background1"/>
          <w:sz w:val="48"/>
          <w:szCs w:val="48"/>
        </w:rPr>
        <w:t>p</w:t>
      </w:r>
      <w:r w:rsidR="49D091D1" w:rsidRPr="2798AF85">
        <w:rPr>
          <w:color w:val="FFFFFF" w:themeColor="background1"/>
          <w:sz w:val="48"/>
          <w:szCs w:val="48"/>
        </w:rPr>
        <w:t xml:space="preserve">lan: </w:t>
      </w:r>
      <w:r w:rsidR="00A36A44" w:rsidRPr="2798AF85">
        <w:rPr>
          <w:color w:val="FFFFFF" w:themeColor="background1"/>
          <w:sz w:val="48"/>
          <w:szCs w:val="48"/>
        </w:rPr>
        <w:t xml:space="preserve">[Insert name of </w:t>
      </w:r>
      <w:r w:rsidR="422DCB82" w:rsidRPr="2798AF85">
        <w:rPr>
          <w:color w:val="FFFFFF" w:themeColor="background1"/>
          <w:sz w:val="48"/>
          <w:szCs w:val="48"/>
        </w:rPr>
        <w:t xml:space="preserve">policy </w:t>
      </w:r>
      <w:r w:rsidR="00A36A44" w:rsidRPr="2798AF85">
        <w:rPr>
          <w:color w:val="FFFFFF" w:themeColor="background1"/>
          <w:sz w:val="48"/>
          <w:szCs w:val="48"/>
        </w:rPr>
        <w:t xml:space="preserve">or </w:t>
      </w:r>
      <w:r w:rsidR="422DCB82" w:rsidRPr="2798AF85">
        <w:rPr>
          <w:color w:val="FFFFFF" w:themeColor="background1"/>
          <w:sz w:val="48"/>
          <w:szCs w:val="48"/>
        </w:rPr>
        <w:t>program</w:t>
      </w:r>
      <w:r w:rsidR="00A36A44" w:rsidRPr="2798AF85">
        <w:rPr>
          <w:color w:val="FFFFFF" w:themeColor="background1"/>
          <w:sz w:val="48"/>
          <w:szCs w:val="48"/>
        </w:rPr>
        <w:t xml:space="preserve"> being evaluated]</w:t>
      </w:r>
      <w:r>
        <w:br/>
      </w:r>
    </w:p>
    <w:p w14:paraId="00604E1D" w14:textId="77777777" w:rsidR="00A8200F" w:rsidRDefault="00A8200F" w:rsidP="00A8200F"/>
    <w:p w14:paraId="09A157AD" w14:textId="77777777" w:rsidR="00A8200F" w:rsidRPr="00A8200F" w:rsidRDefault="00A8200F" w:rsidP="00A8200F">
      <w:pPr>
        <w:pStyle w:val="Subtitle"/>
        <w:jc w:val="left"/>
      </w:pPr>
    </w:p>
    <w:p w14:paraId="0DAD309D" w14:textId="77777777" w:rsidR="00A83C6D" w:rsidRPr="00A83C6D" w:rsidRDefault="00A83C6D" w:rsidP="00A83C6D">
      <w:pPr>
        <w:pStyle w:val="Subtitle"/>
      </w:pPr>
    </w:p>
    <w:p w14:paraId="482EB1B2" w14:textId="77777777" w:rsidR="006C4DD1" w:rsidRDefault="006C4DD1" w:rsidP="006C4DD1"/>
    <w:p w14:paraId="4263CCDF" w14:textId="77777777" w:rsidR="005D3E0C" w:rsidRDefault="005D3E0C" w:rsidP="006C4DD1">
      <w:pPr>
        <w:sectPr w:rsidR="005D3E0C" w:rsidSect="005D3E0C">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4F4693A6" w14:textId="77777777" w:rsidR="00504DCD" w:rsidRDefault="00504DCD" w:rsidP="00A36A44">
      <w:pPr>
        <w:pStyle w:val="TableSourceNotes"/>
        <w:spacing w:before="0"/>
      </w:pPr>
    </w:p>
    <w:p w14:paraId="4B52594A" w14:textId="77777777" w:rsidR="004B191B" w:rsidRDefault="004B191B" w:rsidP="004B191B">
      <w:pPr>
        <w:rPr>
          <w:b/>
          <w:sz w:val="19"/>
        </w:rPr>
      </w:pPr>
    </w:p>
    <w:p w14:paraId="313851B6" w14:textId="77777777" w:rsidR="004B191B" w:rsidRDefault="004B191B" w:rsidP="004B191B">
      <w:pPr>
        <w:rPr>
          <w:b/>
          <w:sz w:val="19"/>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4B191B" w:rsidRPr="001333D4" w14:paraId="7B9FA501" w14:textId="77777777" w:rsidTr="005531F9">
        <w:tc>
          <w:tcPr>
            <w:tcW w:w="9047" w:type="dxa"/>
            <w:tcMar>
              <w:top w:w="227" w:type="dxa"/>
              <w:left w:w="227" w:type="dxa"/>
              <w:bottom w:w="227" w:type="dxa"/>
              <w:right w:w="227" w:type="dxa"/>
            </w:tcMar>
          </w:tcPr>
          <w:p w14:paraId="58A38730" w14:textId="77777777" w:rsidR="004B191B" w:rsidRDefault="004B191B" w:rsidP="005531F9">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14860EA3" w14:textId="77777777" w:rsidR="004B191B" w:rsidRPr="001333D4" w:rsidRDefault="004B191B" w:rsidP="005531F9">
            <w:pPr>
              <w:spacing w:before="120" w:line="276" w:lineRule="auto"/>
              <w:rPr>
                <w:color w:val="062D4A"/>
                <w:sz w:val="16"/>
              </w:rPr>
            </w:pPr>
            <w:r w:rsidRPr="001333D4">
              <w:rPr>
                <w:color w:val="062D4A"/>
                <w:sz w:val="16"/>
              </w:rPr>
              <w:t xml:space="preserve">The </w:t>
            </w:r>
            <w:hyperlink r:id="rId17"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75EC40A7" w14:textId="77777777" w:rsidR="004B191B" w:rsidRPr="001333D4" w:rsidRDefault="004B191B" w:rsidP="005531F9">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037944C7" w14:textId="77777777" w:rsidR="004B191B" w:rsidRPr="001333D4" w:rsidRDefault="004B191B" w:rsidP="005531F9">
            <w:pPr>
              <w:spacing w:before="120" w:line="276" w:lineRule="auto"/>
              <w:rPr>
                <w:color w:val="062D4A"/>
                <w:sz w:val="16"/>
              </w:rPr>
            </w:pPr>
            <w:r w:rsidRPr="001333D4">
              <w:rPr>
                <w:color w:val="062D4A"/>
                <w:sz w:val="16"/>
              </w:rPr>
              <w:t xml:space="preserve">The templates can be used to </w:t>
            </w:r>
            <w:r>
              <w:rPr>
                <w:color w:val="062D4A"/>
                <w:sz w:val="16"/>
              </w:rPr>
              <w:t xml:space="preserve">document how you </w:t>
            </w:r>
            <w:r w:rsidRPr="001333D4">
              <w:rPr>
                <w:color w:val="062D4A"/>
                <w:sz w:val="16"/>
              </w:rPr>
              <w:t xml:space="preserve">plan </w:t>
            </w:r>
            <w:r>
              <w:rPr>
                <w:color w:val="062D4A"/>
                <w:sz w:val="16"/>
              </w:rPr>
              <w:t xml:space="preserve">to </w:t>
            </w:r>
            <w:r w:rsidRPr="001333D4">
              <w:rPr>
                <w:color w:val="062D4A"/>
                <w:sz w:val="16"/>
              </w:rPr>
              <w:t>conduct an evaluation, or to strengthen routine performance measurement approaches</w:t>
            </w:r>
            <w:r>
              <w:rPr>
                <w:color w:val="062D4A"/>
                <w:sz w:val="16"/>
              </w:rPr>
              <w:t xml:space="preserve">. They </w:t>
            </w:r>
            <w:r w:rsidRPr="001333D4">
              <w:rPr>
                <w:color w:val="062D4A"/>
                <w:sz w:val="16"/>
              </w:rPr>
              <w:t>are organised around the three stages typically involved in an evaluative activity:</w:t>
            </w:r>
          </w:p>
          <w:p w14:paraId="5E502E61" w14:textId="77777777" w:rsidR="004B191B" w:rsidRPr="001333D4" w:rsidRDefault="004B191B" w:rsidP="005531F9">
            <w:pPr>
              <w:pStyle w:val="Bullet1"/>
              <w:spacing w:before="0" w:after="0" w:line="276" w:lineRule="auto"/>
              <w:rPr>
                <w:color w:val="062D4A"/>
                <w:sz w:val="16"/>
              </w:rPr>
            </w:pPr>
            <w:r w:rsidRPr="001333D4">
              <w:rPr>
                <w:noProof/>
                <w:sz w:val="16"/>
                <w:lang w:eastAsia="en-AU"/>
              </w:rPr>
              <w:drawing>
                <wp:anchor distT="0" distB="0" distL="114300" distR="114300" simplePos="0" relativeHeight="251660289" behindDoc="0" locked="0" layoutInCell="1" allowOverlap="1" wp14:anchorId="2C85F89A" wp14:editId="2A9EF321">
                  <wp:simplePos x="0" y="0"/>
                  <wp:positionH relativeFrom="column">
                    <wp:posOffset>3969385</wp:posOffset>
                  </wp:positionH>
                  <wp:positionV relativeFrom="paragraph">
                    <wp:posOffset>81915</wp:posOffset>
                  </wp:positionV>
                  <wp:extent cx="1327785" cy="1005205"/>
                  <wp:effectExtent l="0" t="0" r="5715" b="4445"/>
                  <wp:wrapThrough wrapText="bothSides">
                    <wp:wrapPolygon edited="0">
                      <wp:start x="310" y="0"/>
                      <wp:lineTo x="0" y="1228"/>
                      <wp:lineTo x="0" y="20467"/>
                      <wp:lineTo x="2789" y="21286"/>
                      <wp:lineTo x="4648" y="21286"/>
                      <wp:lineTo x="14565" y="21286"/>
                      <wp:lineTo x="21383" y="21286"/>
                      <wp:lineTo x="21383" y="0"/>
                      <wp:lineTo x="31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7785" cy="1005205"/>
                          </a:xfrm>
                          <a:prstGeom prst="rect">
                            <a:avLst/>
                          </a:prstGeom>
                        </pic:spPr>
                      </pic:pic>
                    </a:graphicData>
                  </a:graphic>
                  <wp14:sizeRelH relativeFrom="margin">
                    <wp14:pctWidth>0</wp14:pctWidth>
                  </wp14:sizeRelH>
                </wp:anchor>
              </w:drawing>
            </w:r>
            <w:r w:rsidRPr="001333D4">
              <w:rPr>
                <w:color w:val="062D4A"/>
                <w:sz w:val="16"/>
              </w:rPr>
              <w:t>Planning and budgeting (steps 1, 2 &amp; 3)</w:t>
            </w:r>
            <w:r w:rsidRPr="001333D4">
              <w:rPr>
                <w:noProof/>
                <w:sz w:val="16"/>
                <w:lang w:eastAsia="en-AU"/>
              </w:rPr>
              <w:t xml:space="preserve"> </w:t>
            </w:r>
          </w:p>
          <w:p w14:paraId="45101FE5" w14:textId="77777777" w:rsidR="004B191B" w:rsidRPr="001333D4" w:rsidRDefault="004B191B" w:rsidP="005531F9">
            <w:pPr>
              <w:pStyle w:val="Bullet1"/>
              <w:spacing w:before="0" w:after="0" w:line="276" w:lineRule="auto"/>
              <w:rPr>
                <w:color w:val="062D4A"/>
                <w:sz w:val="16"/>
              </w:rPr>
            </w:pPr>
            <w:r w:rsidRPr="001333D4">
              <w:rPr>
                <w:color w:val="062D4A"/>
                <w:sz w:val="16"/>
              </w:rPr>
              <w:t>Measuring and assessing (steps 4, 5 &amp; 6)</w:t>
            </w:r>
          </w:p>
          <w:p w14:paraId="16A47A2C" w14:textId="77777777" w:rsidR="004B191B" w:rsidRPr="001333D4" w:rsidRDefault="004B191B" w:rsidP="005531F9">
            <w:pPr>
              <w:pStyle w:val="Bullet1"/>
              <w:spacing w:before="0" w:after="0" w:line="276" w:lineRule="auto"/>
              <w:rPr>
                <w:color w:val="062D4A"/>
                <w:sz w:val="16"/>
              </w:rPr>
            </w:pPr>
            <w:r w:rsidRPr="001333D4">
              <w:rPr>
                <w:color w:val="062D4A"/>
                <w:sz w:val="16"/>
              </w:rPr>
              <w:t xml:space="preserve">Reporting and being accountable (steps 7 &amp; 8) </w:t>
            </w:r>
          </w:p>
          <w:p w14:paraId="3EEFA5A1" w14:textId="77777777" w:rsidR="004B191B" w:rsidRDefault="004B191B" w:rsidP="005531F9">
            <w:pPr>
              <w:spacing w:before="120" w:line="276" w:lineRule="auto"/>
              <w:rPr>
                <w:color w:val="062D4A"/>
                <w:sz w:val="16"/>
              </w:rPr>
            </w:pPr>
            <w:r>
              <w:rPr>
                <w:color w:val="062D4A"/>
                <w:sz w:val="16"/>
              </w:rPr>
              <w:t xml:space="preserve">More information about the stages and steps involved in an evaluative activity is available on the </w:t>
            </w:r>
            <w:r w:rsidRPr="001333D4">
              <w:rPr>
                <w:color w:val="062D4A"/>
                <w:sz w:val="16"/>
              </w:rPr>
              <w:t>"</w:t>
            </w:r>
            <w:hyperlink r:id="rId19" w:history="1">
              <w:r w:rsidRPr="001333D4">
                <w:rPr>
                  <w:rStyle w:val="Hyperlink"/>
                  <w:rFonts w:cstheme="minorBidi"/>
                  <w:color w:val="062D4A"/>
                  <w:sz w:val="16"/>
                </w:rPr>
                <w:t>How to evaluate</w:t>
              </w:r>
            </w:hyperlink>
            <w:r w:rsidRPr="001333D4">
              <w:rPr>
                <w:color w:val="062D4A"/>
                <w:sz w:val="16"/>
              </w:rPr>
              <w:t xml:space="preserve">" </w:t>
            </w:r>
            <w:r>
              <w:rPr>
                <w:color w:val="062D4A"/>
                <w:sz w:val="16"/>
              </w:rPr>
              <w:t xml:space="preserve">page in the Toolkit. </w:t>
            </w:r>
          </w:p>
          <w:p w14:paraId="0AB1DB72" w14:textId="77777777" w:rsidR="004B191B" w:rsidRPr="001333D4" w:rsidRDefault="004B191B" w:rsidP="005531F9">
            <w:pPr>
              <w:spacing w:before="120" w:line="276" w:lineRule="auto"/>
              <w:rPr>
                <w:color w:val="062D4A"/>
                <w:sz w:val="16"/>
              </w:rPr>
            </w:pPr>
            <w:r w:rsidRPr="001333D4">
              <w:rPr>
                <w:color w:val="062D4A"/>
                <w:sz w:val="16"/>
              </w:rPr>
              <w:t xml:space="preserve">The </w:t>
            </w:r>
            <w:hyperlink r:id="rId20" w:history="1">
              <w:r w:rsidRPr="001333D4">
                <w:rPr>
                  <w:rStyle w:val="Hyperlink"/>
                  <w:rFonts w:cstheme="minorBidi"/>
                  <w:color w:val="062D4A"/>
                  <w:sz w:val="16"/>
                </w:rPr>
                <w:t>tools and additional resources</w:t>
              </w:r>
            </w:hyperlink>
            <w:r w:rsidRPr="001333D4">
              <w:rPr>
                <w:color w:val="062D4A"/>
                <w:sz w:val="16"/>
              </w:rPr>
              <w:t xml:space="preserve"> in the Toolkit </w:t>
            </w:r>
            <w:r>
              <w:rPr>
                <w:color w:val="062D4A"/>
                <w:sz w:val="16"/>
              </w:rPr>
              <w:t xml:space="preserve">also </w:t>
            </w:r>
            <w:r w:rsidRPr="001333D4">
              <w:rPr>
                <w:color w:val="062D4A"/>
                <w:sz w:val="16"/>
              </w:rPr>
              <w:t xml:space="preserve">provide further guidance and examples on </w:t>
            </w:r>
            <w:r>
              <w:rPr>
                <w:color w:val="062D4A"/>
                <w:sz w:val="16"/>
              </w:rPr>
              <w:t xml:space="preserve">how to complete </w:t>
            </w:r>
            <w:r w:rsidRPr="001333D4">
              <w:rPr>
                <w:color w:val="062D4A"/>
                <w:sz w:val="16"/>
              </w:rPr>
              <w:t xml:space="preserve">specific </w:t>
            </w:r>
            <w:r>
              <w:rPr>
                <w:color w:val="062D4A"/>
                <w:sz w:val="16"/>
              </w:rPr>
              <w:t>evaluative activities and tasks</w:t>
            </w:r>
            <w:r w:rsidRPr="001333D4">
              <w:rPr>
                <w:color w:val="062D4A"/>
                <w:sz w:val="16"/>
              </w:rPr>
              <w:t>.</w:t>
            </w:r>
          </w:p>
          <w:p w14:paraId="643C629A" w14:textId="77777777" w:rsidR="004B191B" w:rsidRPr="001333D4" w:rsidRDefault="004B191B" w:rsidP="005531F9">
            <w:pPr>
              <w:pStyle w:val="TableSourceNotes"/>
              <w:spacing w:after="0"/>
              <w:ind w:left="0" w:firstLine="0"/>
              <w:rPr>
                <w:sz w:val="16"/>
              </w:rPr>
            </w:pPr>
            <w:r w:rsidRPr="001333D4">
              <w:rPr>
                <w:color w:val="F15A22"/>
                <w:sz w:val="16"/>
              </w:rPr>
              <w:t>[ REMEMBER TO DELETE THESE REFERENCE NOTES BEFORE FINALISING YOUR DOCUMENT ]</w:t>
            </w:r>
          </w:p>
        </w:tc>
      </w:tr>
    </w:tbl>
    <w:p w14:paraId="368A0941" w14:textId="77777777" w:rsidR="004B191B" w:rsidRDefault="004B191B" w:rsidP="004B191B">
      <w:pPr>
        <w:pStyle w:val="TableSourceNotes"/>
        <w:spacing w:before="0"/>
      </w:pPr>
    </w:p>
    <w:p w14:paraId="6891E00C" w14:textId="77777777" w:rsidR="004B191B" w:rsidRDefault="004B191B" w:rsidP="004B191B">
      <w:pPr>
        <w:pStyle w:val="TableSourceNotes"/>
        <w:spacing w:before="0"/>
      </w:pPr>
    </w:p>
    <w:p w14:paraId="3F4D199B" w14:textId="77777777" w:rsidR="004B191B" w:rsidRDefault="004B191B" w:rsidP="004B191B">
      <w:pPr>
        <w:pStyle w:val="TableSourceNotes"/>
        <w:spacing w:before="0"/>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4B191B" w:rsidRPr="001333D4" w14:paraId="1B817180" w14:textId="77777777" w:rsidTr="005531F9">
        <w:tc>
          <w:tcPr>
            <w:tcW w:w="9047" w:type="dxa"/>
            <w:tcMar>
              <w:top w:w="227" w:type="dxa"/>
              <w:left w:w="227" w:type="dxa"/>
              <w:bottom w:w="227" w:type="dxa"/>
              <w:right w:w="227" w:type="dxa"/>
            </w:tcMar>
          </w:tcPr>
          <w:p w14:paraId="0BDC22B5" w14:textId="77777777" w:rsidR="004B191B" w:rsidRPr="001333D4" w:rsidRDefault="004B191B" w:rsidP="005531F9">
            <w:pPr>
              <w:spacing w:before="0" w:line="276" w:lineRule="auto"/>
              <w:rPr>
                <w:b/>
                <w:color w:val="062D4A"/>
                <w:sz w:val="16"/>
              </w:rPr>
            </w:pPr>
            <w:r>
              <w:rPr>
                <w:b/>
                <w:color w:val="062D4A"/>
                <w:sz w:val="16"/>
              </w:rPr>
              <w:t>A comprehensive</w:t>
            </w:r>
            <w:r w:rsidRPr="001333D4">
              <w:rPr>
                <w:b/>
                <w:color w:val="062D4A"/>
                <w:sz w:val="16"/>
              </w:rPr>
              <w:t xml:space="preserve"> set of templates </w:t>
            </w:r>
            <w:r>
              <w:rPr>
                <w:b/>
                <w:color w:val="062D4A"/>
                <w:sz w:val="16"/>
              </w:rPr>
              <w:t xml:space="preserve">is </w:t>
            </w:r>
            <w:r w:rsidRPr="001333D4">
              <w:rPr>
                <w:b/>
                <w:color w:val="062D4A"/>
                <w:sz w:val="16"/>
              </w:rPr>
              <w:t xml:space="preserve">available in the Commonwealth Evaluation Toolkit: </w:t>
            </w:r>
            <w:r w:rsidRPr="001333D4">
              <w:rPr>
                <w:color w:val="062D4A"/>
                <w:sz w:val="16"/>
              </w:rPr>
              <w:t xml:space="preserve">These </w:t>
            </w:r>
            <w:hyperlink r:id="rId21" w:history="1">
              <w:r w:rsidRPr="00195551">
                <w:rPr>
                  <w:rStyle w:val="Hyperlink"/>
                  <w:rFonts w:cstheme="minorBidi"/>
                  <w:sz w:val="16"/>
                </w:rPr>
                <w:t>templates</w:t>
              </w:r>
            </w:hyperlink>
            <w:r w:rsidRPr="001333D4">
              <w:rPr>
                <w:color w:val="062D4A"/>
                <w:sz w:val="16"/>
              </w:rPr>
              <w:t xml:space="preserve"> can be used to help </w:t>
            </w:r>
            <w:r>
              <w:rPr>
                <w:color w:val="062D4A"/>
                <w:sz w:val="16"/>
              </w:rPr>
              <w:t xml:space="preserve">document how you plan to evaluate, measure, </w:t>
            </w:r>
            <w:r w:rsidRPr="001333D4">
              <w:rPr>
                <w:color w:val="062D4A"/>
                <w:sz w:val="16"/>
              </w:rPr>
              <w:t xml:space="preserve">assess </w:t>
            </w:r>
            <w:r>
              <w:rPr>
                <w:color w:val="062D4A"/>
                <w:sz w:val="16"/>
              </w:rPr>
              <w:t xml:space="preserve">and report on </w:t>
            </w:r>
            <w:r w:rsidRPr="001333D4">
              <w:rPr>
                <w:color w:val="062D4A"/>
                <w:sz w:val="16"/>
              </w:rPr>
              <w:t>the effectiveness, efficiency and/or appropriateness of government programs and activities. Use of these templates is NOT mandatory.</w:t>
            </w:r>
          </w:p>
          <w:p w14:paraId="172C339A" w14:textId="77777777" w:rsidR="004B191B" w:rsidRPr="001333D4" w:rsidRDefault="004B191B" w:rsidP="005531F9">
            <w:pPr>
              <w:numPr>
                <w:ilvl w:val="0"/>
                <w:numId w:val="23"/>
              </w:numPr>
              <w:spacing w:before="0" w:line="276" w:lineRule="auto"/>
              <w:rPr>
                <w:b/>
                <w:color w:val="062D4A"/>
                <w:sz w:val="16"/>
              </w:rPr>
            </w:pPr>
            <w:r w:rsidRPr="001333D4">
              <w:rPr>
                <w:b/>
                <w:color w:val="062D4A"/>
                <w:sz w:val="16"/>
              </w:rPr>
              <w:t xml:space="preserve">Planning and budgeting </w:t>
            </w:r>
          </w:p>
          <w:p w14:paraId="15C4571E"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1 | Theory of change (outcome mapping)</w:t>
            </w:r>
          </w:p>
          <w:p w14:paraId="284EC7E8"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2 | Program logic </w:t>
            </w:r>
          </w:p>
          <w:p w14:paraId="7157D6FC"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3 | Evaluation framework (program)</w:t>
            </w:r>
          </w:p>
          <w:p w14:paraId="51DF7B3B"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4 | Evaluation terms of reference</w:t>
            </w:r>
          </w:p>
          <w:p w14:paraId="05875FAD"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5 | Evaluation plan</w:t>
            </w:r>
          </w:p>
          <w:p w14:paraId="356E3023" w14:textId="77777777" w:rsidR="004B191B" w:rsidRDefault="004B191B" w:rsidP="005531F9">
            <w:pPr>
              <w:numPr>
                <w:ilvl w:val="1"/>
                <w:numId w:val="23"/>
              </w:numPr>
              <w:spacing w:before="0" w:after="0" w:line="276" w:lineRule="auto"/>
              <w:rPr>
                <w:color w:val="062D4A"/>
                <w:sz w:val="16"/>
              </w:rPr>
            </w:pPr>
            <w:r w:rsidRPr="007C62D3">
              <w:rPr>
                <w:color w:val="062D4A"/>
                <w:sz w:val="16"/>
              </w:rPr>
              <w:t>Template 6 | Identifying stakeholders and their roles in an evaluation</w:t>
            </w:r>
          </w:p>
          <w:p w14:paraId="5F3982B5" w14:textId="77777777" w:rsidR="004B191B" w:rsidRPr="001333D4" w:rsidRDefault="004B191B" w:rsidP="005531F9">
            <w:pPr>
              <w:numPr>
                <w:ilvl w:val="0"/>
                <w:numId w:val="23"/>
              </w:numPr>
              <w:spacing w:before="60" w:line="276" w:lineRule="auto"/>
              <w:rPr>
                <w:b/>
                <w:color w:val="062D4A"/>
                <w:sz w:val="16"/>
              </w:rPr>
            </w:pPr>
            <w:r w:rsidRPr="001333D4">
              <w:rPr>
                <w:b/>
                <w:color w:val="062D4A"/>
                <w:sz w:val="16"/>
              </w:rPr>
              <w:t xml:space="preserve">Measuring and assessing </w:t>
            </w:r>
          </w:p>
          <w:p w14:paraId="3C584B59"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7 | Data evaluation matrix</w:t>
            </w:r>
          </w:p>
          <w:p w14:paraId="224F56E5" w14:textId="77777777" w:rsidR="004B191B" w:rsidRPr="001333D4" w:rsidRDefault="004B191B" w:rsidP="005531F9">
            <w:pPr>
              <w:numPr>
                <w:ilvl w:val="1"/>
                <w:numId w:val="23"/>
              </w:numPr>
              <w:spacing w:before="0" w:after="0" w:line="276" w:lineRule="auto"/>
              <w:rPr>
                <w:color w:val="062D4A"/>
                <w:sz w:val="16"/>
                <w:szCs w:val="16"/>
              </w:rPr>
            </w:pPr>
            <w:r w:rsidRPr="5A2C5880">
              <w:rPr>
                <w:color w:val="062D4A"/>
                <w:sz w:val="16"/>
                <w:szCs w:val="16"/>
              </w:rPr>
              <w:t>Template 8 | Data sharing agreement (Sourced from ONDC: Data sharing agreement ONDC (datacommissioner.gov.au))</w:t>
            </w:r>
          </w:p>
          <w:p w14:paraId="58C5668E" w14:textId="77777777" w:rsidR="004B191B" w:rsidRPr="001333D4" w:rsidRDefault="004B191B" w:rsidP="005531F9">
            <w:pPr>
              <w:numPr>
                <w:ilvl w:val="0"/>
                <w:numId w:val="23"/>
              </w:numPr>
              <w:spacing w:before="60" w:line="276" w:lineRule="auto"/>
              <w:rPr>
                <w:b/>
                <w:color w:val="062D4A"/>
                <w:sz w:val="16"/>
              </w:rPr>
            </w:pPr>
            <w:r w:rsidRPr="001333D4">
              <w:rPr>
                <w:b/>
                <w:color w:val="062D4A"/>
                <w:sz w:val="16"/>
              </w:rPr>
              <w:t>Reporting and being accountable</w:t>
            </w:r>
          </w:p>
          <w:p w14:paraId="27FC4DD9"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9 | Evaluation report</w:t>
            </w:r>
          </w:p>
          <w:p w14:paraId="154345C4"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10 | Evaluation action plan</w:t>
            </w:r>
          </w:p>
          <w:p w14:paraId="50D83210" w14:textId="77777777" w:rsidR="004B191B" w:rsidRPr="001333D4" w:rsidRDefault="004B191B" w:rsidP="005531F9">
            <w:pPr>
              <w:numPr>
                <w:ilvl w:val="1"/>
                <w:numId w:val="23"/>
              </w:numPr>
              <w:spacing w:before="0" w:after="0" w:line="276" w:lineRule="auto"/>
              <w:rPr>
                <w:color w:val="062D4A"/>
                <w:sz w:val="16"/>
              </w:rPr>
            </w:pPr>
            <w:r w:rsidRPr="007C62D3">
              <w:rPr>
                <w:color w:val="062D4A"/>
                <w:sz w:val="16"/>
              </w:rPr>
              <w:t>Template 11 | Evaluation closure report</w:t>
            </w:r>
          </w:p>
          <w:p w14:paraId="1105830E" w14:textId="77777777" w:rsidR="004B191B" w:rsidRPr="001333D4" w:rsidRDefault="004B191B" w:rsidP="005531F9">
            <w:pPr>
              <w:pStyle w:val="TableSourceNotes"/>
              <w:spacing w:after="0"/>
              <w:ind w:left="0" w:firstLine="0"/>
              <w:rPr>
                <w:sz w:val="16"/>
              </w:rPr>
            </w:pPr>
            <w:r w:rsidRPr="001333D4" w:rsidDel="00132970">
              <w:rPr>
                <w:i/>
                <w:color w:val="808080" w:themeColor="background1" w:themeShade="80"/>
                <w:sz w:val="16"/>
              </w:rPr>
              <w:t xml:space="preserve"> </w:t>
            </w:r>
            <w:r w:rsidRPr="001333D4">
              <w:rPr>
                <w:color w:val="F15A22"/>
                <w:sz w:val="16"/>
              </w:rPr>
              <w:t>[ REMEMBER TO DELETE THESE REFERENCE NOTES BEFORE FINALISING YOUR DOCUMENT ]</w:t>
            </w:r>
          </w:p>
        </w:tc>
      </w:tr>
    </w:tbl>
    <w:p w14:paraId="4FEC04EE" w14:textId="77777777" w:rsidR="004B191B" w:rsidRDefault="004B191B" w:rsidP="004B191B">
      <w:pPr>
        <w:suppressAutoHyphens w:val="0"/>
        <w:spacing w:before="0" w:after="120" w:line="440" w:lineRule="atLeast"/>
        <w:rPr>
          <w:b/>
          <w:color w:val="F15A22" w:themeColor="accent6"/>
          <w:spacing w:val="20"/>
          <w:lang w:val="en-US"/>
        </w:rPr>
      </w:pPr>
      <w:r>
        <w:rPr>
          <w:b/>
          <w:color w:val="F15A22" w:themeColor="accent6"/>
          <w:spacing w:val="20"/>
          <w:lang w:val="en-US"/>
        </w:rPr>
        <w:br w:type="page"/>
      </w:r>
    </w:p>
    <w:p w14:paraId="560041C3" w14:textId="1EAE6B7D" w:rsidR="00E109E1" w:rsidRDefault="003522DC" w:rsidP="002611AB">
      <w:pPr>
        <w:tabs>
          <w:tab w:val="right" w:pos="9070"/>
        </w:tabs>
      </w:pPr>
      <w:r>
        <w:rPr>
          <w:b/>
          <w:color w:val="F15A22" w:themeColor="accent6"/>
          <w:spacing w:val="20"/>
          <w:lang w:val="en-US"/>
        </w:rPr>
        <w:lastRenderedPageBreak/>
        <w:t xml:space="preserve">PRE-ANALYSIS PLAN </w:t>
      </w:r>
      <w:r w:rsidRPr="00E15549">
        <w:rPr>
          <w:b/>
          <w:color w:val="F15A22" w:themeColor="accent6"/>
          <w:spacing w:val="20"/>
          <w:lang w:val="en-US"/>
        </w:rPr>
        <w:t>TEMPLATE</w:t>
      </w:r>
      <w:r w:rsidR="00DF2296">
        <w:rPr>
          <w:lang w:val="en-US"/>
        </w:rPr>
        <w:tab/>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DF2296" w14:paraId="0484A3BD" w14:textId="77777777" w:rsidTr="00685584">
        <w:tc>
          <w:tcPr>
            <w:tcW w:w="9060" w:type="dxa"/>
            <w:shd w:val="clear" w:color="auto" w:fill="FCDDD2" w:themeFill="accent6" w:themeFillTint="33"/>
          </w:tcPr>
          <w:p w14:paraId="287200CA" w14:textId="71F8DDB3" w:rsidR="00DF2296" w:rsidRPr="00B363E7" w:rsidRDefault="00DF2296" w:rsidP="00DF2296">
            <w:r>
              <w:t>A pre-analysis plan is a step-by-step plan setting out how evaluators plan to conduct a randomised controlled trial (RCT). We have developed this template to help you to prepare a pre-analysis plan for your RCT.</w:t>
            </w:r>
          </w:p>
          <w:p w14:paraId="389502FA" w14:textId="77777777" w:rsidR="00DF2296" w:rsidRPr="00B363E7" w:rsidRDefault="00DF2296" w:rsidP="00DF2296">
            <w:r>
              <w:t>Pre-analysis plans have many benefits: they are part of good planning, they increase the credibility of the trial’s findings, they help address publication bias, and they help with knowledge management for the trial team.</w:t>
            </w:r>
          </w:p>
          <w:p w14:paraId="479FF022" w14:textId="77777777" w:rsidR="00DF2296" w:rsidRPr="00B363E7" w:rsidRDefault="00DF2296" w:rsidP="00DF2296">
            <w:r>
              <w:t>Ideally, a pre-analysis plan should be:</w:t>
            </w:r>
          </w:p>
          <w:p w14:paraId="5DCC34D9" w14:textId="77777777" w:rsidR="00DF2296" w:rsidRPr="00B363E7" w:rsidRDefault="00DF2296" w:rsidP="00DF2296">
            <w:pPr>
              <w:pStyle w:val="Bullet"/>
            </w:pPr>
            <w:r>
              <w:t xml:space="preserve">written so a statistician or analyst can carry out the analysis without prior knowledge of the trial. </w:t>
            </w:r>
          </w:p>
          <w:p w14:paraId="7E144344" w14:textId="77777777" w:rsidR="00DF2296" w:rsidRPr="00B363E7" w:rsidRDefault="00DF2296" w:rsidP="00DF2296">
            <w:pPr>
              <w:pStyle w:val="Bullet"/>
            </w:pPr>
            <w:r>
              <w:t>approved by any trial partners before registration.</w:t>
            </w:r>
          </w:p>
          <w:p w14:paraId="6A65911F" w14:textId="77777777" w:rsidR="00DF2296" w:rsidRPr="00B363E7" w:rsidRDefault="00DF2296" w:rsidP="00DF2296">
            <w:pPr>
              <w:pStyle w:val="Bullet"/>
            </w:pPr>
            <w:r>
              <w:t xml:space="preserve">registered before the start of the intervention (or at the latest, before collecting and seeing the data). </w:t>
            </w:r>
          </w:p>
          <w:p w14:paraId="557D3132" w14:textId="77777777" w:rsidR="00DF2296" w:rsidRPr="00B363E7" w:rsidRDefault="00DF2296" w:rsidP="00DF2296">
            <w:pPr>
              <w:pStyle w:val="Bullet"/>
            </w:pPr>
            <w:r>
              <w:t>published once the trial report is released.</w:t>
            </w:r>
          </w:p>
          <w:p w14:paraId="3ED52A53" w14:textId="7A852B2A" w:rsidR="00DF2296" w:rsidRPr="00B363E7" w:rsidRDefault="00DF2296" w:rsidP="00DF2296">
            <w:r>
              <w:t xml:space="preserve">A pre-analysis plan may be amended during the trial. This can be done by uploading a new version on the registry, with changes clearly identified. Similarly, the final trial report should clearly identify any deviations from the pre-analysis plan in the final analysis. </w:t>
            </w:r>
          </w:p>
          <w:p w14:paraId="12C57FDB" w14:textId="77777777" w:rsidR="00DF2296" w:rsidRPr="00B363E7" w:rsidRDefault="00DF2296" w:rsidP="00DF2296">
            <w:r>
              <w:t xml:space="preserve">This template is provided as guidance only – the use of this tool or template is not mandatory. The appropriate application and use of any one tool, template or example for the evaluation of a specific program or activity is ultimately at the discretion of the manager responsible for the successful delivery of results. Please use the sections of this template that are relevant to your trial and remove those that are not. </w:t>
            </w:r>
          </w:p>
          <w:p w14:paraId="3DC6B5E6" w14:textId="77777777" w:rsidR="00DF2296" w:rsidRDefault="00DF2296" w:rsidP="00DF2296">
            <w:r w:rsidRPr="00B363E7">
              <w:t>The template also provides examples of possible trial designs and methods of analysis. You should choose the designs and methods appropriate to your specific circumstances. The guidance appears in a text box under each section heading. You can add your text below the guidance box and delete the guidance once you have completed the plan. After editing, update the table of contents, so headings and page number remain accurate.</w:t>
            </w:r>
          </w:p>
          <w:p w14:paraId="359D539A" w14:textId="6F9D0B0B" w:rsidR="004E006E" w:rsidRPr="004E006E" w:rsidRDefault="004E006E" w:rsidP="00DF2296">
            <w:r w:rsidRPr="00C51439">
              <w:rPr>
                <w:color w:val="808080" w:themeColor="background1" w:themeShade="80"/>
              </w:rPr>
              <w:t xml:space="preserve">[Text in grey scale between] </w:t>
            </w:r>
            <w:r w:rsidRPr="004E006E">
              <w:t>needs to be replaced by the appropriate wording.</w:t>
            </w:r>
          </w:p>
          <w:p w14:paraId="0B3CFB05" w14:textId="77777777" w:rsidR="00DF2296" w:rsidRPr="00B363E7" w:rsidRDefault="00DF2296" w:rsidP="00DF2296">
            <w:r w:rsidRPr="00B363E7">
              <w:t xml:space="preserve">This template was developed jointly by the </w:t>
            </w:r>
            <w:hyperlink r:id="rId22" w:history="1">
              <w:r w:rsidRPr="00182F5F">
                <w:rPr>
                  <w:rStyle w:val="Hyperlink"/>
                  <w:rFonts w:cstheme="minorBidi"/>
                  <w:color w:val="0A5B97" w:themeColor="text2" w:themeTint="BF"/>
                </w:rPr>
                <w:t>Australian Centre for Evaluation (ACE)</w:t>
              </w:r>
            </w:hyperlink>
            <w:r w:rsidRPr="00B363E7">
              <w:t xml:space="preserve"> and the </w:t>
            </w:r>
            <w:hyperlink r:id="rId23" w:history="1">
              <w:r w:rsidRPr="00182F5F">
                <w:rPr>
                  <w:rStyle w:val="Hyperlink"/>
                  <w:rFonts w:cstheme="minorBidi"/>
                  <w:color w:val="0A5B97" w:themeColor="text2" w:themeTint="BF"/>
                </w:rPr>
                <w:t>Behavioural Economics Team of the Australian Government (BETA)</w:t>
              </w:r>
            </w:hyperlink>
            <w:r w:rsidRPr="00B363E7">
              <w:t xml:space="preserve">. If you are part of the Australian Government and need help with this template, please contact the ACE at </w:t>
            </w:r>
            <w:hyperlink r:id="rId24" w:history="1">
              <w:r w:rsidRPr="00182F5F">
                <w:rPr>
                  <w:rStyle w:val="Hyperlink"/>
                  <w:rFonts w:cstheme="minorBidi"/>
                  <w:color w:val="0A5B97" w:themeColor="text2" w:themeTint="BF"/>
                </w:rPr>
                <w:t>evaluation@treasury.gov.au</w:t>
              </w:r>
            </w:hyperlink>
            <w:r w:rsidRPr="00B363E7">
              <w:t>.</w:t>
            </w:r>
          </w:p>
          <w:p w14:paraId="4DBA70C2" w14:textId="01F25794" w:rsidR="00DF2296" w:rsidRPr="00DF2296" w:rsidRDefault="00DF2296" w:rsidP="00DF2296">
            <w:pPr>
              <w:rPr>
                <w:b/>
                <w:bCs/>
                <w:sz w:val="19"/>
                <w:szCs w:val="19"/>
              </w:rPr>
            </w:pPr>
            <w:r>
              <w:t xml:space="preserve">The pre-analysis plan can be used in conjunction with an evaluation plan which outlines the broader project plan and theory of the evaluation. Visit the ACE’s </w:t>
            </w:r>
            <w:hyperlink r:id="rId25">
              <w:r w:rsidRPr="4ECFB447">
                <w:rPr>
                  <w:rStyle w:val="Hyperlink"/>
                  <w:rFonts w:cstheme="minorBidi"/>
                </w:rPr>
                <w:t>Evaluation Toolkit</w:t>
              </w:r>
            </w:hyperlink>
            <w:r>
              <w:t xml:space="preserve"> for a range of </w:t>
            </w:r>
            <w:hyperlink r:id="rId26">
              <w:r w:rsidRPr="4ECFB447">
                <w:rPr>
                  <w:rStyle w:val="Hyperlink"/>
                  <w:rFonts w:cstheme="minorBidi"/>
                </w:rPr>
                <w:t>templates</w:t>
              </w:r>
            </w:hyperlink>
            <w:r>
              <w:t xml:space="preserve"> to support evaluation planning and design.</w:t>
            </w:r>
          </w:p>
        </w:tc>
      </w:tr>
    </w:tbl>
    <w:p w14:paraId="4AF82317" w14:textId="60EE3FA0" w:rsidR="00E936BA" w:rsidRDefault="00E936BA" w:rsidP="00E936BA">
      <w:pPr>
        <w:suppressAutoHyphens w:val="0"/>
        <w:spacing w:before="0" w:after="120" w:line="440" w:lineRule="atLeast"/>
        <w:rPr>
          <w:b/>
          <w:sz w:val="19"/>
        </w:rPr>
      </w:pPr>
    </w:p>
    <w:sdt>
      <w:sdtPr>
        <w:rPr>
          <w:rFonts w:asciiTheme="minorHAnsi" w:eastAsiaTheme="minorEastAsia" w:hAnsiTheme="minorHAnsi" w:cstheme="minorBidi"/>
          <w:b/>
          <w:bCs/>
          <w:color w:val="auto"/>
          <w:sz w:val="23"/>
          <w:szCs w:val="23"/>
          <w:lang w:val="en-AU"/>
        </w:rPr>
        <w:id w:val="1490156968"/>
        <w:docPartObj>
          <w:docPartGallery w:val="Table of Contents"/>
          <w:docPartUnique/>
        </w:docPartObj>
      </w:sdtPr>
      <w:sdtEndPr/>
      <w:sdtContent>
        <w:p w14:paraId="6D870437" w14:textId="78058C26" w:rsidR="00A36A44" w:rsidRDefault="00A36A44" w:rsidP="00A36A44">
          <w:pPr>
            <w:pStyle w:val="TOCHeading"/>
          </w:pPr>
          <w:r>
            <w:t>Contents</w:t>
          </w:r>
        </w:p>
        <w:p w14:paraId="3A630A78" w14:textId="3C4C9A1E" w:rsidR="005920FE" w:rsidRDefault="190DE392">
          <w:pPr>
            <w:pStyle w:val="TOC1"/>
            <w:rPr>
              <w:rFonts w:eastAsiaTheme="minorEastAsia"/>
              <w:b w:val="0"/>
              <w:noProof/>
              <w:kern w:val="2"/>
              <w:sz w:val="22"/>
              <w:lang w:eastAsia="en-AU"/>
              <w14:ligatures w14:val="standardContextual"/>
            </w:rPr>
          </w:pPr>
          <w:r>
            <w:fldChar w:fldCharType="begin"/>
          </w:r>
          <w:r w:rsidR="00A36A44">
            <w:instrText>TOC \o "1-3" \h \z \u</w:instrText>
          </w:r>
          <w:r>
            <w:fldChar w:fldCharType="separate"/>
          </w:r>
          <w:hyperlink w:anchor="_Toc170814968" w:history="1">
            <w:r w:rsidR="005920FE" w:rsidRPr="0075692E">
              <w:rPr>
                <w:rStyle w:val="Hyperlink"/>
                <w:noProof/>
              </w:rPr>
              <w:t>Summary table</w:t>
            </w:r>
            <w:r w:rsidR="005920FE">
              <w:rPr>
                <w:noProof/>
                <w:webHidden/>
              </w:rPr>
              <w:tab/>
            </w:r>
            <w:r w:rsidR="005920FE">
              <w:rPr>
                <w:noProof/>
                <w:webHidden/>
              </w:rPr>
              <w:fldChar w:fldCharType="begin"/>
            </w:r>
            <w:r w:rsidR="005920FE">
              <w:rPr>
                <w:noProof/>
                <w:webHidden/>
              </w:rPr>
              <w:instrText xml:space="preserve"> PAGEREF _Toc170814968 \h </w:instrText>
            </w:r>
            <w:r w:rsidR="005920FE">
              <w:rPr>
                <w:noProof/>
                <w:webHidden/>
              </w:rPr>
            </w:r>
            <w:r w:rsidR="005920FE">
              <w:rPr>
                <w:noProof/>
                <w:webHidden/>
              </w:rPr>
              <w:fldChar w:fldCharType="separate"/>
            </w:r>
            <w:r w:rsidR="005920FE">
              <w:rPr>
                <w:noProof/>
                <w:webHidden/>
              </w:rPr>
              <w:t>5</w:t>
            </w:r>
            <w:r w:rsidR="005920FE">
              <w:rPr>
                <w:noProof/>
                <w:webHidden/>
              </w:rPr>
              <w:fldChar w:fldCharType="end"/>
            </w:r>
          </w:hyperlink>
        </w:p>
        <w:p w14:paraId="04956827" w14:textId="1F9FD49B" w:rsidR="005920FE" w:rsidRDefault="009D1595">
          <w:pPr>
            <w:pStyle w:val="TOC1"/>
            <w:rPr>
              <w:rFonts w:eastAsiaTheme="minorEastAsia"/>
              <w:b w:val="0"/>
              <w:noProof/>
              <w:kern w:val="2"/>
              <w:sz w:val="22"/>
              <w:lang w:eastAsia="en-AU"/>
              <w14:ligatures w14:val="standardContextual"/>
            </w:rPr>
          </w:pPr>
          <w:hyperlink w:anchor="_Toc170814969" w:history="1">
            <w:r w:rsidR="005920FE" w:rsidRPr="0075692E">
              <w:rPr>
                <w:rStyle w:val="Hyperlink"/>
                <w:noProof/>
              </w:rPr>
              <w:t>Policy context</w:t>
            </w:r>
            <w:r w:rsidR="005920FE">
              <w:rPr>
                <w:noProof/>
                <w:webHidden/>
              </w:rPr>
              <w:tab/>
            </w:r>
            <w:r w:rsidR="005920FE">
              <w:rPr>
                <w:noProof/>
                <w:webHidden/>
              </w:rPr>
              <w:fldChar w:fldCharType="begin"/>
            </w:r>
            <w:r w:rsidR="005920FE">
              <w:rPr>
                <w:noProof/>
                <w:webHidden/>
              </w:rPr>
              <w:instrText xml:space="preserve"> PAGEREF _Toc170814969 \h </w:instrText>
            </w:r>
            <w:r w:rsidR="005920FE">
              <w:rPr>
                <w:noProof/>
                <w:webHidden/>
              </w:rPr>
            </w:r>
            <w:r w:rsidR="005920FE">
              <w:rPr>
                <w:noProof/>
                <w:webHidden/>
              </w:rPr>
              <w:fldChar w:fldCharType="separate"/>
            </w:r>
            <w:r w:rsidR="005920FE">
              <w:rPr>
                <w:noProof/>
                <w:webHidden/>
              </w:rPr>
              <w:t>5</w:t>
            </w:r>
            <w:r w:rsidR="005920FE">
              <w:rPr>
                <w:noProof/>
                <w:webHidden/>
              </w:rPr>
              <w:fldChar w:fldCharType="end"/>
            </w:r>
          </w:hyperlink>
        </w:p>
        <w:p w14:paraId="72C94960" w14:textId="7F5A5560" w:rsidR="005920FE" w:rsidRDefault="009D1595">
          <w:pPr>
            <w:pStyle w:val="TOC1"/>
            <w:rPr>
              <w:rFonts w:eastAsiaTheme="minorEastAsia"/>
              <w:b w:val="0"/>
              <w:noProof/>
              <w:kern w:val="2"/>
              <w:sz w:val="22"/>
              <w:lang w:eastAsia="en-AU"/>
              <w14:ligatures w14:val="standardContextual"/>
            </w:rPr>
          </w:pPr>
          <w:hyperlink w:anchor="_Toc170814970" w:history="1">
            <w:r w:rsidR="005920FE" w:rsidRPr="0075692E">
              <w:rPr>
                <w:rStyle w:val="Hyperlink"/>
                <w:noProof/>
              </w:rPr>
              <w:t>Trial aim</w:t>
            </w:r>
            <w:r w:rsidR="005920FE">
              <w:rPr>
                <w:noProof/>
                <w:webHidden/>
              </w:rPr>
              <w:tab/>
            </w:r>
            <w:r w:rsidR="005920FE">
              <w:rPr>
                <w:noProof/>
                <w:webHidden/>
              </w:rPr>
              <w:fldChar w:fldCharType="begin"/>
            </w:r>
            <w:r w:rsidR="005920FE">
              <w:rPr>
                <w:noProof/>
                <w:webHidden/>
              </w:rPr>
              <w:instrText xml:space="preserve"> PAGEREF _Toc170814970 \h </w:instrText>
            </w:r>
            <w:r w:rsidR="005920FE">
              <w:rPr>
                <w:noProof/>
                <w:webHidden/>
              </w:rPr>
            </w:r>
            <w:r w:rsidR="005920FE">
              <w:rPr>
                <w:noProof/>
                <w:webHidden/>
              </w:rPr>
              <w:fldChar w:fldCharType="separate"/>
            </w:r>
            <w:r w:rsidR="005920FE">
              <w:rPr>
                <w:noProof/>
                <w:webHidden/>
              </w:rPr>
              <w:t>6</w:t>
            </w:r>
            <w:r w:rsidR="005920FE">
              <w:rPr>
                <w:noProof/>
                <w:webHidden/>
              </w:rPr>
              <w:fldChar w:fldCharType="end"/>
            </w:r>
          </w:hyperlink>
        </w:p>
        <w:p w14:paraId="2F10E455" w14:textId="2AE326C4" w:rsidR="005920FE" w:rsidRDefault="009D1595">
          <w:pPr>
            <w:pStyle w:val="TOC1"/>
            <w:rPr>
              <w:rFonts w:eastAsiaTheme="minorEastAsia"/>
              <w:b w:val="0"/>
              <w:noProof/>
              <w:kern w:val="2"/>
              <w:sz w:val="22"/>
              <w:lang w:eastAsia="en-AU"/>
              <w14:ligatures w14:val="standardContextual"/>
            </w:rPr>
          </w:pPr>
          <w:hyperlink w:anchor="_Toc170814971" w:history="1">
            <w:r w:rsidR="005920FE" w:rsidRPr="0075692E">
              <w:rPr>
                <w:rStyle w:val="Hyperlink"/>
                <w:noProof/>
              </w:rPr>
              <w:t>Intervention(s)</w:t>
            </w:r>
            <w:r w:rsidR="005920FE">
              <w:rPr>
                <w:noProof/>
                <w:webHidden/>
              </w:rPr>
              <w:tab/>
            </w:r>
            <w:r w:rsidR="005920FE">
              <w:rPr>
                <w:noProof/>
                <w:webHidden/>
              </w:rPr>
              <w:fldChar w:fldCharType="begin"/>
            </w:r>
            <w:r w:rsidR="005920FE">
              <w:rPr>
                <w:noProof/>
                <w:webHidden/>
              </w:rPr>
              <w:instrText xml:space="preserve"> PAGEREF _Toc170814971 \h </w:instrText>
            </w:r>
            <w:r w:rsidR="005920FE">
              <w:rPr>
                <w:noProof/>
                <w:webHidden/>
              </w:rPr>
            </w:r>
            <w:r w:rsidR="005920FE">
              <w:rPr>
                <w:noProof/>
                <w:webHidden/>
              </w:rPr>
              <w:fldChar w:fldCharType="separate"/>
            </w:r>
            <w:r w:rsidR="005920FE">
              <w:rPr>
                <w:noProof/>
                <w:webHidden/>
              </w:rPr>
              <w:t>6</w:t>
            </w:r>
            <w:r w:rsidR="005920FE">
              <w:rPr>
                <w:noProof/>
                <w:webHidden/>
              </w:rPr>
              <w:fldChar w:fldCharType="end"/>
            </w:r>
          </w:hyperlink>
        </w:p>
        <w:p w14:paraId="36145F7B" w14:textId="375A1A06" w:rsidR="005920FE" w:rsidRDefault="009D1595">
          <w:pPr>
            <w:pStyle w:val="TOC1"/>
            <w:rPr>
              <w:rFonts w:eastAsiaTheme="minorEastAsia"/>
              <w:b w:val="0"/>
              <w:noProof/>
              <w:kern w:val="2"/>
              <w:sz w:val="22"/>
              <w:lang w:eastAsia="en-AU"/>
              <w14:ligatures w14:val="standardContextual"/>
            </w:rPr>
          </w:pPr>
          <w:hyperlink w:anchor="_Toc170814972" w:history="1">
            <w:r w:rsidR="005920FE" w:rsidRPr="0075692E">
              <w:rPr>
                <w:rStyle w:val="Hyperlink"/>
                <w:noProof/>
              </w:rPr>
              <w:t>Outcome measure(s)</w:t>
            </w:r>
            <w:r w:rsidR="005920FE">
              <w:rPr>
                <w:noProof/>
                <w:webHidden/>
              </w:rPr>
              <w:tab/>
            </w:r>
            <w:r w:rsidR="005920FE">
              <w:rPr>
                <w:noProof/>
                <w:webHidden/>
              </w:rPr>
              <w:fldChar w:fldCharType="begin"/>
            </w:r>
            <w:r w:rsidR="005920FE">
              <w:rPr>
                <w:noProof/>
                <w:webHidden/>
              </w:rPr>
              <w:instrText xml:space="preserve"> PAGEREF _Toc170814972 \h </w:instrText>
            </w:r>
            <w:r w:rsidR="005920FE">
              <w:rPr>
                <w:noProof/>
                <w:webHidden/>
              </w:rPr>
            </w:r>
            <w:r w:rsidR="005920FE">
              <w:rPr>
                <w:noProof/>
                <w:webHidden/>
              </w:rPr>
              <w:fldChar w:fldCharType="separate"/>
            </w:r>
            <w:r w:rsidR="005920FE">
              <w:rPr>
                <w:noProof/>
                <w:webHidden/>
              </w:rPr>
              <w:t>7</w:t>
            </w:r>
            <w:r w:rsidR="005920FE">
              <w:rPr>
                <w:noProof/>
                <w:webHidden/>
              </w:rPr>
              <w:fldChar w:fldCharType="end"/>
            </w:r>
          </w:hyperlink>
        </w:p>
        <w:p w14:paraId="469FB9EA" w14:textId="5899394D" w:rsidR="005920FE" w:rsidRDefault="009D1595">
          <w:pPr>
            <w:pStyle w:val="TOC1"/>
            <w:rPr>
              <w:rFonts w:eastAsiaTheme="minorEastAsia"/>
              <w:b w:val="0"/>
              <w:noProof/>
              <w:kern w:val="2"/>
              <w:sz w:val="22"/>
              <w:lang w:eastAsia="en-AU"/>
              <w14:ligatures w14:val="standardContextual"/>
            </w:rPr>
          </w:pPr>
          <w:hyperlink w:anchor="_Toc170814973" w:history="1">
            <w:r w:rsidR="005920FE" w:rsidRPr="0075692E">
              <w:rPr>
                <w:rStyle w:val="Hyperlink"/>
                <w:noProof/>
              </w:rPr>
              <w:t>Population of interest and sample collection</w:t>
            </w:r>
            <w:r w:rsidR="005920FE">
              <w:rPr>
                <w:noProof/>
                <w:webHidden/>
              </w:rPr>
              <w:tab/>
            </w:r>
            <w:r w:rsidR="005920FE">
              <w:rPr>
                <w:noProof/>
                <w:webHidden/>
              </w:rPr>
              <w:fldChar w:fldCharType="begin"/>
            </w:r>
            <w:r w:rsidR="005920FE">
              <w:rPr>
                <w:noProof/>
                <w:webHidden/>
              </w:rPr>
              <w:instrText xml:space="preserve"> PAGEREF _Toc170814973 \h </w:instrText>
            </w:r>
            <w:r w:rsidR="005920FE">
              <w:rPr>
                <w:noProof/>
                <w:webHidden/>
              </w:rPr>
            </w:r>
            <w:r w:rsidR="005920FE">
              <w:rPr>
                <w:noProof/>
                <w:webHidden/>
              </w:rPr>
              <w:fldChar w:fldCharType="separate"/>
            </w:r>
            <w:r w:rsidR="005920FE">
              <w:rPr>
                <w:noProof/>
                <w:webHidden/>
              </w:rPr>
              <w:t>7</w:t>
            </w:r>
            <w:r w:rsidR="005920FE">
              <w:rPr>
                <w:noProof/>
                <w:webHidden/>
              </w:rPr>
              <w:fldChar w:fldCharType="end"/>
            </w:r>
          </w:hyperlink>
        </w:p>
        <w:p w14:paraId="78AC23BD" w14:textId="0FC606A8" w:rsidR="005920FE" w:rsidRDefault="009D1595">
          <w:pPr>
            <w:pStyle w:val="TOC1"/>
            <w:rPr>
              <w:rFonts w:eastAsiaTheme="minorEastAsia"/>
              <w:b w:val="0"/>
              <w:noProof/>
              <w:kern w:val="2"/>
              <w:sz w:val="22"/>
              <w:lang w:eastAsia="en-AU"/>
              <w14:ligatures w14:val="standardContextual"/>
            </w:rPr>
          </w:pPr>
          <w:hyperlink w:anchor="_Toc170814974" w:history="1">
            <w:r w:rsidR="005920FE" w:rsidRPr="0075692E">
              <w:rPr>
                <w:rStyle w:val="Hyperlink"/>
                <w:noProof/>
              </w:rPr>
              <w:t>Sample size calculations</w:t>
            </w:r>
            <w:r w:rsidR="005920FE">
              <w:rPr>
                <w:noProof/>
                <w:webHidden/>
              </w:rPr>
              <w:tab/>
            </w:r>
            <w:r w:rsidR="005920FE">
              <w:rPr>
                <w:noProof/>
                <w:webHidden/>
              </w:rPr>
              <w:fldChar w:fldCharType="begin"/>
            </w:r>
            <w:r w:rsidR="005920FE">
              <w:rPr>
                <w:noProof/>
                <w:webHidden/>
              </w:rPr>
              <w:instrText xml:space="preserve"> PAGEREF _Toc170814974 \h </w:instrText>
            </w:r>
            <w:r w:rsidR="005920FE">
              <w:rPr>
                <w:noProof/>
                <w:webHidden/>
              </w:rPr>
            </w:r>
            <w:r w:rsidR="005920FE">
              <w:rPr>
                <w:noProof/>
                <w:webHidden/>
              </w:rPr>
              <w:fldChar w:fldCharType="separate"/>
            </w:r>
            <w:r w:rsidR="005920FE">
              <w:rPr>
                <w:noProof/>
                <w:webHidden/>
              </w:rPr>
              <w:t>8</w:t>
            </w:r>
            <w:r w:rsidR="005920FE">
              <w:rPr>
                <w:noProof/>
                <w:webHidden/>
              </w:rPr>
              <w:fldChar w:fldCharType="end"/>
            </w:r>
          </w:hyperlink>
        </w:p>
        <w:p w14:paraId="7EE412C7" w14:textId="2FB69E29" w:rsidR="005920FE" w:rsidRDefault="009D1595">
          <w:pPr>
            <w:pStyle w:val="TOC1"/>
            <w:rPr>
              <w:rFonts w:eastAsiaTheme="minorEastAsia"/>
              <w:b w:val="0"/>
              <w:noProof/>
              <w:kern w:val="2"/>
              <w:sz w:val="22"/>
              <w:lang w:eastAsia="en-AU"/>
              <w14:ligatures w14:val="standardContextual"/>
            </w:rPr>
          </w:pPr>
          <w:hyperlink w:anchor="_Toc170814975" w:history="1">
            <w:r w:rsidR="005920FE" w:rsidRPr="0075692E">
              <w:rPr>
                <w:rStyle w:val="Hyperlink"/>
                <w:noProof/>
              </w:rPr>
              <w:t>Hypotheses</w:t>
            </w:r>
            <w:r w:rsidR="005920FE">
              <w:rPr>
                <w:noProof/>
                <w:webHidden/>
              </w:rPr>
              <w:tab/>
            </w:r>
            <w:r w:rsidR="005920FE">
              <w:rPr>
                <w:noProof/>
                <w:webHidden/>
              </w:rPr>
              <w:fldChar w:fldCharType="begin"/>
            </w:r>
            <w:r w:rsidR="005920FE">
              <w:rPr>
                <w:noProof/>
                <w:webHidden/>
              </w:rPr>
              <w:instrText xml:space="preserve"> PAGEREF _Toc170814975 \h </w:instrText>
            </w:r>
            <w:r w:rsidR="005920FE">
              <w:rPr>
                <w:noProof/>
                <w:webHidden/>
              </w:rPr>
            </w:r>
            <w:r w:rsidR="005920FE">
              <w:rPr>
                <w:noProof/>
                <w:webHidden/>
              </w:rPr>
              <w:fldChar w:fldCharType="separate"/>
            </w:r>
            <w:r w:rsidR="005920FE">
              <w:rPr>
                <w:noProof/>
                <w:webHidden/>
              </w:rPr>
              <w:t>8</w:t>
            </w:r>
            <w:r w:rsidR="005920FE">
              <w:rPr>
                <w:noProof/>
                <w:webHidden/>
              </w:rPr>
              <w:fldChar w:fldCharType="end"/>
            </w:r>
          </w:hyperlink>
        </w:p>
        <w:p w14:paraId="0EB145B8" w14:textId="4D819B88" w:rsidR="005920FE" w:rsidRDefault="009D1595">
          <w:pPr>
            <w:pStyle w:val="TOC1"/>
            <w:rPr>
              <w:rFonts w:eastAsiaTheme="minorEastAsia"/>
              <w:b w:val="0"/>
              <w:noProof/>
              <w:kern w:val="2"/>
              <w:sz w:val="22"/>
              <w:lang w:eastAsia="en-AU"/>
              <w14:ligatures w14:val="standardContextual"/>
            </w:rPr>
          </w:pPr>
          <w:hyperlink w:anchor="_Toc170814976" w:history="1">
            <w:r w:rsidR="005920FE" w:rsidRPr="0075692E">
              <w:rPr>
                <w:rStyle w:val="Hyperlink"/>
                <w:noProof/>
              </w:rPr>
              <w:t>Randomisation</w:t>
            </w:r>
            <w:r w:rsidR="005920FE">
              <w:rPr>
                <w:noProof/>
                <w:webHidden/>
              </w:rPr>
              <w:tab/>
            </w:r>
            <w:r w:rsidR="005920FE">
              <w:rPr>
                <w:noProof/>
                <w:webHidden/>
              </w:rPr>
              <w:fldChar w:fldCharType="begin"/>
            </w:r>
            <w:r w:rsidR="005920FE">
              <w:rPr>
                <w:noProof/>
                <w:webHidden/>
              </w:rPr>
              <w:instrText xml:space="preserve"> PAGEREF _Toc170814976 \h </w:instrText>
            </w:r>
            <w:r w:rsidR="005920FE">
              <w:rPr>
                <w:noProof/>
                <w:webHidden/>
              </w:rPr>
            </w:r>
            <w:r w:rsidR="005920FE">
              <w:rPr>
                <w:noProof/>
                <w:webHidden/>
              </w:rPr>
              <w:fldChar w:fldCharType="separate"/>
            </w:r>
            <w:r w:rsidR="005920FE">
              <w:rPr>
                <w:noProof/>
                <w:webHidden/>
              </w:rPr>
              <w:t>9</w:t>
            </w:r>
            <w:r w:rsidR="005920FE">
              <w:rPr>
                <w:noProof/>
                <w:webHidden/>
              </w:rPr>
              <w:fldChar w:fldCharType="end"/>
            </w:r>
          </w:hyperlink>
        </w:p>
        <w:p w14:paraId="41CC6D33" w14:textId="02CA5588" w:rsidR="005920FE" w:rsidRDefault="009D1595">
          <w:pPr>
            <w:pStyle w:val="TOC1"/>
            <w:rPr>
              <w:rFonts w:eastAsiaTheme="minorEastAsia"/>
              <w:b w:val="0"/>
              <w:noProof/>
              <w:kern w:val="2"/>
              <w:sz w:val="22"/>
              <w:lang w:eastAsia="en-AU"/>
              <w14:ligatures w14:val="standardContextual"/>
            </w:rPr>
          </w:pPr>
          <w:hyperlink w:anchor="_Toc170814977" w:history="1">
            <w:r w:rsidR="005920FE" w:rsidRPr="0075692E">
              <w:rPr>
                <w:rStyle w:val="Hyperlink"/>
                <w:noProof/>
              </w:rPr>
              <w:t>Method of analysis</w:t>
            </w:r>
            <w:r w:rsidR="005920FE">
              <w:rPr>
                <w:noProof/>
                <w:webHidden/>
              </w:rPr>
              <w:tab/>
            </w:r>
            <w:r w:rsidR="005920FE">
              <w:rPr>
                <w:noProof/>
                <w:webHidden/>
              </w:rPr>
              <w:fldChar w:fldCharType="begin"/>
            </w:r>
            <w:r w:rsidR="005920FE">
              <w:rPr>
                <w:noProof/>
                <w:webHidden/>
              </w:rPr>
              <w:instrText xml:space="preserve"> PAGEREF _Toc170814977 \h </w:instrText>
            </w:r>
            <w:r w:rsidR="005920FE">
              <w:rPr>
                <w:noProof/>
                <w:webHidden/>
              </w:rPr>
            </w:r>
            <w:r w:rsidR="005920FE">
              <w:rPr>
                <w:noProof/>
                <w:webHidden/>
              </w:rPr>
              <w:fldChar w:fldCharType="separate"/>
            </w:r>
            <w:r w:rsidR="005920FE">
              <w:rPr>
                <w:noProof/>
                <w:webHidden/>
              </w:rPr>
              <w:t>9</w:t>
            </w:r>
            <w:r w:rsidR="005920FE">
              <w:rPr>
                <w:noProof/>
                <w:webHidden/>
              </w:rPr>
              <w:fldChar w:fldCharType="end"/>
            </w:r>
          </w:hyperlink>
        </w:p>
        <w:p w14:paraId="5A8610B2" w14:textId="7E4CE2B7" w:rsidR="005920FE" w:rsidRDefault="009D1595">
          <w:pPr>
            <w:pStyle w:val="TOC2"/>
            <w:rPr>
              <w:rFonts w:eastAsiaTheme="minorEastAsia"/>
              <w:noProof/>
              <w:kern w:val="2"/>
              <w:lang w:eastAsia="en-AU"/>
              <w14:ligatures w14:val="standardContextual"/>
            </w:rPr>
          </w:pPr>
          <w:hyperlink w:anchor="_Toc170814978" w:history="1">
            <w:r w:rsidR="005920FE" w:rsidRPr="0075692E">
              <w:rPr>
                <w:rStyle w:val="Hyperlink"/>
                <w:noProof/>
              </w:rPr>
              <w:t>Primary outcome analysis</w:t>
            </w:r>
            <w:r w:rsidR="005920FE">
              <w:rPr>
                <w:noProof/>
                <w:webHidden/>
              </w:rPr>
              <w:tab/>
            </w:r>
            <w:r w:rsidR="005920FE">
              <w:rPr>
                <w:noProof/>
                <w:webHidden/>
              </w:rPr>
              <w:fldChar w:fldCharType="begin"/>
            </w:r>
            <w:r w:rsidR="005920FE">
              <w:rPr>
                <w:noProof/>
                <w:webHidden/>
              </w:rPr>
              <w:instrText xml:space="preserve"> PAGEREF _Toc170814978 \h </w:instrText>
            </w:r>
            <w:r w:rsidR="005920FE">
              <w:rPr>
                <w:noProof/>
                <w:webHidden/>
              </w:rPr>
            </w:r>
            <w:r w:rsidR="005920FE">
              <w:rPr>
                <w:noProof/>
                <w:webHidden/>
              </w:rPr>
              <w:fldChar w:fldCharType="separate"/>
            </w:r>
            <w:r w:rsidR="005920FE">
              <w:rPr>
                <w:noProof/>
                <w:webHidden/>
              </w:rPr>
              <w:t>9</w:t>
            </w:r>
            <w:r w:rsidR="005920FE">
              <w:rPr>
                <w:noProof/>
                <w:webHidden/>
              </w:rPr>
              <w:fldChar w:fldCharType="end"/>
            </w:r>
          </w:hyperlink>
        </w:p>
        <w:p w14:paraId="643B6E54" w14:textId="1550D68C" w:rsidR="005920FE" w:rsidRDefault="009D1595">
          <w:pPr>
            <w:pStyle w:val="TOC2"/>
            <w:rPr>
              <w:rFonts w:eastAsiaTheme="minorEastAsia"/>
              <w:noProof/>
              <w:kern w:val="2"/>
              <w:lang w:eastAsia="en-AU"/>
              <w14:ligatures w14:val="standardContextual"/>
            </w:rPr>
          </w:pPr>
          <w:hyperlink w:anchor="_Toc170814979" w:history="1">
            <w:r w:rsidR="005920FE" w:rsidRPr="0075692E">
              <w:rPr>
                <w:rStyle w:val="Hyperlink"/>
                <w:noProof/>
              </w:rPr>
              <w:t>Secondary outcome analysis</w:t>
            </w:r>
            <w:r w:rsidR="005920FE">
              <w:rPr>
                <w:noProof/>
                <w:webHidden/>
              </w:rPr>
              <w:tab/>
            </w:r>
            <w:r w:rsidR="005920FE">
              <w:rPr>
                <w:noProof/>
                <w:webHidden/>
              </w:rPr>
              <w:fldChar w:fldCharType="begin"/>
            </w:r>
            <w:r w:rsidR="005920FE">
              <w:rPr>
                <w:noProof/>
                <w:webHidden/>
              </w:rPr>
              <w:instrText xml:space="preserve"> PAGEREF _Toc170814979 \h </w:instrText>
            </w:r>
            <w:r w:rsidR="005920FE">
              <w:rPr>
                <w:noProof/>
                <w:webHidden/>
              </w:rPr>
            </w:r>
            <w:r w:rsidR="005920FE">
              <w:rPr>
                <w:noProof/>
                <w:webHidden/>
              </w:rPr>
              <w:fldChar w:fldCharType="separate"/>
            </w:r>
            <w:r w:rsidR="005920FE">
              <w:rPr>
                <w:noProof/>
                <w:webHidden/>
              </w:rPr>
              <w:t>11</w:t>
            </w:r>
            <w:r w:rsidR="005920FE">
              <w:rPr>
                <w:noProof/>
                <w:webHidden/>
              </w:rPr>
              <w:fldChar w:fldCharType="end"/>
            </w:r>
          </w:hyperlink>
        </w:p>
        <w:p w14:paraId="57047B69" w14:textId="48A9B1AD" w:rsidR="005920FE" w:rsidRDefault="009D1595">
          <w:pPr>
            <w:pStyle w:val="TOC2"/>
            <w:rPr>
              <w:rFonts w:eastAsiaTheme="minorEastAsia"/>
              <w:noProof/>
              <w:kern w:val="2"/>
              <w:lang w:eastAsia="en-AU"/>
              <w14:ligatures w14:val="standardContextual"/>
            </w:rPr>
          </w:pPr>
          <w:hyperlink w:anchor="_Toc170814980" w:history="1">
            <w:r w:rsidR="005920FE" w:rsidRPr="0075692E">
              <w:rPr>
                <w:rStyle w:val="Hyperlink"/>
                <w:noProof/>
              </w:rPr>
              <w:t>Subgroup analysis</w:t>
            </w:r>
            <w:r w:rsidR="005920FE">
              <w:rPr>
                <w:noProof/>
                <w:webHidden/>
              </w:rPr>
              <w:tab/>
            </w:r>
            <w:r w:rsidR="005920FE">
              <w:rPr>
                <w:noProof/>
                <w:webHidden/>
              </w:rPr>
              <w:fldChar w:fldCharType="begin"/>
            </w:r>
            <w:r w:rsidR="005920FE">
              <w:rPr>
                <w:noProof/>
                <w:webHidden/>
              </w:rPr>
              <w:instrText xml:space="preserve"> PAGEREF _Toc170814980 \h </w:instrText>
            </w:r>
            <w:r w:rsidR="005920FE">
              <w:rPr>
                <w:noProof/>
                <w:webHidden/>
              </w:rPr>
            </w:r>
            <w:r w:rsidR="005920FE">
              <w:rPr>
                <w:noProof/>
                <w:webHidden/>
              </w:rPr>
              <w:fldChar w:fldCharType="separate"/>
            </w:r>
            <w:r w:rsidR="005920FE">
              <w:rPr>
                <w:noProof/>
                <w:webHidden/>
              </w:rPr>
              <w:t>11</w:t>
            </w:r>
            <w:r w:rsidR="005920FE">
              <w:rPr>
                <w:noProof/>
                <w:webHidden/>
              </w:rPr>
              <w:fldChar w:fldCharType="end"/>
            </w:r>
          </w:hyperlink>
        </w:p>
        <w:p w14:paraId="61FF3E63" w14:textId="00CE916F" w:rsidR="005920FE" w:rsidRDefault="009D1595">
          <w:pPr>
            <w:pStyle w:val="TOC2"/>
            <w:rPr>
              <w:rFonts w:eastAsiaTheme="minorEastAsia"/>
              <w:noProof/>
              <w:kern w:val="2"/>
              <w:lang w:eastAsia="en-AU"/>
              <w14:ligatures w14:val="standardContextual"/>
            </w:rPr>
          </w:pPr>
          <w:hyperlink w:anchor="_Toc170814981" w:history="1">
            <w:r w:rsidR="005920FE" w:rsidRPr="0075692E">
              <w:rPr>
                <w:rStyle w:val="Hyperlink"/>
                <w:noProof/>
              </w:rPr>
              <w:t>Additional analysis</w:t>
            </w:r>
            <w:r w:rsidR="005920FE">
              <w:rPr>
                <w:noProof/>
                <w:webHidden/>
              </w:rPr>
              <w:tab/>
            </w:r>
            <w:r w:rsidR="005920FE">
              <w:rPr>
                <w:noProof/>
                <w:webHidden/>
              </w:rPr>
              <w:fldChar w:fldCharType="begin"/>
            </w:r>
            <w:r w:rsidR="005920FE">
              <w:rPr>
                <w:noProof/>
                <w:webHidden/>
              </w:rPr>
              <w:instrText xml:space="preserve"> PAGEREF _Toc170814981 \h </w:instrText>
            </w:r>
            <w:r w:rsidR="005920FE">
              <w:rPr>
                <w:noProof/>
                <w:webHidden/>
              </w:rPr>
            </w:r>
            <w:r w:rsidR="005920FE">
              <w:rPr>
                <w:noProof/>
                <w:webHidden/>
              </w:rPr>
              <w:fldChar w:fldCharType="separate"/>
            </w:r>
            <w:r w:rsidR="005920FE">
              <w:rPr>
                <w:noProof/>
                <w:webHidden/>
              </w:rPr>
              <w:t>11</w:t>
            </w:r>
            <w:r w:rsidR="005920FE">
              <w:rPr>
                <w:noProof/>
                <w:webHidden/>
              </w:rPr>
              <w:fldChar w:fldCharType="end"/>
            </w:r>
          </w:hyperlink>
        </w:p>
        <w:p w14:paraId="1809549A" w14:textId="2DDD9414" w:rsidR="005920FE" w:rsidRDefault="009D1595">
          <w:pPr>
            <w:pStyle w:val="TOC1"/>
            <w:rPr>
              <w:rFonts w:eastAsiaTheme="minorEastAsia"/>
              <w:b w:val="0"/>
              <w:noProof/>
              <w:kern w:val="2"/>
              <w:sz w:val="22"/>
              <w:lang w:eastAsia="en-AU"/>
              <w14:ligatures w14:val="standardContextual"/>
            </w:rPr>
          </w:pPr>
          <w:hyperlink w:anchor="_Toc170814982" w:history="1">
            <w:r w:rsidR="005920FE" w:rsidRPr="0075692E">
              <w:rPr>
                <w:rStyle w:val="Hyperlink"/>
                <w:noProof/>
              </w:rPr>
              <w:t>Trial threats</w:t>
            </w:r>
            <w:r w:rsidR="005920FE">
              <w:rPr>
                <w:noProof/>
                <w:webHidden/>
              </w:rPr>
              <w:tab/>
            </w:r>
            <w:r w:rsidR="005920FE">
              <w:rPr>
                <w:noProof/>
                <w:webHidden/>
              </w:rPr>
              <w:fldChar w:fldCharType="begin"/>
            </w:r>
            <w:r w:rsidR="005920FE">
              <w:rPr>
                <w:noProof/>
                <w:webHidden/>
              </w:rPr>
              <w:instrText xml:space="preserve"> PAGEREF _Toc170814982 \h </w:instrText>
            </w:r>
            <w:r w:rsidR="005920FE">
              <w:rPr>
                <w:noProof/>
                <w:webHidden/>
              </w:rPr>
            </w:r>
            <w:r w:rsidR="005920FE">
              <w:rPr>
                <w:noProof/>
                <w:webHidden/>
              </w:rPr>
              <w:fldChar w:fldCharType="separate"/>
            </w:r>
            <w:r w:rsidR="005920FE">
              <w:rPr>
                <w:noProof/>
                <w:webHidden/>
              </w:rPr>
              <w:t>11</w:t>
            </w:r>
            <w:r w:rsidR="005920FE">
              <w:rPr>
                <w:noProof/>
                <w:webHidden/>
              </w:rPr>
              <w:fldChar w:fldCharType="end"/>
            </w:r>
          </w:hyperlink>
        </w:p>
        <w:p w14:paraId="38FF5C5B" w14:textId="20958D64" w:rsidR="005920FE" w:rsidRDefault="009D1595">
          <w:pPr>
            <w:pStyle w:val="TOC2"/>
            <w:rPr>
              <w:rFonts w:eastAsiaTheme="minorEastAsia"/>
              <w:noProof/>
              <w:kern w:val="2"/>
              <w:lang w:eastAsia="en-AU"/>
              <w14:ligatures w14:val="standardContextual"/>
            </w:rPr>
          </w:pPr>
          <w:hyperlink w:anchor="_Toc170814983" w:history="1">
            <w:r w:rsidR="005920FE" w:rsidRPr="0075692E">
              <w:rPr>
                <w:rStyle w:val="Hyperlink"/>
                <w:noProof/>
              </w:rPr>
              <w:t>Missing data</w:t>
            </w:r>
            <w:r w:rsidR="005920FE">
              <w:rPr>
                <w:noProof/>
                <w:webHidden/>
              </w:rPr>
              <w:tab/>
            </w:r>
            <w:r w:rsidR="005920FE">
              <w:rPr>
                <w:noProof/>
                <w:webHidden/>
              </w:rPr>
              <w:fldChar w:fldCharType="begin"/>
            </w:r>
            <w:r w:rsidR="005920FE">
              <w:rPr>
                <w:noProof/>
                <w:webHidden/>
              </w:rPr>
              <w:instrText xml:space="preserve"> PAGEREF _Toc170814983 \h </w:instrText>
            </w:r>
            <w:r w:rsidR="005920FE">
              <w:rPr>
                <w:noProof/>
                <w:webHidden/>
              </w:rPr>
            </w:r>
            <w:r w:rsidR="005920FE">
              <w:rPr>
                <w:noProof/>
                <w:webHidden/>
              </w:rPr>
              <w:fldChar w:fldCharType="separate"/>
            </w:r>
            <w:r w:rsidR="005920FE">
              <w:rPr>
                <w:noProof/>
                <w:webHidden/>
              </w:rPr>
              <w:t>12</w:t>
            </w:r>
            <w:r w:rsidR="005920FE">
              <w:rPr>
                <w:noProof/>
                <w:webHidden/>
              </w:rPr>
              <w:fldChar w:fldCharType="end"/>
            </w:r>
          </w:hyperlink>
        </w:p>
        <w:p w14:paraId="3786E2AE" w14:textId="4AA93F3A" w:rsidR="005920FE" w:rsidRDefault="009D1595">
          <w:pPr>
            <w:pStyle w:val="TOC2"/>
            <w:rPr>
              <w:rFonts w:eastAsiaTheme="minorEastAsia"/>
              <w:noProof/>
              <w:kern w:val="2"/>
              <w:lang w:eastAsia="en-AU"/>
              <w14:ligatures w14:val="standardContextual"/>
            </w:rPr>
          </w:pPr>
          <w:hyperlink w:anchor="_Toc170814984" w:history="1">
            <w:r w:rsidR="005920FE" w:rsidRPr="0075692E">
              <w:rPr>
                <w:rStyle w:val="Hyperlink"/>
                <w:noProof/>
              </w:rPr>
              <w:t>Spillovers/contamination</w:t>
            </w:r>
            <w:r w:rsidR="005920FE">
              <w:rPr>
                <w:noProof/>
                <w:webHidden/>
              </w:rPr>
              <w:tab/>
            </w:r>
            <w:r w:rsidR="005920FE">
              <w:rPr>
                <w:noProof/>
                <w:webHidden/>
              </w:rPr>
              <w:fldChar w:fldCharType="begin"/>
            </w:r>
            <w:r w:rsidR="005920FE">
              <w:rPr>
                <w:noProof/>
                <w:webHidden/>
              </w:rPr>
              <w:instrText xml:space="preserve"> PAGEREF _Toc170814984 \h </w:instrText>
            </w:r>
            <w:r w:rsidR="005920FE">
              <w:rPr>
                <w:noProof/>
                <w:webHidden/>
              </w:rPr>
            </w:r>
            <w:r w:rsidR="005920FE">
              <w:rPr>
                <w:noProof/>
                <w:webHidden/>
              </w:rPr>
              <w:fldChar w:fldCharType="separate"/>
            </w:r>
            <w:r w:rsidR="005920FE">
              <w:rPr>
                <w:noProof/>
                <w:webHidden/>
              </w:rPr>
              <w:t>12</w:t>
            </w:r>
            <w:r w:rsidR="005920FE">
              <w:rPr>
                <w:noProof/>
                <w:webHidden/>
              </w:rPr>
              <w:fldChar w:fldCharType="end"/>
            </w:r>
          </w:hyperlink>
        </w:p>
        <w:p w14:paraId="4CB2FBF6" w14:textId="4DA9DDD1" w:rsidR="005920FE" w:rsidRDefault="009D1595">
          <w:pPr>
            <w:pStyle w:val="TOC2"/>
            <w:rPr>
              <w:rFonts w:eastAsiaTheme="minorEastAsia"/>
              <w:noProof/>
              <w:kern w:val="2"/>
              <w:lang w:eastAsia="en-AU"/>
              <w14:ligatures w14:val="standardContextual"/>
            </w:rPr>
          </w:pPr>
          <w:hyperlink w:anchor="_Toc170814985" w:history="1">
            <w:r w:rsidR="005920FE" w:rsidRPr="0075692E">
              <w:rPr>
                <w:rStyle w:val="Hyperlink"/>
                <w:noProof/>
              </w:rPr>
              <w:t>Blinding and evaluation-driven effects</w:t>
            </w:r>
            <w:r w:rsidR="005920FE">
              <w:rPr>
                <w:noProof/>
                <w:webHidden/>
              </w:rPr>
              <w:tab/>
            </w:r>
            <w:r w:rsidR="005920FE">
              <w:rPr>
                <w:noProof/>
                <w:webHidden/>
              </w:rPr>
              <w:fldChar w:fldCharType="begin"/>
            </w:r>
            <w:r w:rsidR="005920FE">
              <w:rPr>
                <w:noProof/>
                <w:webHidden/>
              </w:rPr>
              <w:instrText xml:space="preserve"> PAGEREF _Toc170814985 \h </w:instrText>
            </w:r>
            <w:r w:rsidR="005920FE">
              <w:rPr>
                <w:noProof/>
                <w:webHidden/>
              </w:rPr>
            </w:r>
            <w:r w:rsidR="005920FE">
              <w:rPr>
                <w:noProof/>
                <w:webHidden/>
              </w:rPr>
              <w:fldChar w:fldCharType="separate"/>
            </w:r>
            <w:r w:rsidR="005920FE">
              <w:rPr>
                <w:noProof/>
                <w:webHidden/>
              </w:rPr>
              <w:t>12</w:t>
            </w:r>
            <w:r w:rsidR="005920FE">
              <w:rPr>
                <w:noProof/>
                <w:webHidden/>
              </w:rPr>
              <w:fldChar w:fldCharType="end"/>
            </w:r>
          </w:hyperlink>
        </w:p>
        <w:p w14:paraId="0978E28A" w14:textId="5E65D1B6" w:rsidR="005920FE" w:rsidRDefault="009D1595">
          <w:pPr>
            <w:pStyle w:val="TOC2"/>
            <w:rPr>
              <w:rFonts w:eastAsiaTheme="minorEastAsia"/>
              <w:noProof/>
              <w:kern w:val="2"/>
              <w:lang w:eastAsia="en-AU"/>
              <w14:ligatures w14:val="standardContextual"/>
            </w:rPr>
          </w:pPr>
          <w:hyperlink w:anchor="_Toc170814986" w:history="1">
            <w:r w:rsidR="005920FE" w:rsidRPr="0075692E">
              <w:rPr>
                <w:rStyle w:val="Hyperlink"/>
                <w:noProof/>
              </w:rPr>
              <w:t>Non-compliance</w:t>
            </w:r>
            <w:r w:rsidR="005920FE">
              <w:rPr>
                <w:noProof/>
                <w:webHidden/>
              </w:rPr>
              <w:tab/>
            </w:r>
            <w:r w:rsidR="005920FE">
              <w:rPr>
                <w:noProof/>
                <w:webHidden/>
              </w:rPr>
              <w:fldChar w:fldCharType="begin"/>
            </w:r>
            <w:r w:rsidR="005920FE">
              <w:rPr>
                <w:noProof/>
                <w:webHidden/>
              </w:rPr>
              <w:instrText xml:space="preserve"> PAGEREF _Toc170814986 \h </w:instrText>
            </w:r>
            <w:r w:rsidR="005920FE">
              <w:rPr>
                <w:noProof/>
                <w:webHidden/>
              </w:rPr>
            </w:r>
            <w:r w:rsidR="005920FE">
              <w:rPr>
                <w:noProof/>
                <w:webHidden/>
              </w:rPr>
              <w:fldChar w:fldCharType="separate"/>
            </w:r>
            <w:r w:rsidR="005920FE">
              <w:rPr>
                <w:noProof/>
                <w:webHidden/>
              </w:rPr>
              <w:t>12</w:t>
            </w:r>
            <w:r w:rsidR="005920FE">
              <w:rPr>
                <w:noProof/>
                <w:webHidden/>
              </w:rPr>
              <w:fldChar w:fldCharType="end"/>
            </w:r>
          </w:hyperlink>
        </w:p>
        <w:p w14:paraId="7D977742" w14:textId="0CD87BF7" w:rsidR="005920FE" w:rsidRDefault="009D1595">
          <w:pPr>
            <w:pStyle w:val="TOC1"/>
            <w:rPr>
              <w:rFonts w:eastAsiaTheme="minorEastAsia"/>
              <w:b w:val="0"/>
              <w:noProof/>
              <w:kern w:val="2"/>
              <w:sz w:val="22"/>
              <w:lang w:eastAsia="en-AU"/>
              <w14:ligatures w14:val="standardContextual"/>
            </w:rPr>
          </w:pPr>
          <w:hyperlink w:anchor="_Toc170814987" w:history="1">
            <w:r w:rsidR="005920FE" w:rsidRPr="0075692E">
              <w:rPr>
                <w:rStyle w:val="Hyperlink"/>
                <w:noProof/>
              </w:rPr>
              <w:t>Interpretation of results</w:t>
            </w:r>
            <w:r w:rsidR="005920FE">
              <w:rPr>
                <w:noProof/>
                <w:webHidden/>
              </w:rPr>
              <w:tab/>
            </w:r>
            <w:r w:rsidR="005920FE">
              <w:rPr>
                <w:noProof/>
                <w:webHidden/>
              </w:rPr>
              <w:fldChar w:fldCharType="begin"/>
            </w:r>
            <w:r w:rsidR="005920FE">
              <w:rPr>
                <w:noProof/>
                <w:webHidden/>
              </w:rPr>
              <w:instrText xml:space="preserve"> PAGEREF _Toc170814987 \h </w:instrText>
            </w:r>
            <w:r w:rsidR="005920FE">
              <w:rPr>
                <w:noProof/>
                <w:webHidden/>
              </w:rPr>
            </w:r>
            <w:r w:rsidR="005920FE">
              <w:rPr>
                <w:noProof/>
                <w:webHidden/>
              </w:rPr>
              <w:fldChar w:fldCharType="separate"/>
            </w:r>
            <w:r w:rsidR="005920FE">
              <w:rPr>
                <w:noProof/>
                <w:webHidden/>
              </w:rPr>
              <w:t>13</w:t>
            </w:r>
            <w:r w:rsidR="005920FE">
              <w:rPr>
                <w:noProof/>
                <w:webHidden/>
              </w:rPr>
              <w:fldChar w:fldCharType="end"/>
            </w:r>
          </w:hyperlink>
        </w:p>
        <w:p w14:paraId="36C728D8" w14:textId="413E6D76" w:rsidR="005920FE" w:rsidRDefault="009D1595">
          <w:pPr>
            <w:pStyle w:val="TOC1"/>
            <w:rPr>
              <w:rFonts w:eastAsiaTheme="minorEastAsia"/>
              <w:b w:val="0"/>
              <w:noProof/>
              <w:kern w:val="2"/>
              <w:sz w:val="22"/>
              <w:lang w:eastAsia="en-AU"/>
              <w14:ligatures w14:val="standardContextual"/>
            </w:rPr>
          </w:pPr>
          <w:hyperlink w:anchor="_Toc170814988" w:history="1">
            <w:r w:rsidR="005920FE" w:rsidRPr="0075692E">
              <w:rPr>
                <w:rStyle w:val="Hyperlink"/>
                <w:noProof/>
              </w:rPr>
              <w:t>Pre-analysis plan commitments</w:t>
            </w:r>
            <w:r w:rsidR="005920FE">
              <w:rPr>
                <w:noProof/>
                <w:webHidden/>
              </w:rPr>
              <w:tab/>
            </w:r>
            <w:r w:rsidR="005920FE">
              <w:rPr>
                <w:noProof/>
                <w:webHidden/>
              </w:rPr>
              <w:fldChar w:fldCharType="begin"/>
            </w:r>
            <w:r w:rsidR="005920FE">
              <w:rPr>
                <w:noProof/>
                <w:webHidden/>
              </w:rPr>
              <w:instrText xml:space="preserve"> PAGEREF _Toc170814988 \h </w:instrText>
            </w:r>
            <w:r w:rsidR="005920FE">
              <w:rPr>
                <w:noProof/>
                <w:webHidden/>
              </w:rPr>
            </w:r>
            <w:r w:rsidR="005920FE">
              <w:rPr>
                <w:noProof/>
                <w:webHidden/>
              </w:rPr>
              <w:fldChar w:fldCharType="separate"/>
            </w:r>
            <w:r w:rsidR="005920FE">
              <w:rPr>
                <w:noProof/>
                <w:webHidden/>
              </w:rPr>
              <w:t>13</w:t>
            </w:r>
            <w:r w:rsidR="005920FE">
              <w:rPr>
                <w:noProof/>
                <w:webHidden/>
              </w:rPr>
              <w:fldChar w:fldCharType="end"/>
            </w:r>
          </w:hyperlink>
        </w:p>
        <w:p w14:paraId="3CE1FDB5" w14:textId="1176C8B4" w:rsidR="190DE392" w:rsidRDefault="190DE392" w:rsidP="190DE392">
          <w:pPr>
            <w:pStyle w:val="TOC1"/>
            <w:tabs>
              <w:tab w:val="clear" w:pos="9072"/>
              <w:tab w:val="right" w:leader="dot" w:pos="9060"/>
            </w:tabs>
            <w:rPr>
              <w:rStyle w:val="Hyperlink"/>
            </w:rPr>
          </w:pPr>
          <w:r>
            <w:fldChar w:fldCharType="end"/>
          </w:r>
        </w:p>
      </w:sdtContent>
    </w:sdt>
    <w:p w14:paraId="469B3BFD" w14:textId="77777777" w:rsidR="00564D52" w:rsidRPr="00572B1B" w:rsidRDefault="00564D52" w:rsidP="00572B1B">
      <w:r w:rsidRPr="00572B1B">
        <w:br w:type="page"/>
      </w:r>
    </w:p>
    <w:p w14:paraId="32FC4128" w14:textId="77777777" w:rsidR="00735BD8" w:rsidRPr="00DF2296" w:rsidRDefault="00EE1A8B" w:rsidP="00DF2296">
      <w:pPr>
        <w:pStyle w:val="Heading1"/>
      </w:pPr>
      <w:bookmarkStart w:id="0" w:name="_Toc170814968"/>
      <w:r w:rsidRPr="00DF2296">
        <w:lastRenderedPageBreak/>
        <w:t>Summary table</w:t>
      </w:r>
      <w:bookmarkEnd w:id="0"/>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4537"/>
        <w:gridCol w:w="4533"/>
      </w:tblGrid>
      <w:tr w:rsidR="00C127FB" w:rsidRPr="00173555" w14:paraId="1E4E3221"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780EE3A2" w14:textId="77777777" w:rsidR="00735BD8" w:rsidRPr="00C127FB" w:rsidRDefault="00735BD8" w:rsidP="00C127FB">
            <w:pPr>
              <w:rPr>
                <w:rStyle w:val="Strong"/>
              </w:rPr>
            </w:pPr>
            <w:r w:rsidRPr="00C127FB">
              <w:rPr>
                <w:rStyle w:val="Strong"/>
              </w:rPr>
              <w:t>Project title</w:t>
            </w:r>
          </w:p>
        </w:tc>
        <w:tc>
          <w:tcPr>
            <w:tcW w:w="2499" w:type="pct"/>
            <w:tcBorders>
              <w:top w:val="single" w:sz="2" w:space="0" w:color="000000" w:themeColor="text1"/>
              <w:bottom w:val="single" w:sz="2" w:space="0" w:color="000000" w:themeColor="text1"/>
            </w:tcBorders>
          </w:tcPr>
          <w:p w14:paraId="6E3FBD4D" w14:textId="7A548D62" w:rsidR="00735BD8" w:rsidRPr="006A31DC" w:rsidRDefault="00735BD8" w:rsidP="00C127FB">
            <w:pPr>
              <w:rPr>
                <w:b/>
                <w:bCs/>
                <w:color w:val="808080" w:themeColor="background1" w:themeShade="80"/>
              </w:rPr>
            </w:pPr>
            <w:r w:rsidRPr="006A31DC">
              <w:rPr>
                <w:color w:val="808080" w:themeColor="background1" w:themeShade="80"/>
              </w:rPr>
              <w:t xml:space="preserve">[insert </w:t>
            </w:r>
            <w:r w:rsidR="16DB476B" w:rsidRPr="006A31DC">
              <w:rPr>
                <w:color w:val="808080" w:themeColor="background1" w:themeShade="80"/>
              </w:rPr>
              <w:t xml:space="preserve">the </w:t>
            </w:r>
            <w:r w:rsidRPr="006A31DC">
              <w:rPr>
                <w:color w:val="808080" w:themeColor="background1" w:themeShade="80"/>
              </w:rPr>
              <w:t>name of the program or policy being</w:t>
            </w:r>
            <w:r w:rsidR="00C127FB" w:rsidRPr="006A31DC">
              <w:rPr>
                <w:color w:val="808080" w:themeColor="background1" w:themeShade="80"/>
              </w:rPr>
              <w:t> </w:t>
            </w:r>
            <w:r w:rsidRPr="006A31DC">
              <w:rPr>
                <w:color w:val="808080" w:themeColor="background1" w:themeShade="80"/>
              </w:rPr>
              <w:t>evaluated]</w:t>
            </w:r>
          </w:p>
        </w:tc>
      </w:tr>
      <w:tr w:rsidR="00C127FB" w:rsidRPr="00173555" w14:paraId="0FE06A89"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38E5D8E8" w14:textId="77777777" w:rsidR="00735BD8" w:rsidRPr="00C127FB" w:rsidRDefault="00735BD8" w:rsidP="00C127FB">
            <w:pPr>
              <w:rPr>
                <w:rStyle w:val="Strong"/>
              </w:rPr>
            </w:pPr>
            <w:r w:rsidRPr="00C127FB">
              <w:rPr>
                <w:rStyle w:val="Strong"/>
              </w:rPr>
              <w:t>Partners</w:t>
            </w:r>
          </w:p>
        </w:tc>
        <w:tc>
          <w:tcPr>
            <w:tcW w:w="2499" w:type="pct"/>
            <w:tcBorders>
              <w:top w:val="single" w:sz="2" w:space="0" w:color="000000" w:themeColor="text1"/>
              <w:bottom w:val="single" w:sz="2" w:space="0" w:color="000000" w:themeColor="text1"/>
            </w:tcBorders>
          </w:tcPr>
          <w:p w14:paraId="64BF099B" w14:textId="1655830B" w:rsidR="00735BD8" w:rsidRPr="006A31DC" w:rsidRDefault="00735BD8" w:rsidP="00C127FB">
            <w:pPr>
              <w:rPr>
                <w:color w:val="808080" w:themeColor="background1" w:themeShade="80"/>
              </w:rPr>
            </w:pPr>
            <w:r w:rsidRPr="006A31DC">
              <w:rPr>
                <w:color w:val="808080" w:themeColor="background1" w:themeShade="80"/>
              </w:rPr>
              <w:t>[insert name of any partner organisation(s) responsible for the policy or program that will be</w:t>
            </w:r>
            <w:r w:rsidR="00C127FB" w:rsidRPr="006A31DC">
              <w:rPr>
                <w:color w:val="808080" w:themeColor="background1" w:themeShade="80"/>
              </w:rPr>
              <w:t> </w:t>
            </w:r>
            <w:r w:rsidRPr="006A31DC">
              <w:rPr>
                <w:color w:val="808080" w:themeColor="background1" w:themeShade="80"/>
              </w:rPr>
              <w:t>evaluated]</w:t>
            </w:r>
          </w:p>
        </w:tc>
      </w:tr>
      <w:tr w:rsidR="00C127FB" w:rsidRPr="00173555" w14:paraId="2AAF586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2F63BA79" w14:textId="77777777" w:rsidR="00735BD8" w:rsidRPr="00C127FB" w:rsidRDefault="00735BD8" w:rsidP="00C127FB">
            <w:pPr>
              <w:rPr>
                <w:rStyle w:val="Strong"/>
              </w:rPr>
            </w:pPr>
            <w:r w:rsidRPr="00C127FB">
              <w:rPr>
                <w:rStyle w:val="Strong"/>
              </w:rPr>
              <w:t>Evaluator (Institution)</w:t>
            </w:r>
          </w:p>
        </w:tc>
        <w:tc>
          <w:tcPr>
            <w:tcW w:w="2499" w:type="pct"/>
            <w:tcBorders>
              <w:top w:val="single" w:sz="2" w:space="0" w:color="000000" w:themeColor="text1"/>
              <w:bottom w:val="single" w:sz="2" w:space="0" w:color="000000" w:themeColor="text1"/>
            </w:tcBorders>
          </w:tcPr>
          <w:p w14:paraId="1FF59059" w14:textId="455D0472" w:rsidR="00735BD8" w:rsidRPr="006A31DC" w:rsidRDefault="00735BD8" w:rsidP="00C127FB">
            <w:pPr>
              <w:rPr>
                <w:color w:val="808080" w:themeColor="background1" w:themeShade="80"/>
              </w:rPr>
            </w:pPr>
            <w:r w:rsidRPr="006A31DC">
              <w:rPr>
                <w:color w:val="808080" w:themeColor="background1" w:themeShade="80"/>
              </w:rPr>
              <w:t>[insert the name of the organisation(s) responsible for</w:t>
            </w:r>
            <w:r w:rsidR="00C127FB" w:rsidRPr="006A31DC">
              <w:rPr>
                <w:color w:val="808080" w:themeColor="background1" w:themeShade="80"/>
              </w:rPr>
              <w:t> </w:t>
            </w:r>
            <w:r w:rsidRPr="006A31DC">
              <w:rPr>
                <w:color w:val="808080" w:themeColor="background1" w:themeShade="80"/>
              </w:rPr>
              <w:t xml:space="preserve">the evaluation] </w:t>
            </w:r>
          </w:p>
        </w:tc>
      </w:tr>
      <w:tr w:rsidR="00C127FB" w:rsidRPr="00173555" w14:paraId="24B6C0CB"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23DE8E55" w14:textId="77777777" w:rsidR="00735BD8" w:rsidRPr="00C127FB" w:rsidRDefault="00735BD8" w:rsidP="00C127FB">
            <w:pPr>
              <w:rPr>
                <w:rStyle w:val="Strong"/>
              </w:rPr>
            </w:pPr>
            <w:r w:rsidRPr="00C127FB">
              <w:rPr>
                <w:rStyle w:val="Strong"/>
              </w:rPr>
              <w:t>Principal investigator(s)</w:t>
            </w:r>
          </w:p>
        </w:tc>
        <w:tc>
          <w:tcPr>
            <w:tcW w:w="2499" w:type="pct"/>
            <w:tcBorders>
              <w:top w:val="single" w:sz="2" w:space="0" w:color="000000" w:themeColor="text1"/>
              <w:bottom w:val="single" w:sz="2" w:space="0" w:color="000000" w:themeColor="text1"/>
            </w:tcBorders>
          </w:tcPr>
          <w:p w14:paraId="2C07077B" w14:textId="5BED8EDF" w:rsidR="00735BD8" w:rsidRPr="006A31DC" w:rsidRDefault="00735BD8" w:rsidP="00C127FB">
            <w:pPr>
              <w:rPr>
                <w:color w:val="808080" w:themeColor="background1" w:themeShade="80"/>
              </w:rPr>
            </w:pPr>
            <w:r w:rsidRPr="006A31DC">
              <w:rPr>
                <w:color w:val="808080" w:themeColor="background1" w:themeShade="80"/>
              </w:rPr>
              <w:t>[insert the names of the individuals on the</w:t>
            </w:r>
            <w:r w:rsidR="00182F5F" w:rsidRPr="006A31DC">
              <w:rPr>
                <w:color w:val="808080" w:themeColor="background1" w:themeShade="80"/>
              </w:rPr>
              <w:t> </w:t>
            </w:r>
            <w:r w:rsidRPr="006A31DC">
              <w:rPr>
                <w:color w:val="808080" w:themeColor="background1" w:themeShade="80"/>
              </w:rPr>
              <w:t>evaluation team at the time this pre</w:t>
            </w:r>
            <w:r w:rsidR="00182F5F" w:rsidRPr="006A31DC">
              <w:rPr>
                <w:color w:val="808080" w:themeColor="background1" w:themeShade="80"/>
              </w:rPr>
              <w:noBreakHyphen/>
            </w:r>
            <w:r w:rsidRPr="006A31DC">
              <w:rPr>
                <w:color w:val="808080" w:themeColor="background1" w:themeShade="80"/>
              </w:rPr>
              <w:t>analysis plan is finalised]</w:t>
            </w:r>
          </w:p>
        </w:tc>
      </w:tr>
      <w:tr w:rsidR="00C127FB" w:rsidRPr="00173555" w14:paraId="49EBBA87"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120EEDB0" w14:textId="5169DF48" w:rsidR="00735BD8" w:rsidRPr="00C127FB" w:rsidRDefault="00735BD8" w:rsidP="00C127FB">
            <w:pPr>
              <w:rPr>
                <w:rStyle w:val="Strong"/>
              </w:rPr>
            </w:pPr>
            <w:r w:rsidRPr="00C127FB">
              <w:rPr>
                <w:rStyle w:val="Strong"/>
              </w:rPr>
              <w:t xml:space="preserve">Trial design </w:t>
            </w:r>
            <w:r w:rsidR="00C127FB" w:rsidRPr="00C127FB">
              <w:rPr>
                <w:rStyle w:val="Strong"/>
              </w:rPr>
              <w:br/>
            </w:r>
            <w:r w:rsidRPr="00C127FB">
              <w:rPr>
                <w:rStyle w:val="Strong"/>
              </w:rPr>
              <w:t>(including number of arms)</w:t>
            </w:r>
          </w:p>
        </w:tc>
        <w:tc>
          <w:tcPr>
            <w:tcW w:w="2499" w:type="pct"/>
            <w:tcBorders>
              <w:top w:val="single" w:sz="2" w:space="0" w:color="000000" w:themeColor="text1"/>
              <w:bottom w:val="single" w:sz="2" w:space="0" w:color="000000" w:themeColor="text1"/>
            </w:tcBorders>
          </w:tcPr>
          <w:p w14:paraId="61C1266B" w14:textId="1C2C5AF9" w:rsidR="00735BD8" w:rsidRPr="006A31DC" w:rsidRDefault="00735BD8" w:rsidP="00C127FB">
            <w:pPr>
              <w:rPr>
                <w:color w:val="808080" w:themeColor="background1" w:themeShade="80"/>
              </w:rPr>
            </w:pPr>
            <w:r w:rsidRPr="006A31DC">
              <w:rPr>
                <w:color w:val="808080" w:themeColor="background1" w:themeShade="80"/>
              </w:rPr>
              <w:t>e.g. Two-arm cluster randomised controlled</w:t>
            </w:r>
            <w:r w:rsidR="00182F5F" w:rsidRPr="006A31DC">
              <w:rPr>
                <w:color w:val="808080" w:themeColor="background1" w:themeShade="80"/>
              </w:rPr>
              <w:t> </w:t>
            </w:r>
            <w:r w:rsidRPr="006A31DC">
              <w:rPr>
                <w:color w:val="808080" w:themeColor="background1" w:themeShade="80"/>
              </w:rPr>
              <w:t xml:space="preserve">trial </w:t>
            </w:r>
          </w:p>
        </w:tc>
      </w:tr>
      <w:tr w:rsidR="00C127FB" w14:paraId="47E4E9B8"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735F96D8" w14:textId="77777777" w:rsidR="00735BD8" w:rsidRPr="00C127FB" w:rsidRDefault="00735BD8" w:rsidP="00C127FB">
            <w:pPr>
              <w:rPr>
                <w:rStyle w:val="Strong"/>
              </w:rPr>
            </w:pPr>
            <w:r w:rsidRPr="00C127FB">
              <w:rPr>
                <w:rStyle w:val="Strong"/>
              </w:rPr>
              <w:t>Unit of randomisation</w:t>
            </w:r>
          </w:p>
        </w:tc>
        <w:tc>
          <w:tcPr>
            <w:tcW w:w="2499" w:type="pct"/>
            <w:tcBorders>
              <w:top w:val="single" w:sz="2" w:space="0" w:color="000000" w:themeColor="text1"/>
              <w:bottom w:val="single" w:sz="2" w:space="0" w:color="000000" w:themeColor="text1"/>
            </w:tcBorders>
          </w:tcPr>
          <w:p w14:paraId="352AD973" w14:textId="77777777" w:rsidR="00735BD8" w:rsidRPr="006A31DC" w:rsidRDefault="00735BD8" w:rsidP="00C127FB">
            <w:pPr>
              <w:rPr>
                <w:color w:val="808080" w:themeColor="background1" w:themeShade="80"/>
              </w:rPr>
            </w:pPr>
            <w:r w:rsidRPr="006A31DC">
              <w:rPr>
                <w:color w:val="808080" w:themeColor="background1" w:themeShade="80"/>
              </w:rPr>
              <w:t>e.g. School</w:t>
            </w:r>
          </w:p>
        </w:tc>
      </w:tr>
      <w:tr w:rsidR="00C127FB" w14:paraId="35977E41"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33E702A0" w14:textId="10095761" w:rsidR="00735BD8" w:rsidRPr="00C127FB" w:rsidRDefault="00735BD8" w:rsidP="00C127FB">
            <w:pPr>
              <w:rPr>
                <w:rStyle w:val="Strong"/>
              </w:rPr>
            </w:pPr>
            <w:r w:rsidRPr="00C127FB">
              <w:rPr>
                <w:rStyle w:val="Strong"/>
              </w:rPr>
              <w:t>Stratification variables (if</w:t>
            </w:r>
            <w:r w:rsidR="00C127FB" w:rsidRPr="00C127FB">
              <w:rPr>
                <w:rStyle w:val="Strong"/>
              </w:rPr>
              <w:t> </w:t>
            </w:r>
            <w:r w:rsidRPr="00C127FB">
              <w:rPr>
                <w:rStyle w:val="Strong"/>
              </w:rPr>
              <w:t>applicable)</w:t>
            </w:r>
          </w:p>
        </w:tc>
        <w:tc>
          <w:tcPr>
            <w:tcW w:w="2499" w:type="pct"/>
            <w:tcBorders>
              <w:top w:val="single" w:sz="2" w:space="0" w:color="000000" w:themeColor="text1"/>
              <w:bottom w:val="single" w:sz="2" w:space="0" w:color="000000" w:themeColor="text1"/>
            </w:tcBorders>
          </w:tcPr>
          <w:p w14:paraId="405C723E" w14:textId="77777777" w:rsidR="00735BD8" w:rsidRPr="006A31DC" w:rsidRDefault="00735BD8" w:rsidP="00C127FB">
            <w:pPr>
              <w:rPr>
                <w:rFonts w:eastAsia="Arial"/>
                <w:color w:val="808080" w:themeColor="background1" w:themeShade="80"/>
              </w:rPr>
            </w:pPr>
            <w:r w:rsidRPr="006A31DC">
              <w:rPr>
                <w:rFonts w:eastAsia="Arial"/>
                <w:color w:val="808080" w:themeColor="background1" w:themeShade="80"/>
              </w:rPr>
              <w:t>e.g. geographical area</w:t>
            </w:r>
          </w:p>
        </w:tc>
      </w:tr>
      <w:tr w:rsidR="00C127FB" w:rsidRPr="00173555" w14:paraId="36EB4FD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0FD35344" w14:textId="77777777" w:rsidR="00735BD8" w:rsidRPr="00C127FB" w:rsidRDefault="00735BD8" w:rsidP="00C127FB">
            <w:pPr>
              <w:rPr>
                <w:rStyle w:val="Strong"/>
              </w:rPr>
            </w:pPr>
            <w:r w:rsidRPr="00C127FB">
              <w:rPr>
                <w:rStyle w:val="Strong"/>
              </w:rPr>
              <w:t>Target group</w:t>
            </w:r>
          </w:p>
        </w:tc>
        <w:tc>
          <w:tcPr>
            <w:tcW w:w="2499" w:type="pct"/>
            <w:tcBorders>
              <w:top w:val="single" w:sz="2" w:space="0" w:color="000000" w:themeColor="text1"/>
              <w:bottom w:val="single" w:sz="2" w:space="0" w:color="000000" w:themeColor="text1"/>
            </w:tcBorders>
          </w:tcPr>
          <w:p w14:paraId="392E0E67" w14:textId="77777777" w:rsidR="00735BD8" w:rsidRPr="006A31DC" w:rsidRDefault="00735BD8" w:rsidP="00C127FB">
            <w:pPr>
              <w:rPr>
                <w:color w:val="808080" w:themeColor="background1" w:themeShade="80"/>
              </w:rPr>
            </w:pPr>
            <w:r w:rsidRPr="006A31DC">
              <w:rPr>
                <w:color w:val="808080" w:themeColor="background1" w:themeShade="80"/>
              </w:rPr>
              <w:t>e.g. Secondary school students</w:t>
            </w:r>
          </w:p>
        </w:tc>
      </w:tr>
      <w:tr w:rsidR="00C127FB" w:rsidRPr="00173555" w14:paraId="3F2F1E32"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7C621349" w14:textId="77777777" w:rsidR="00735BD8" w:rsidRPr="00C127FB" w:rsidRDefault="00735BD8" w:rsidP="00C127FB">
            <w:pPr>
              <w:rPr>
                <w:rStyle w:val="Strong"/>
              </w:rPr>
            </w:pPr>
            <w:r w:rsidRPr="00C127FB">
              <w:rPr>
                <w:rStyle w:val="Strong"/>
              </w:rPr>
              <w:t>Number of clusters (if applicable)</w:t>
            </w:r>
          </w:p>
        </w:tc>
        <w:tc>
          <w:tcPr>
            <w:tcW w:w="2499" w:type="pct"/>
            <w:tcBorders>
              <w:top w:val="single" w:sz="2" w:space="0" w:color="000000" w:themeColor="text1"/>
              <w:bottom w:val="single" w:sz="2" w:space="0" w:color="000000" w:themeColor="text1"/>
            </w:tcBorders>
          </w:tcPr>
          <w:p w14:paraId="598ADC37" w14:textId="77777777" w:rsidR="00735BD8" w:rsidRPr="006A31DC" w:rsidRDefault="00735BD8" w:rsidP="00C127FB">
            <w:pPr>
              <w:rPr>
                <w:color w:val="808080" w:themeColor="background1" w:themeShade="80"/>
              </w:rPr>
            </w:pPr>
            <w:r w:rsidRPr="006A31DC">
              <w:rPr>
                <w:color w:val="808080" w:themeColor="background1" w:themeShade="80"/>
              </w:rPr>
              <w:t>e.g. 170 schools</w:t>
            </w:r>
          </w:p>
        </w:tc>
      </w:tr>
      <w:tr w:rsidR="00C127FB" w:rsidRPr="00173555" w14:paraId="5418A613"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0DA63371" w14:textId="6C81CD83" w:rsidR="00735BD8" w:rsidRPr="00C127FB" w:rsidRDefault="00735BD8" w:rsidP="00C127FB">
            <w:pPr>
              <w:rPr>
                <w:rStyle w:val="Strong"/>
              </w:rPr>
            </w:pPr>
            <w:r w:rsidRPr="00C127FB">
              <w:rPr>
                <w:rStyle w:val="Strong"/>
              </w:rPr>
              <w:t>Anticipated number of</w:t>
            </w:r>
            <w:r w:rsidR="00C127FB" w:rsidRPr="00C127FB">
              <w:rPr>
                <w:rStyle w:val="Strong"/>
              </w:rPr>
              <w:t> </w:t>
            </w:r>
            <w:r w:rsidRPr="00C127FB">
              <w:rPr>
                <w:rStyle w:val="Strong"/>
              </w:rPr>
              <w:t>participants</w:t>
            </w:r>
          </w:p>
        </w:tc>
        <w:tc>
          <w:tcPr>
            <w:tcW w:w="2499" w:type="pct"/>
            <w:tcBorders>
              <w:top w:val="single" w:sz="2" w:space="0" w:color="000000" w:themeColor="text1"/>
              <w:bottom w:val="single" w:sz="2" w:space="0" w:color="000000" w:themeColor="text1"/>
            </w:tcBorders>
          </w:tcPr>
          <w:p w14:paraId="3C103045" w14:textId="77777777" w:rsidR="00735BD8" w:rsidRPr="006A31DC" w:rsidRDefault="00735BD8" w:rsidP="00C127FB">
            <w:pPr>
              <w:rPr>
                <w:color w:val="808080" w:themeColor="background1" w:themeShade="80"/>
              </w:rPr>
            </w:pPr>
            <w:r w:rsidRPr="006A31DC">
              <w:rPr>
                <w:color w:val="808080" w:themeColor="background1" w:themeShade="80"/>
              </w:rPr>
              <w:t xml:space="preserve">e.g. 8,500 </w:t>
            </w:r>
          </w:p>
        </w:tc>
      </w:tr>
      <w:tr w:rsidR="00C127FB" w:rsidRPr="00173555" w14:paraId="1B273E20"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50A80D07" w14:textId="77777777" w:rsidR="00735BD8" w:rsidRPr="00C127FB" w:rsidRDefault="00735BD8" w:rsidP="00C127FB">
            <w:pPr>
              <w:rPr>
                <w:rStyle w:val="Strong"/>
              </w:rPr>
            </w:pPr>
            <w:r w:rsidRPr="00C127FB">
              <w:rPr>
                <w:rStyle w:val="Strong"/>
              </w:rPr>
              <w:t>Primary outcome measure</w:t>
            </w:r>
          </w:p>
        </w:tc>
        <w:tc>
          <w:tcPr>
            <w:tcW w:w="2499" w:type="pct"/>
            <w:tcBorders>
              <w:top w:val="single" w:sz="2" w:space="0" w:color="000000" w:themeColor="text1"/>
              <w:bottom w:val="single" w:sz="2" w:space="0" w:color="000000" w:themeColor="text1"/>
            </w:tcBorders>
          </w:tcPr>
          <w:p w14:paraId="5A08B57C" w14:textId="77777777" w:rsidR="00735BD8" w:rsidRPr="006A31DC" w:rsidRDefault="00735BD8" w:rsidP="00C127FB">
            <w:pPr>
              <w:rPr>
                <w:color w:val="808080" w:themeColor="background1" w:themeShade="80"/>
              </w:rPr>
            </w:pPr>
            <w:r w:rsidRPr="006A31DC">
              <w:rPr>
                <w:color w:val="808080" w:themeColor="background1" w:themeShade="80"/>
              </w:rPr>
              <w:t xml:space="preserve">e.g. Work experience placements </w:t>
            </w:r>
          </w:p>
        </w:tc>
      </w:tr>
      <w:tr w:rsidR="00C127FB" w:rsidRPr="00173555" w14:paraId="0A170990" w14:textId="77777777" w:rsidTr="00182F5F">
        <w:trPr>
          <w:trHeight w:val="624"/>
        </w:trPr>
        <w:tc>
          <w:tcPr>
            <w:tcW w:w="2501" w:type="pct"/>
            <w:tcBorders>
              <w:top w:val="single" w:sz="2" w:space="0" w:color="000000" w:themeColor="text1"/>
              <w:bottom w:val="single" w:sz="2" w:space="0" w:color="000000" w:themeColor="text1"/>
            </w:tcBorders>
            <w:shd w:val="clear" w:color="auto" w:fill="F4F9FA"/>
          </w:tcPr>
          <w:p w14:paraId="4B871090" w14:textId="77777777" w:rsidR="00735BD8" w:rsidRPr="00C127FB" w:rsidRDefault="00735BD8" w:rsidP="00C127FB">
            <w:pPr>
              <w:rPr>
                <w:rStyle w:val="Strong"/>
              </w:rPr>
            </w:pPr>
            <w:r w:rsidRPr="00C127FB">
              <w:rPr>
                <w:rStyle w:val="Strong"/>
              </w:rPr>
              <w:t>Secondary outcome measures</w:t>
            </w:r>
          </w:p>
        </w:tc>
        <w:tc>
          <w:tcPr>
            <w:tcW w:w="2499" w:type="pct"/>
            <w:tcBorders>
              <w:top w:val="single" w:sz="2" w:space="0" w:color="000000" w:themeColor="text1"/>
              <w:bottom w:val="single" w:sz="2" w:space="0" w:color="000000" w:themeColor="text1"/>
            </w:tcBorders>
          </w:tcPr>
          <w:p w14:paraId="17935455" w14:textId="77777777" w:rsidR="00735BD8" w:rsidRPr="006A31DC" w:rsidRDefault="00735BD8" w:rsidP="00C127FB">
            <w:pPr>
              <w:rPr>
                <w:color w:val="808080" w:themeColor="background1" w:themeShade="80"/>
              </w:rPr>
            </w:pPr>
            <w:r w:rsidRPr="006A31DC">
              <w:rPr>
                <w:color w:val="808080" w:themeColor="background1" w:themeShade="80"/>
              </w:rPr>
              <w:t>e.g. Pre-employment skills</w:t>
            </w:r>
          </w:p>
        </w:tc>
      </w:tr>
    </w:tbl>
    <w:p w14:paraId="4C592BDB" w14:textId="03D37DB2" w:rsidR="00564D52" w:rsidRDefault="00DF232B" w:rsidP="00BC0B63">
      <w:pPr>
        <w:pStyle w:val="Heading1"/>
        <w:tabs>
          <w:tab w:val="right" w:pos="9070"/>
        </w:tabs>
      </w:pPr>
      <w:bookmarkStart w:id="1" w:name="_Toc170814969"/>
      <w:r>
        <w:t>Policy context</w:t>
      </w:r>
      <w:bookmarkEnd w:id="1"/>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DF2296" w14:paraId="06AAA940" w14:textId="77777777" w:rsidTr="009247AF">
        <w:tc>
          <w:tcPr>
            <w:tcW w:w="9060" w:type="dxa"/>
            <w:shd w:val="clear" w:color="auto" w:fill="FCDDD2" w:themeFill="accent6" w:themeFillTint="33"/>
          </w:tcPr>
          <w:p w14:paraId="372B32AD" w14:textId="77777777" w:rsidR="00DF2296" w:rsidRPr="00047BDD" w:rsidRDefault="00DF2296" w:rsidP="00F42905">
            <w:pPr>
              <w:jc w:val="both"/>
              <w:rPr>
                <w:rStyle w:val="Strong"/>
                <w:b w:val="0"/>
                <w:bCs w:val="0"/>
              </w:rPr>
            </w:pPr>
            <w:r w:rsidRPr="00047BDD">
              <w:rPr>
                <w:rStyle w:val="Strong"/>
                <w:b w:val="0"/>
                <w:bCs w:val="0"/>
              </w:rPr>
              <w:t xml:space="preserve">Brief lay-person description of the context and rational for the research. </w:t>
            </w:r>
          </w:p>
          <w:p w14:paraId="518C1912" w14:textId="3BCEA91C" w:rsidR="00DF2296" w:rsidRPr="00047BDD" w:rsidRDefault="00DF2296" w:rsidP="00F42905">
            <w:pPr>
              <w:jc w:val="both"/>
            </w:pPr>
            <w:r w:rsidRPr="00047BDD">
              <w:rPr>
                <w:b/>
                <w:bCs/>
              </w:rPr>
              <w:t>Example</w:t>
            </w:r>
            <w:r w:rsidRPr="00047BDD">
              <w:t>: Workplace giving (WPG), also referred to as payroll giving, provides employees with an automated way to donate to their charity of choice. Participation in WPG is low with the national average at 4.7 per cent.</w:t>
            </w:r>
          </w:p>
        </w:tc>
      </w:tr>
    </w:tbl>
    <w:p w14:paraId="75991AEA" w14:textId="02D74007" w:rsidR="00DA2B11" w:rsidRPr="00DD17EB" w:rsidRDefault="000D319E" w:rsidP="009A394A">
      <w:pPr>
        <w:rPr>
          <w:color w:val="808080" w:themeColor="background1" w:themeShade="80"/>
        </w:rPr>
      </w:pPr>
      <w:r w:rsidRPr="00DD17EB">
        <w:rPr>
          <w:color w:val="808080" w:themeColor="background1" w:themeShade="80"/>
        </w:rPr>
        <w:t>[ Text ]</w:t>
      </w:r>
    </w:p>
    <w:p w14:paraId="5D2144C2" w14:textId="6057B718" w:rsidR="00572B1B" w:rsidRDefault="00572B1B">
      <w:pPr>
        <w:suppressAutoHyphens w:val="0"/>
        <w:spacing w:before="0" w:after="120" w:line="440" w:lineRule="atLeast"/>
      </w:pPr>
      <w:r>
        <w:br w:type="page"/>
      </w:r>
    </w:p>
    <w:p w14:paraId="2017EDC9" w14:textId="77777777" w:rsidR="00572B1B" w:rsidRPr="009A394A" w:rsidRDefault="00572B1B" w:rsidP="009A394A"/>
    <w:p w14:paraId="12ACAD7B" w14:textId="77777777" w:rsidR="004D26E9" w:rsidRDefault="004D26E9" w:rsidP="004D26E9">
      <w:pPr>
        <w:pStyle w:val="Heading1"/>
        <w:spacing w:before="0" w:line="240" w:lineRule="auto"/>
      </w:pPr>
      <w:bookmarkStart w:id="2" w:name="_Toc170814970"/>
      <w:r>
        <w:t>Trial aim</w:t>
      </w:r>
      <w:bookmarkEnd w:id="2"/>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40A38" w14:paraId="023DDE4F" w14:textId="77777777" w:rsidTr="009247AF">
        <w:tc>
          <w:tcPr>
            <w:tcW w:w="9060" w:type="dxa"/>
            <w:shd w:val="clear" w:color="auto" w:fill="FCDDD2" w:themeFill="accent6" w:themeFillTint="33"/>
          </w:tcPr>
          <w:p w14:paraId="0C36AF55" w14:textId="77777777" w:rsidR="00740A38" w:rsidRPr="00C127FB" w:rsidRDefault="00740A38" w:rsidP="00F42905">
            <w:pPr>
              <w:jc w:val="both"/>
            </w:pPr>
            <w:r w:rsidRPr="00C127FB">
              <w:t xml:space="preserve">Brief lay-person description of the aim of the project in relation to the policy context outlined above. </w:t>
            </w:r>
          </w:p>
          <w:p w14:paraId="3488E174" w14:textId="1D65C836" w:rsidR="00740A38" w:rsidRDefault="00740A38" w:rsidP="00F42905">
            <w:pPr>
              <w:jc w:val="both"/>
            </w:pPr>
            <w:r w:rsidRPr="00047BDD">
              <w:rPr>
                <w:rStyle w:val="Strong"/>
              </w:rPr>
              <w:t>Example:</w:t>
            </w:r>
            <w:r w:rsidRPr="00047BDD">
              <w:t xml:space="preserve"> The aim of this trial is evaluating the impact of emails designed to increase the rate of workplace giving. Specifically, we will test the effect of encouraging staff to sign up now to start giving at a point in the future.</w:t>
            </w:r>
          </w:p>
        </w:tc>
      </w:tr>
    </w:tbl>
    <w:p w14:paraId="612D94E2" w14:textId="0E4897CC" w:rsidR="00611C12" w:rsidRPr="00DD17EB" w:rsidRDefault="00E93FF4" w:rsidP="00611C12">
      <w:pPr>
        <w:rPr>
          <w:color w:val="808080" w:themeColor="background1" w:themeShade="80"/>
        </w:rPr>
      </w:pPr>
      <w:r w:rsidRPr="00DD17EB">
        <w:rPr>
          <w:color w:val="808080" w:themeColor="background1" w:themeShade="80"/>
        </w:rPr>
        <w:t>[ Text ]</w:t>
      </w:r>
    </w:p>
    <w:p w14:paraId="0AA06AA1" w14:textId="77777777" w:rsidR="00DA2B11" w:rsidRPr="00611C12" w:rsidRDefault="00DA2B11" w:rsidP="00572B1B"/>
    <w:p w14:paraId="1A3A4BE9" w14:textId="63D031EF" w:rsidR="00BA048C" w:rsidRDefault="00BA048C" w:rsidP="00BA048C">
      <w:pPr>
        <w:pStyle w:val="Heading1"/>
        <w:spacing w:before="0" w:line="240" w:lineRule="auto"/>
      </w:pPr>
      <w:bookmarkStart w:id="3" w:name="_Toc170814971"/>
      <w:r>
        <w:t>Intervention(s)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40A38" w14:paraId="58E8E217" w14:textId="77777777" w:rsidTr="007005C7">
        <w:tc>
          <w:tcPr>
            <w:tcW w:w="9060" w:type="dxa"/>
            <w:shd w:val="clear" w:color="auto" w:fill="FCDDD2" w:themeFill="accent6" w:themeFillTint="33"/>
          </w:tcPr>
          <w:p w14:paraId="7D6B2D35" w14:textId="3CADD82B" w:rsidR="00740A38" w:rsidRPr="00C127FB" w:rsidRDefault="00740A38" w:rsidP="00F42905">
            <w:pPr>
              <w:jc w:val="both"/>
            </w:pPr>
            <w:r w:rsidRPr="00C127FB">
              <w:t>Brief description of the intervention(s): it is not necessary to provide an exhaustive description. A detailed description of the intervention, its program logic and/or theory of</w:t>
            </w:r>
            <w:r w:rsidR="00C127FB">
              <w:t> </w:t>
            </w:r>
            <w:r w:rsidRPr="00C127FB">
              <w:t>change could be provided in a separate evaluation plan. Define how you will refer to each treatment group. This is especially important in more complex designs, and these terms should be identified in a way that can be used in the analysis code.</w:t>
            </w:r>
          </w:p>
          <w:p w14:paraId="13B24E95" w14:textId="6D6ED8A0" w:rsidR="00740A38" w:rsidRPr="005F7243" w:rsidRDefault="00740A38" w:rsidP="00F42905">
            <w:pPr>
              <w:pStyle w:val="Bullet"/>
              <w:numPr>
                <w:ilvl w:val="0"/>
                <w:numId w:val="0"/>
              </w:numPr>
              <w:jc w:val="both"/>
              <w:rPr>
                <w:color w:val="auto"/>
              </w:rPr>
            </w:pPr>
            <w:r w:rsidRPr="005F7243">
              <w:rPr>
                <w:rStyle w:val="Strong"/>
                <w:color w:val="auto"/>
              </w:rPr>
              <w:t>Example</w:t>
            </w:r>
            <w:r w:rsidR="00572B1B" w:rsidRPr="005F7243">
              <w:rPr>
                <w:rStyle w:val="Strong"/>
                <w:color w:val="auto"/>
              </w:rPr>
              <w:t> </w:t>
            </w:r>
            <w:r w:rsidRPr="005F7243">
              <w:rPr>
                <w:rStyle w:val="Strong"/>
                <w:color w:val="auto"/>
              </w:rPr>
              <w:t>1 – Simple two arm design:</w:t>
            </w:r>
            <w:r w:rsidRPr="005F7243">
              <w:rPr>
                <w:color w:val="auto"/>
              </w:rPr>
              <w:t xml:space="preserve"> Control (C) = No text message. </w:t>
            </w:r>
            <w:r w:rsidR="000F25C3" w:rsidRPr="005F7243">
              <w:rPr>
                <w:color w:val="auto"/>
              </w:rPr>
              <w:br/>
            </w:r>
            <w:r w:rsidRPr="005F7243">
              <w:rPr>
                <w:color w:val="auto"/>
              </w:rPr>
              <w:t>Treatment</w:t>
            </w:r>
            <w:r w:rsidR="00572B1B" w:rsidRPr="005F7243">
              <w:rPr>
                <w:color w:val="auto"/>
              </w:rPr>
              <w:t> </w:t>
            </w:r>
            <w:r w:rsidRPr="005F7243">
              <w:rPr>
                <w:color w:val="auto"/>
              </w:rPr>
              <w:t>(T) = Individuals will receive a text message informing them about workplace giving.</w:t>
            </w:r>
          </w:p>
          <w:p w14:paraId="79C88CA0" w14:textId="77777777" w:rsidR="00740A38" w:rsidRPr="005F7243" w:rsidRDefault="00740A38" w:rsidP="00F42905">
            <w:pPr>
              <w:pStyle w:val="Bullet"/>
              <w:numPr>
                <w:ilvl w:val="0"/>
                <w:numId w:val="0"/>
              </w:numPr>
              <w:jc w:val="both"/>
              <w:rPr>
                <w:color w:val="auto"/>
              </w:rPr>
            </w:pPr>
            <w:r w:rsidRPr="005F7243">
              <w:rPr>
                <w:rStyle w:val="Strong"/>
                <w:color w:val="auto"/>
              </w:rPr>
              <w:t>Example 2 – More complex design:</w:t>
            </w:r>
            <w:r w:rsidRPr="005F7243">
              <w:rPr>
                <w:color w:val="auto"/>
              </w:rPr>
              <w:t xml:space="preserve"> The trial will be a 2x2 factorial design, with two independent variables: (A) Messenger - The email will be sent from either a member of the senior executive service or a non-SES staff member (peer). (B) Signup system - Emails will include a link to either the current signup information page (current) or a simplified signup form (simplified). The table below shows the notation used to refer to individual groups.</w:t>
            </w:r>
          </w:p>
          <w:p w14:paraId="31FA29E4" w14:textId="77777777" w:rsidR="00062533" w:rsidRPr="005F7243" w:rsidRDefault="00062533" w:rsidP="00062533">
            <w:pPr>
              <w:rPr>
                <w:rStyle w:val="Strong"/>
                <w:i/>
                <w:iCs/>
              </w:rPr>
            </w:pPr>
            <w:r w:rsidRPr="005F7243">
              <w:rPr>
                <w:rStyle w:val="Strong"/>
                <w:i/>
                <w:iCs/>
              </w:rPr>
              <w:t>Table: description of 2x2 factorial design</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32"/>
              <w:gridCol w:w="2099"/>
              <w:gridCol w:w="2192"/>
              <w:gridCol w:w="1963"/>
            </w:tblGrid>
            <w:tr w:rsidR="005F7243" w:rsidRPr="005F7243" w14:paraId="69AB41F6" w14:textId="77777777" w:rsidTr="005531F9">
              <w:tc>
                <w:tcPr>
                  <w:tcW w:w="4335" w:type="dxa"/>
                  <w:gridSpan w:val="2"/>
                  <w:vMerge w:val="restart"/>
                  <w:shd w:val="clear" w:color="auto" w:fill="F4F9FA"/>
                </w:tcPr>
                <w:p w14:paraId="6525EBD7" w14:textId="77777777" w:rsidR="00062533" w:rsidRPr="005F7243" w:rsidRDefault="00062533" w:rsidP="00062533">
                  <w:pPr>
                    <w:rPr>
                      <w:b/>
                      <w:bCs/>
                    </w:rPr>
                  </w:pPr>
                </w:p>
              </w:tc>
              <w:tc>
                <w:tcPr>
                  <w:tcW w:w="4159" w:type="dxa"/>
                  <w:gridSpan w:val="2"/>
                  <w:shd w:val="clear" w:color="auto" w:fill="F4F9FA"/>
                </w:tcPr>
                <w:p w14:paraId="7AD5730A" w14:textId="77777777" w:rsidR="00062533" w:rsidRPr="005F7243" w:rsidRDefault="00062533" w:rsidP="00062533">
                  <w:pPr>
                    <w:pStyle w:val="ListParagraph"/>
                    <w:numPr>
                      <w:ilvl w:val="0"/>
                      <w:numId w:val="26"/>
                    </w:numPr>
                    <w:suppressAutoHyphens w:val="0"/>
                    <w:spacing w:before="120" w:after="120" w:line="240" w:lineRule="auto"/>
                    <w:jc w:val="center"/>
                  </w:pPr>
                  <w:r w:rsidRPr="005F7243">
                    <w:t>Messenger</w:t>
                  </w:r>
                </w:p>
              </w:tc>
            </w:tr>
            <w:tr w:rsidR="005F7243" w:rsidRPr="005F7243" w14:paraId="7C2B2ED4" w14:textId="77777777" w:rsidTr="0070131B">
              <w:tc>
                <w:tcPr>
                  <w:tcW w:w="4335" w:type="dxa"/>
                  <w:gridSpan w:val="2"/>
                  <w:vMerge/>
                  <w:tcBorders>
                    <w:bottom w:val="single" w:sz="2" w:space="0" w:color="000000" w:themeColor="text1"/>
                  </w:tcBorders>
                  <w:shd w:val="clear" w:color="auto" w:fill="F4F9FA"/>
                </w:tcPr>
                <w:p w14:paraId="6A0E79F8" w14:textId="77777777" w:rsidR="00062533" w:rsidRPr="005F7243" w:rsidRDefault="00062533" w:rsidP="00062533"/>
              </w:tc>
              <w:tc>
                <w:tcPr>
                  <w:tcW w:w="2194" w:type="dxa"/>
                  <w:shd w:val="clear" w:color="auto" w:fill="F4F9FA"/>
                </w:tcPr>
                <w:p w14:paraId="486A05BF" w14:textId="77777777" w:rsidR="00062533" w:rsidRPr="005F7243" w:rsidRDefault="00062533" w:rsidP="00062533">
                  <w:r w:rsidRPr="005F7243">
                    <w:t>SES</w:t>
                  </w:r>
                </w:p>
              </w:tc>
              <w:tc>
                <w:tcPr>
                  <w:tcW w:w="1965" w:type="dxa"/>
                  <w:shd w:val="clear" w:color="auto" w:fill="F4F9FA"/>
                </w:tcPr>
                <w:p w14:paraId="266B4462" w14:textId="77777777" w:rsidR="00062533" w:rsidRPr="005F7243" w:rsidRDefault="00062533" w:rsidP="00062533">
                  <w:r w:rsidRPr="005F7243">
                    <w:t>Peer</w:t>
                  </w:r>
                </w:p>
              </w:tc>
            </w:tr>
            <w:tr w:rsidR="005F7243" w:rsidRPr="005F7243" w14:paraId="63B82C23" w14:textId="77777777" w:rsidTr="0070131B">
              <w:tc>
                <w:tcPr>
                  <w:tcW w:w="2234" w:type="dxa"/>
                  <w:vMerge w:val="restart"/>
                  <w:shd w:val="clear" w:color="auto" w:fill="F4F9FA"/>
                </w:tcPr>
                <w:p w14:paraId="1FB062F2" w14:textId="77777777" w:rsidR="00062533" w:rsidRPr="005F7243" w:rsidRDefault="00062533" w:rsidP="00062533">
                  <w:r w:rsidRPr="005F7243">
                    <w:t>Signup system</w:t>
                  </w:r>
                </w:p>
              </w:tc>
              <w:tc>
                <w:tcPr>
                  <w:tcW w:w="2101" w:type="dxa"/>
                  <w:shd w:val="clear" w:color="auto" w:fill="F4F9FA"/>
                </w:tcPr>
                <w:p w14:paraId="4CD08EFE" w14:textId="77777777" w:rsidR="00062533" w:rsidRPr="005F7243" w:rsidRDefault="00062533" w:rsidP="00062533">
                  <w:r w:rsidRPr="005F7243">
                    <w:t>Current</w:t>
                  </w:r>
                </w:p>
              </w:tc>
              <w:tc>
                <w:tcPr>
                  <w:tcW w:w="2194" w:type="dxa"/>
                </w:tcPr>
                <w:p w14:paraId="780A7F23" w14:textId="77777777" w:rsidR="00062533" w:rsidRPr="005F7243" w:rsidRDefault="00062533" w:rsidP="00062533">
                  <w:r w:rsidRPr="005F7243">
                    <w:rPr>
                      <w:lang w:val="en-US"/>
                    </w:rPr>
                    <w:t>A0B0</w:t>
                  </w:r>
                </w:p>
              </w:tc>
              <w:tc>
                <w:tcPr>
                  <w:tcW w:w="1965" w:type="dxa"/>
                </w:tcPr>
                <w:p w14:paraId="45BC4BE3" w14:textId="77777777" w:rsidR="00062533" w:rsidRPr="005F7243" w:rsidRDefault="00062533" w:rsidP="00062533">
                  <w:r w:rsidRPr="005F7243">
                    <w:rPr>
                      <w:lang w:val="en-US"/>
                    </w:rPr>
                    <w:t>A1B0</w:t>
                  </w:r>
                </w:p>
              </w:tc>
            </w:tr>
            <w:tr w:rsidR="005F7243" w:rsidRPr="005F7243" w14:paraId="1C701DC5" w14:textId="77777777" w:rsidTr="0070131B">
              <w:tc>
                <w:tcPr>
                  <w:tcW w:w="2234" w:type="dxa"/>
                  <w:vMerge/>
                  <w:shd w:val="clear" w:color="auto" w:fill="F4F9FA"/>
                </w:tcPr>
                <w:p w14:paraId="2B823167" w14:textId="77777777" w:rsidR="00062533" w:rsidRPr="005F7243" w:rsidRDefault="00062533" w:rsidP="00062533"/>
              </w:tc>
              <w:tc>
                <w:tcPr>
                  <w:tcW w:w="2101" w:type="dxa"/>
                  <w:shd w:val="clear" w:color="auto" w:fill="F4F9FA"/>
                </w:tcPr>
                <w:p w14:paraId="3CAE0B78" w14:textId="77777777" w:rsidR="00062533" w:rsidRPr="005F7243" w:rsidRDefault="00062533" w:rsidP="00062533">
                  <w:r w:rsidRPr="005F7243">
                    <w:t>Simplified</w:t>
                  </w:r>
                </w:p>
              </w:tc>
              <w:tc>
                <w:tcPr>
                  <w:tcW w:w="2194" w:type="dxa"/>
                </w:tcPr>
                <w:p w14:paraId="7BFAC645" w14:textId="77777777" w:rsidR="00062533" w:rsidRPr="005F7243" w:rsidRDefault="00062533" w:rsidP="00062533">
                  <w:r w:rsidRPr="005F7243">
                    <w:rPr>
                      <w:lang w:val="en-US"/>
                    </w:rPr>
                    <w:t>A0B1</w:t>
                  </w:r>
                </w:p>
              </w:tc>
              <w:tc>
                <w:tcPr>
                  <w:tcW w:w="1965" w:type="dxa"/>
                </w:tcPr>
                <w:p w14:paraId="5E953070" w14:textId="77777777" w:rsidR="00062533" w:rsidRPr="005F7243" w:rsidRDefault="00062533" w:rsidP="00062533">
                  <w:r w:rsidRPr="005F7243">
                    <w:rPr>
                      <w:lang w:val="en-US"/>
                    </w:rPr>
                    <w:t>A1B1</w:t>
                  </w:r>
                </w:p>
              </w:tc>
            </w:tr>
          </w:tbl>
          <w:p w14:paraId="565012AA" w14:textId="753AE376" w:rsidR="00062533" w:rsidRPr="00740A38" w:rsidRDefault="00062533" w:rsidP="00D96BFD">
            <w:pPr>
              <w:pStyle w:val="Bullet"/>
              <w:numPr>
                <w:ilvl w:val="0"/>
                <w:numId w:val="0"/>
              </w:numPr>
            </w:pPr>
          </w:p>
        </w:tc>
      </w:tr>
    </w:tbl>
    <w:p w14:paraId="5B652012" w14:textId="7169063C" w:rsidR="00DA2B11" w:rsidRPr="00C14D81" w:rsidRDefault="00062533" w:rsidP="00572B1B">
      <w:pPr>
        <w:rPr>
          <w:color w:val="808080" w:themeColor="background1" w:themeShade="80"/>
        </w:rPr>
      </w:pPr>
      <w:r w:rsidRPr="00C14D81">
        <w:rPr>
          <w:color w:val="808080" w:themeColor="background1" w:themeShade="80"/>
        </w:rPr>
        <w:t xml:space="preserve"> </w:t>
      </w:r>
      <w:r w:rsidR="003B7B3E" w:rsidRPr="00C14D81">
        <w:rPr>
          <w:color w:val="808080" w:themeColor="background1" w:themeShade="80"/>
        </w:rPr>
        <w:t>[ Text ]</w:t>
      </w:r>
    </w:p>
    <w:p w14:paraId="66C16C16" w14:textId="255C826D" w:rsidR="00572B1B" w:rsidRPr="00572B1B" w:rsidRDefault="00572B1B" w:rsidP="00572B1B">
      <w:r w:rsidRPr="00572B1B">
        <w:br w:type="page"/>
      </w:r>
    </w:p>
    <w:p w14:paraId="709285DE" w14:textId="2F1DE082" w:rsidR="003B7B3E" w:rsidRDefault="005D2C3D" w:rsidP="003B7B3E">
      <w:pPr>
        <w:pStyle w:val="Heading1"/>
        <w:spacing w:before="0" w:line="240" w:lineRule="auto"/>
      </w:pPr>
      <w:bookmarkStart w:id="4" w:name="_Toc170814972"/>
      <w:r>
        <w:lastRenderedPageBreak/>
        <w:t>Outcome measure</w:t>
      </w:r>
      <w:r w:rsidR="003B7B3E">
        <w:t>(s)</w:t>
      </w:r>
      <w:bookmarkEnd w:id="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0F25C3" w14:paraId="41C0327F" w14:textId="77777777" w:rsidTr="007005C7">
        <w:tc>
          <w:tcPr>
            <w:tcW w:w="9060" w:type="dxa"/>
            <w:shd w:val="clear" w:color="auto" w:fill="FCDDD2" w:themeFill="accent6" w:themeFillTint="33"/>
          </w:tcPr>
          <w:p w14:paraId="22857516" w14:textId="77777777" w:rsidR="000F25C3" w:rsidRPr="005F7243" w:rsidRDefault="000F25C3" w:rsidP="00F42905">
            <w:pPr>
              <w:jc w:val="both"/>
            </w:pPr>
            <w:r w:rsidRPr="005F7243">
              <w:t>This section should explain what we are measuring in terms of primary and secondary outcomes. It should provide enough information to allow the reader to recreate the outcome. Ensure that you cover what we are trying to measure conceptually (academic achievement) and how we’re operationalising it (marks). Cleary delineate primary and secondary outcome measures (subheadings can be used here).</w:t>
            </w:r>
          </w:p>
          <w:p w14:paraId="74E99A64" w14:textId="15214064" w:rsidR="000F25C3" w:rsidRPr="005F7243" w:rsidRDefault="000F25C3" w:rsidP="00F42905">
            <w:pPr>
              <w:pStyle w:val="Bullet"/>
              <w:numPr>
                <w:ilvl w:val="0"/>
                <w:numId w:val="0"/>
              </w:numPr>
              <w:jc w:val="both"/>
              <w:rPr>
                <w:color w:val="auto"/>
              </w:rPr>
            </w:pPr>
            <w:r w:rsidRPr="005F7243">
              <w:rPr>
                <w:rStyle w:val="Strong"/>
                <w:color w:val="auto"/>
              </w:rPr>
              <w:t>Example:</w:t>
            </w:r>
            <w:r w:rsidRPr="005F7243">
              <w:rPr>
                <w:color w:val="auto"/>
              </w:rPr>
              <w:t xml:space="preserve"> </w:t>
            </w:r>
            <w:r w:rsidRPr="005F7243">
              <w:rPr>
                <w:rStyle w:val="Strong"/>
                <w:color w:val="auto"/>
              </w:rPr>
              <w:t>Academic performance</w:t>
            </w:r>
            <w:r w:rsidRPr="005F7243">
              <w:rPr>
                <w:color w:val="auto"/>
              </w:rPr>
              <w:t xml:space="preserve"> – this will be measured using subject marks extracted from the university administrative system. Marks are expressed as a score out of 100, and will be averaged across subjects for each student.</w:t>
            </w:r>
          </w:p>
          <w:p w14:paraId="150CFAC8" w14:textId="77777777" w:rsidR="000F25C3" w:rsidRPr="005F7243" w:rsidRDefault="000F25C3" w:rsidP="00F42905">
            <w:pPr>
              <w:pStyle w:val="Bullet"/>
              <w:numPr>
                <w:ilvl w:val="0"/>
                <w:numId w:val="0"/>
              </w:numPr>
              <w:jc w:val="both"/>
              <w:rPr>
                <w:color w:val="auto"/>
              </w:rPr>
            </w:pPr>
            <w:r w:rsidRPr="005F7243">
              <w:rPr>
                <w:rStyle w:val="Strong"/>
                <w:color w:val="auto"/>
              </w:rPr>
              <w:t>Example:</w:t>
            </w:r>
            <w:r w:rsidRPr="005F7243">
              <w:rPr>
                <w:color w:val="auto"/>
              </w:rPr>
              <w:t xml:space="preserve"> </w:t>
            </w:r>
            <w:r w:rsidRPr="005F7243">
              <w:rPr>
                <w:rStyle w:val="Strong"/>
                <w:color w:val="auto"/>
              </w:rPr>
              <w:t>Sale of add-on insurance</w:t>
            </w:r>
            <w:r w:rsidRPr="005F7243">
              <w:rPr>
                <w:color w:val="auto"/>
              </w:rPr>
              <w:t xml:space="preserve"> – operationalized using a self-reported “decision” to buy add-on insurance (in a hypothetical scenario), where participants indicate either “yes, I would like to buy the insurance”, or “no, I would not like to buy the insurance” (0 = no, 1 = yes). From this binary measure we will calculate sample proportions.</w:t>
            </w:r>
          </w:p>
          <w:p w14:paraId="29E07F56" w14:textId="77777777" w:rsidR="003D67EC" w:rsidRPr="005F7243" w:rsidRDefault="003D67EC" w:rsidP="00CD1ABC">
            <w:pPr>
              <w:pStyle w:val="Bullet"/>
              <w:numPr>
                <w:ilvl w:val="0"/>
                <w:numId w:val="0"/>
              </w:numPr>
              <w:rPr>
                <w:color w:val="auto"/>
              </w:rPr>
            </w:pPr>
          </w:p>
          <w:p w14:paraId="2DFD8135" w14:textId="77777777" w:rsidR="00062533" w:rsidRPr="005F7243" w:rsidRDefault="00062533" w:rsidP="00062533">
            <w:pPr>
              <w:rPr>
                <w:rStyle w:val="Strong"/>
                <w:i/>
                <w:iCs/>
              </w:rPr>
            </w:pPr>
            <w:r w:rsidRPr="005F7243">
              <w:rPr>
                <w:rStyle w:val="Strong"/>
                <w:i/>
                <w:iCs/>
              </w:rPr>
              <w:t>Table: description of primary and secondary outcome variables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424"/>
              <w:gridCol w:w="2991"/>
              <w:gridCol w:w="4071"/>
            </w:tblGrid>
            <w:tr w:rsidR="005F7243" w:rsidRPr="005F7243" w14:paraId="3F103454" w14:textId="77777777" w:rsidTr="005531F9">
              <w:trPr>
                <w:trHeight w:val="300"/>
              </w:trPr>
              <w:tc>
                <w:tcPr>
                  <w:tcW w:w="1425" w:type="dxa"/>
                  <w:vMerge w:val="restart"/>
                  <w:shd w:val="clear" w:color="auto" w:fill="F4F9FA"/>
                </w:tcPr>
                <w:p w14:paraId="71528AB8" w14:textId="77777777" w:rsidR="00062533" w:rsidRPr="005F7243" w:rsidRDefault="00062533" w:rsidP="00062533">
                  <w:r w:rsidRPr="005F7243">
                    <w:t>Primary outcome</w:t>
                  </w:r>
                </w:p>
              </w:tc>
              <w:tc>
                <w:tcPr>
                  <w:tcW w:w="3011" w:type="dxa"/>
                  <w:shd w:val="clear" w:color="auto" w:fill="F4F9FA"/>
                </w:tcPr>
                <w:p w14:paraId="06A0A517" w14:textId="77777777" w:rsidR="00062533" w:rsidRPr="005F7243" w:rsidRDefault="00062533" w:rsidP="00062533">
                  <w:r w:rsidRPr="005F7243">
                    <w:t>Variable</w:t>
                  </w:r>
                </w:p>
              </w:tc>
              <w:tc>
                <w:tcPr>
                  <w:tcW w:w="4104" w:type="dxa"/>
                </w:tcPr>
                <w:p w14:paraId="5BEA1ABA" w14:textId="77777777" w:rsidR="00062533" w:rsidRPr="005F7243" w:rsidRDefault="00062533" w:rsidP="00062533">
                  <w:r w:rsidRPr="005F7243">
                    <w:t>e.g. Academic performance</w:t>
                  </w:r>
                </w:p>
              </w:tc>
            </w:tr>
            <w:tr w:rsidR="005F7243" w:rsidRPr="005F7243" w14:paraId="2C631B68" w14:textId="77777777" w:rsidTr="005531F9">
              <w:trPr>
                <w:trHeight w:val="300"/>
              </w:trPr>
              <w:tc>
                <w:tcPr>
                  <w:tcW w:w="1425" w:type="dxa"/>
                  <w:vMerge/>
                  <w:shd w:val="clear" w:color="auto" w:fill="F4F9FA"/>
                </w:tcPr>
                <w:p w14:paraId="6BB43D6D" w14:textId="77777777" w:rsidR="00062533" w:rsidRPr="005F7243" w:rsidRDefault="00062533" w:rsidP="00062533"/>
              </w:tc>
              <w:tc>
                <w:tcPr>
                  <w:tcW w:w="3011" w:type="dxa"/>
                  <w:shd w:val="clear" w:color="auto" w:fill="F4F9FA"/>
                </w:tcPr>
                <w:p w14:paraId="7CA5604D" w14:textId="77777777" w:rsidR="00062533" w:rsidRPr="005F7243" w:rsidRDefault="00062533" w:rsidP="00062533">
                  <w:r w:rsidRPr="005F7243">
                    <w:t>Measure (instrument, scale, source)</w:t>
                  </w:r>
                </w:p>
              </w:tc>
              <w:tc>
                <w:tcPr>
                  <w:tcW w:w="4104" w:type="dxa"/>
                </w:tcPr>
                <w:p w14:paraId="6F6C64C7" w14:textId="77777777" w:rsidR="00062533" w:rsidRPr="005F7243" w:rsidRDefault="00062533" w:rsidP="00062533">
                  <w:r w:rsidRPr="005F7243">
                    <w:t>e.g. A student’s average mark out of 100, averaged across subjects for each student</w:t>
                  </w:r>
                </w:p>
              </w:tc>
            </w:tr>
            <w:tr w:rsidR="005F7243" w:rsidRPr="005F7243" w14:paraId="677962B6" w14:textId="77777777" w:rsidTr="005531F9">
              <w:trPr>
                <w:trHeight w:val="300"/>
              </w:trPr>
              <w:tc>
                <w:tcPr>
                  <w:tcW w:w="1425" w:type="dxa"/>
                  <w:vMerge w:val="restart"/>
                  <w:shd w:val="clear" w:color="auto" w:fill="F4F9FA"/>
                </w:tcPr>
                <w:p w14:paraId="711F3B05" w14:textId="77777777" w:rsidR="00062533" w:rsidRPr="005F7243" w:rsidRDefault="00062533" w:rsidP="00062533">
                  <w:r w:rsidRPr="005F7243">
                    <w:t>Secondary outcome(s)</w:t>
                  </w:r>
                </w:p>
              </w:tc>
              <w:tc>
                <w:tcPr>
                  <w:tcW w:w="3011" w:type="dxa"/>
                  <w:shd w:val="clear" w:color="auto" w:fill="F4F9FA"/>
                </w:tcPr>
                <w:p w14:paraId="562831A4" w14:textId="77777777" w:rsidR="00062533" w:rsidRPr="005F7243" w:rsidRDefault="00062533" w:rsidP="00062533">
                  <w:r w:rsidRPr="005F7243">
                    <w:t>Variable(s)</w:t>
                  </w:r>
                </w:p>
              </w:tc>
              <w:tc>
                <w:tcPr>
                  <w:tcW w:w="4104" w:type="dxa"/>
                </w:tcPr>
                <w:p w14:paraId="5F05401C" w14:textId="77777777" w:rsidR="00062533" w:rsidRPr="005F7243" w:rsidRDefault="00062533" w:rsidP="00062533"/>
              </w:tc>
            </w:tr>
            <w:tr w:rsidR="005F7243" w:rsidRPr="005F7243" w14:paraId="0A2F7B08" w14:textId="77777777" w:rsidTr="005531F9">
              <w:trPr>
                <w:trHeight w:val="300"/>
              </w:trPr>
              <w:tc>
                <w:tcPr>
                  <w:tcW w:w="1425" w:type="dxa"/>
                  <w:vMerge/>
                  <w:shd w:val="clear" w:color="auto" w:fill="F4F9FA"/>
                </w:tcPr>
                <w:p w14:paraId="36CCD994" w14:textId="77777777" w:rsidR="00062533" w:rsidRPr="005F7243" w:rsidRDefault="00062533" w:rsidP="00062533"/>
              </w:tc>
              <w:tc>
                <w:tcPr>
                  <w:tcW w:w="3011" w:type="dxa"/>
                  <w:shd w:val="clear" w:color="auto" w:fill="F4F9FA"/>
                </w:tcPr>
                <w:p w14:paraId="6BC3C719" w14:textId="77777777" w:rsidR="00062533" w:rsidRPr="005F7243" w:rsidRDefault="00062533" w:rsidP="00062533">
                  <w:r w:rsidRPr="005F7243">
                    <w:t>Measure(s) (instrument, scale, source)</w:t>
                  </w:r>
                </w:p>
              </w:tc>
              <w:tc>
                <w:tcPr>
                  <w:tcW w:w="4104" w:type="dxa"/>
                </w:tcPr>
                <w:p w14:paraId="50B9FD19" w14:textId="77777777" w:rsidR="00062533" w:rsidRPr="005F7243" w:rsidRDefault="00062533" w:rsidP="00062533"/>
              </w:tc>
            </w:tr>
          </w:tbl>
          <w:p w14:paraId="279CB45E" w14:textId="7069B96E" w:rsidR="00062533" w:rsidRPr="005F7243" w:rsidRDefault="00062533" w:rsidP="00CD1ABC">
            <w:pPr>
              <w:pStyle w:val="Bullet"/>
              <w:numPr>
                <w:ilvl w:val="0"/>
                <w:numId w:val="0"/>
              </w:numPr>
              <w:rPr>
                <w:color w:val="auto"/>
              </w:rPr>
            </w:pPr>
          </w:p>
        </w:tc>
      </w:tr>
    </w:tbl>
    <w:p w14:paraId="736CF9D1" w14:textId="4DAB34B5" w:rsidR="009C4997" w:rsidRDefault="00062533" w:rsidP="009C4997">
      <w:pPr>
        <w:rPr>
          <w:color w:val="808080" w:themeColor="background1" w:themeShade="80"/>
        </w:rPr>
      </w:pPr>
      <w:r w:rsidRPr="00CB63C6">
        <w:rPr>
          <w:color w:val="808080" w:themeColor="background1" w:themeShade="80"/>
        </w:rPr>
        <w:t xml:space="preserve"> </w:t>
      </w:r>
      <w:r w:rsidR="009C4997" w:rsidRPr="00CB63C6">
        <w:rPr>
          <w:color w:val="808080" w:themeColor="background1" w:themeShade="80"/>
        </w:rPr>
        <w:t>[ Text ]</w:t>
      </w:r>
    </w:p>
    <w:p w14:paraId="68768657" w14:textId="77777777" w:rsidR="00CE3856" w:rsidRPr="00CB63C6" w:rsidRDefault="00CE3856" w:rsidP="009C4997">
      <w:pPr>
        <w:rPr>
          <w:color w:val="808080" w:themeColor="background1" w:themeShade="80"/>
        </w:rPr>
      </w:pPr>
    </w:p>
    <w:p w14:paraId="67203430" w14:textId="77777777" w:rsidR="00CE3856" w:rsidRDefault="00CE3856" w:rsidP="00CE3856">
      <w:pPr>
        <w:pStyle w:val="Heading1"/>
        <w:spacing w:before="0" w:line="240" w:lineRule="auto"/>
      </w:pPr>
      <w:bookmarkStart w:id="5" w:name="_Toc170814973"/>
      <w:r>
        <w:t>Population of interest and sample collection</w:t>
      </w:r>
      <w:bookmarkEnd w:id="5"/>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CE3856" w14:paraId="373F09B4" w14:textId="77777777" w:rsidTr="00BA73F2">
        <w:tc>
          <w:tcPr>
            <w:tcW w:w="9060" w:type="dxa"/>
            <w:shd w:val="clear" w:color="auto" w:fill="FCDDD2" w:themeFill="accent6" w:themeFillTint="33"/>
          </w:tcPr>
          <w:p w14:paraId="597F138A" w14:textId="77777777" w:rsidR="00CE3856" w:rsidRPr="005F7243" w:rsidRDefault="00CE3856" w:rsidP="00F42905">
            <w:pPr>
              <w:jc w:val="both"/>
            </w:pPr>
            <w:r w:rsidRPr="005F7243">
              <w:t>This should start by describing the population of interest that we want to learn about, and to whom we are hoping to generalise our research. It should then explain how we are sampling individuals from this population, and how generalizable our sample will be back to the population (that is, the ‘external validity’ of the trial results). Also include any inclusion/exclusion criteria: estimated size, trial recruitment method, trial setting and locations.</w:t>
            </w:r>
          </w:p>
          <w:p w14:paraId="7B1D89DE" w14:textId="77777777" w:rsidR="00CE3856" w:rsidRPr="005F7243" w:rsidRDefault="00CE3856" w:rsidP="00F42905">
            <w:pPr>
              <w:jc w:val="both"/>
            </w:pPr>
            <w:r w:rsidRPr="005F7243">
              <w:rPr>
                <w:rStyle w:val="Strong"/>
              </w:rPr>
              <w:t>Example:</w:t>
            </w:r>
            <w:r w:rsidRPr="005F7243">
              <w:t xml:space="preserve"> Our population of interest is high-prescribing general practitioners (GPs) in Australia. We will use the Medicare database to sample GPs for inclusion in our study. All GPs will be included who meet the inclusion criteria for ‘high prescribers’. Our sample </w:t>
            </w:r>
            <w:r w:rsidRPr="005F7243">
              <w:lastRenderedPageBreak/>
              <w:t>will exclude all prescribers with less than 50 scripts and those in the top 2 per cent of prescribers, as these records may not be reliable. We will select general practitioners who are in the top 30 per cent of prescribers in their region (SA4), based on their average prescription rate over the 12 months prior to the trial. This gives approximately 6,650 individual GPs who are ‘high prescribers’.</w:t>
            </w:r>
          </w:p>
        </w:tc>
      </w:tr>
    </w:tbl>
    <w:p w14:paraId="08640234" w14:textId="77777777" w:rsidR="00CE3856" w:rsidRDefault="00CE3856" w:rsidP="00CE3856">
      <w:pPr>
        <w:rPr>
          <w:color w:val="808080" w:themeColor="background1" w:themeShade="80"/>
        </w:rPr>
      </w:pPr>
      <w:r w:rsidRPr="00CB63C6">
        <w:rPr>
          <w:color w:val="808080" w:themeColor="background1" w:themeShade="80"/>
        </w:rPr>
        <w:lastRenderedPageBreak/>
        <w:t>[ Text ]</w:t>
      </w:r>
    </w:p>
    <w:p w14:paraId="129B8B24" w14:textId="77777777" w:rsidR="003A4179" w:rsidRPr="00CB63C6" w:rsidRDefault="003A4179" w:rsidP="00CE3856">
      <w:pPr>
        <w:rPr>
          <w:color w:val="808080" w:themeColor="background1" w:themeShade="80"/>
        </w:rPr>
      </w:pPr>
    </w:p>
    <w:p w14:paraId="069F82EB" w14:textId="77777777" w:rsidR="00F42905" w:rsidRDefault="00F42905" w:rsidP="00F42905">
      <w:pPr>
        <w:pStyle w:val="Heading1"/>
        <w:spacing w:before="0" w:line="240" w:lineRule="auto"/>
      </w:pPr>
      <w:bookmarkStart w:id="6" w:name="_Toc170814974"/>
      <w:r>
        <w:t>Sample size calculations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F42905" w14:paraId="212455F3" w14:textId="77777777" w:rsidTr="00BA73F2">
        <w:tc>
          <w:tcPr>
            <w:tcW w:w="9060" w:type="dxa"/>
            <w:shd w:val="clear" w:color="auto" w:fill="FCDDD2" w:themeFill="accent6" w:themeFillTint="33"/>
          </w:tcPr>
          <w:p w14:paraId="306E3808" w14:textId="77777777" w:rsidR="00F42905" w:rsidRPr="005F7243" w:rsidRDefault="00F42905" w:rsidP="003A4179">
            <w:pPr>
              <w:jc w:val="both"/>
            </w:pPr>
            <w:r w:rsidRPr="005F7243">
              <w:t xml:space="preserve">Sample size estimates should be made for at least one primary hypothesis, and preferably all of them. These estimates should take design considerations into account (e.g. clustering, use of predictive covariates). They should state 'alpha' and 'beta' and justify these where possible. Where available, the effect sizes should be expressed as differences in means or proportions (provided these have meaning). If this is not possible use standardised effect sizes (cohen’s d or h). It is worthwhile justifying effect size estimates if possible (e.g. this the minimum effect size we’re interested in?). You could also consider performing a sensitivity analysis over a range of effect sizes if we don’t have a solid rational for selecting a specific effect size.  If correcting for multiple comparisons, this should be mentioned here and incorporated into power estimates. </w:t>
            </w:r>
          </w:p>
          <w:p w14:paraId="0F684966" w14:textId="718BC3DC" w:rsidR="00F42905" w:rsidRPr="005F7243" w:rsidRDefault="00F42905" w:rsidP="003A4179">
            <w:pPr>
              <w:pStyle w:val="Bullet"/>
              <w:numPr>
                <w:ilvl w:val="0"/>
                <w:numId w:val="0"/>
              </w:numPr>
              <w:jc w:val="both"/>
              <w:rPr>
                <w:color w:val="auto"/>
              </w:rPr>
            </w:pPr>
            <w:r w:rsidRPr="005F7243">
              <w:rPr>
                <w:rStyle w:val="Strong"/>
                <w:color w:val="auto"/>
              </w:rPr>
              <w:t>Example</w:t>
            </w:r>
            <w:r w:rsidR="006F4EC1" w:rsidRPr="005F7243">
              <w:rPr>
                <w:rStyle w:val="Strong"/>
                <w:color w:val="auto"/>
              </w:rPr>
              <w:t xml:space="preserve"> –</w:t>
            </w:r>
            <w:r w:rsidRPr="005F7243">
              <w:rPr>
                <w:rStyle w:val="Strong"/>
                <w:color w:val="auto"/>
              </w:rPr>
              <w:t xml:space="preserve"> Justifying alpha/beta:</w:t>
            </w:r>
            <w:r w:rsidRPr="005F7243">
              <w:rPr>
                <w:color w:val="auto"/>
              </w:rPr>
              <w:t xml:space="preserve"> In this trial we are less concerned with Type I error as the intervention is very low risk and it would be as bad to reject a possible real effect as accept a possibly spurious one. Accordingly, we will set alpha to 10% and beta to 10% (thus, power = 90%).</w:t>
            </w:r>
          </w:p>
          <w:p w14:paraId="2ED49444" w14:textId="475FABAC" w:rsidR="00F42905" w:rsidRPr="005F7243" w:rsidRDefault="00F42905" w:rsidP="003A4179">
            <w:pPr>
              <w:pStyle w:val="Bullet"/>
              <w:numPr>
                <w:ilvl w:val="0"/>
                <w:numId w:val="0"/>
              </w:numPr>
              <w:jc w:val="both"/>
              <w:rPr>
                <w:color w:val="auto"/>
              </w:rPr>
            </w:pPr>
            <w:r w:rsidRPr="005F7243">
              <w:rPr>
                <w:rStyle w:val="Strong"/>
                <w:color w:val="auto"/>
              </w:rPr>
              <w:t>Example</w:t>
            </w:r>
            <w:r w:rsidR="006F4EC1" w:rsidRPr="005F7243">
              <w:rPr>
                <w:rStyle w:val="Strong"/>
                <w:color w:val="auto"/>
              </w:rPr>
              <w:t xml:space="preserve"> –</w:t>
            </w:r>
            <w:r w:rsidRPr="005F7243">
              <w:rPr>
                <w:rStyle w:val="Strong"/>
                <w:color w:val="auto"/>
              </w:rPr>
              <w:t xml:space="preserve"> Justifying proposed effect size:</w:t>
            </w:r>
            <w:r w:rsidRPr="005F7243">
              <w:rPr>
                <w:color w:val="auto"/>
              </w:rPr>
              <w:t xml:space="preserve"> We will power the trial to detect a minimum effect size of 6 percentage points (based on a baseline rate of 40%). This effect size is feasible based on previous literature, and is also the smallest effect of interest from a policy perspective.</w:t>
            </w:r>
          </w:p>
          <w:p w14:paraId="7B8B1151" w14:textId="7D81A9AB" w:rsidR="00F42905" w:rsidRPr="005F7243" w:rsidRDefault="00F42905" w:rsidP="003A4179">
            <w:pPr>
              <w:pStyle w:val="Bullet"/>
              <w:numPr>
                <w:ilvl w:val="0"/>
                <w:numId w:val="0"/>
              </w:numPr>
              <w:jc w:val="both"/>
              <w:rPr>
                <w:color w:val="auto"/>
              </w:rPr>
            </w:pPr>
            <w:r w:rsidRPr="005F7243">
              <w:rPr>
                <w:rStyle w:val="Strong"/>
                <w:color w:val="auto"/>
              </w:rPr>
              <w:t>Example – Estimated sample size:</w:t>
            </w:r>
            <w:r w:rsidRPr="005F7243">
              <w:rPr>
                <w:color w:val="auto"/>
              </w:rPr>
              <w:t xml:space="preserve"> Using alpha = 0.1, beta = 0.1, and a minimum effect of 6 percentage points, we estimate we will need a total sample of 2,400 individuals (1,200 per arm).</w:t>
            </w:r>
          </w:p>
        </w:tc>
      </w:tr>
    </w:tbl>
    <w:p w14:paraId="0A021922" w14:textId="77777777" w:rsidR="00F42905" w:rsidRPr="00C511FD" w:rsidRDefault="00F42905" w:rsidP="00F42905">
      <w:pPr>
        <w:rPr>
          <w:color w:val="808080" w:themeColor="background1" w:themeShade="80"/>
        </w:rPr>
      </w:pPr>
      <w:r w:rsidRPr="00C511FD">
        <w:rPr>
          <w:color w:val="808080" w:themeColor="background1" w:themeShade="80"/>
        </w:rPr>
        <w:t>[ Text ]</w:t>
      </w:r>
    </w:p>
    <w:p w14:paraId="3EC74072" w14:textId="77777777" w:rsidR="003A4179" w:rsidRDefault="003A4179" w:rsidP="000F25C3"/>
    <w:p w14:paraId="7D003060" w14:textId="77777777" w:rsidR="003A4179" w:rsidRDefault="003A4179" w:rsidP="003A4179">
      <w:pPr>
        <w:pStyle w:val="Heading1"/>
        <w:spacing w:before="0" w:line="240" w:lineRule="auto"/>
      </w:pPr>
      <w:bookmarkStart w:id="7" w:name="_Toc170814975"/>
      <w:r>
        <w:t>Hypotheses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3A4179" w14:paraId="1C2782C9" w14:textId="77777777" w:rsidTr="00BA73F2">
        <w:tc>
          <w:tcPr>
            <w:tcW w:w="9060" w:type="dxa"/>
            <w:shd w:val="clear" w:color="auto" w:fill="FCDDD2" w:themeFill="accent6" w:themeFillTint="33"/>
          </w:tcPr>
          <w:p w14:paraId="0B4CC059" w14:textId="77777777" w:rsidR="003A4179" w:rsidRPr="005F7243" w:rsidRDefault="003A4179" w:rsidP="003A4179">
            <w:pPr>
              <w:jc w:val="both"/>
            </w:pPr>
            <w:r w:rsidRPr="005F7243">
              <w:t>This section can be succinct and should use the terms defined in the Intervention and Outcome sections. You should state explicitly whether you will you use a one-tailed or two-tailed test.</w:t>
            </w:r>
          </w:p>
          <w:p w14:paraId="1A7BD859" w14:textId="77777777" w:rsidR="003A4179" w:rsidRPr="005F7243" w:rsidRDefault="003A4179" w:rsidP="003A4179">
            <w:pPr>
              <w:jc w:val="both"/>
            </w:pPr>
            <w:r w:rsidRPr="005F7243">
              <w:rPr>
                <w:rStyle w:val="Strong"/>
              </w:rPr>
              <w:lastRenderedPageBreak/>
              <w:t>Example: H1:</w:t>
            </w:r>
            <w:r w:rsidRPr="005F7243">
              <w:t xml:space="preserve"> Average academic achievement (Outcome 1) will be higher among </w:t>
            </w:r>
            <w:r w:rsidRPr="005F7243">
              <w:rPr>
                <w:spacing w:val="-2"/>
              </w:rPr>
              <w:t>those assigned to the app compared to those assigned to control (T &gt; C, one-tailed test).</w:t>
            </w:r>
          </w:p>
        </w:tc>
      </w:tr>
    </w:tbl>
    <w:p w14:paraId="32D11231" w14:textId="77777777" w:rsidR="003A4179" w:rsidRDefault="003A4179" w:rsidP="003A4179">
      <w:pPr>
        <w:rPr>
          <w:color w:val="808080" w:themeColor="background1" w:themeShade="80"/>
        </w:rPr>
      </w:pPr>
      <w:r w:rsidRPr="00C511FD">
        <w:rPr>
          <w:color w:val="808080" w:themeColor="background1" w:themeShade="80"/>
        </w:rPr>
        <w:lastRenderedPageBreak/>
        <w:t>[ Text ]</w:t>
      </w:r>
    </w:p>
    <w:p w14:paraId="3962AADE" w14:textId="77777777" w:rsidR="003A4179" w:rsidRPr="00C511FD" w:rsidRDefault="003A4179" w:rsidP="003A4179">
      <w:pPr>
        <w:rPr>
          <w:color w:val="808080" w:themeColor="background1" w:themeShade="80"/>
        </w:rPr>
      </w:pPr>
    </w:p>
    <w:p w14:paraId="4D6C46DE" w14:textId="77777777" w:rsidR="003A4179" w:rsidRDefault="003A4179" w:rsidP="003A4179">
      <w:pPr>
        <w:pStyle w:val="Heading1"/>
        <w:spacing w:before="0" w:line="240" w:lineRule="auto"/>
      </w:pPr>
      <w:bookmarkStart w:id="8" w:name="_Toc170814976"/>
      <w:r>
        <w:t>Randomisation</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3A4179" w14:paraId="1C7534B8" w14:textId="77777777" w:rsidTr="00BA73F2">
        <w:tc>
          <w:tcPr>
            <w:tcW w:w="9060" w:type="dxa"/>
            <w:shd w:val="clear" w:color="auto" w:fill="FCDDD2" w:themeFill="accent6" w:themeFillTint="33"/>
          </w:tcPr>
          <w:p w14:paraId="4DE7994D" w14:textId="77777777" w:rsidR="003A4179" w:rsidRPr="00182F5F" w:rsidRDefault="003A4179" w:rsidP="003A4179">
            <w:pPr>
              <w:jc w:val="both"/>
            </w:pPr>
            <w:r w:rsidRPr="00182F5F">
              <w:t xml:space="preserve">Things to mention include: where the randomisation is occurring (lab, online, in an administrative system); how you will implement randomisation (as people enrol, randomisation based on a schedule of all participants); the randomisation platform (electronically or a lottery); the software you will use for randomisation (R, Stata, etc); the randomisation level (individual or cluster) and the justification for this; the assignment probability or ratio; and any stratification or matching, including the variables you will use for this. Include text on any randomisation / balance checks. There is no good statistical rational for balance checks. </w:t>
            </w:r>
          </w:p>
          <w:p w14:paraId="48F0F2F8" w14:textId="77777777" w:rsidR="003A4179" w:rsidRPr="005F7243" w:rsidRDefault="003A4179" w:rsidP="003A4179">
            <w:pPr>
              <w:pStyle w:val="Bullet"/>
              <w:numPr>
                <w:ilvl w:val="0"/>
                <w:numId w:val="0"/>
              </w:numPr>
              <w:jc w:val="both"/>
              <w:rPr>
                <w:color w:val="auto"/>
              </w:rPr>
            </w:pPr>
            <w:r w:rsidRPr="005F7243">
              <w:rPr>
                <w:rStyle w:val="Strong"/>
                <w:color w:val="auto"/>
              </w:rPr>
              <w:t>Example:</w:t>
            </w:r>
            <w:r w:rsidRPr="005F7243">
              <w:rPr>
                <w:color w:val="auto"/>
              </w:rPr>
              <w:t xml:space="preserve"> A schedule of all eligible trial participants is available in an excel spreadsheet. Randomisation will be clustered at the household level with clusters defined by street address. We will perform a randomisation of this schedule. Randomisation will be stratified by household socioeconomic status (low or high). The allocation ratio will be 1:1 to the extent that stratification allows. Randomisation will be coded in R and will be reviewed by another team.</w:t>
            </w:r>
          </w:p>
          <w:p w14:paraId="5EA5DF52" w14:textId="77777777" w:rsidR="003A4179" w:rsidRPr="00265673" w:rsidRDefault="003A4179" w:rsidP="003A4179">
            <w:pPr>
              <w:pStyle w:val="Bullet"/>
              <w:numPr>
                <w:ilvl w:val="0"/>
                <w:numId w:val="0"/>
              </w:numPr>
              <w:jc w:val="both"/>
              <w:rPr>
                <w:color w:val="0070C0"/>
              </w:rPr>
            </w:pPr>
            <w:r w:rsidRPr="005F7243">
              <w:rPr>
                <w:rStyle w:val="Strong"/>
                <w:color w:val="auto"/>
              </w:rPr>
              <w:t>Example:</w:t>
            </w:r>
            <w:r w:rsidRPr="005F7243">
              <w:rPr>
                <w:color w:val="auto"/>
              </w:rPr>
              <w:t xml:space="preserve"> We will perform a balance check by testing for joint orthogonality with the following covariates included in the model ([…insert list of covariates …]). A p-value less than 0.1 will result in a review of the randomisation procedure for errors. If no errors are found then the trial and analysis will proceed as described in this plan, we will not re-randomise or change our primary analysis based on balance checks.</w:t>
            </w:r>
          </w:p>
        </w:tc>
      </w:tr>
    </w:tbl>
    <w:p w14:paraId="577427D9" w14:textId="77777777" w:rsidR="003A4179" w:rsidRPr="00760BE1" w:rsidRDefault="003A4179" w:rsidP="003A4179">
      <w:pPr>
        <w:rPr>
          <w:color w:val="808080" w:themeColor="background1" w:themeShade="80"/>
        </w:rPr>
      </w:pPr>
      <w:r w:rsidRPr="00760BE1">
        <w:rPr>
          <w:color w:val="808080" w:themeColor="background1" w:themeShade="80"/>
        </w:rPr>
        <w:t>[ Text ]</w:t>
      </w:r>
    </w:p>
    <w:p w14:paraId="72601C46" w14:textId="77777777" w:rsidR="003A4179" w:rsidRDefault="003A4179" w:rsidP="00D875AC">
      <w:pPr>
        <w:spacing w:after="0"/>
      </w:pPr>
    </w:p>
    <w:p w14:paraId="6C29AFD9" w14:textId="77777777" w:rsidR="003A4179" w:rsidRDefault="003A4179" w:rsidP="003A4179">
      <w:pPr>
        <w:pStyle w:val="Heading1"/>
        <w:spacing w:before="240" w:line="240" w:lineRule="auto"/>
      </w:pPr>
      <w:bookmarkStart w:id="9" w:name="_Toc170814977"/>
      <w:r>
        <w:t>Method of analysis</w:t>
      </w:r>
      <w:bookmarkEnd w:id="9"/>
    </w:p>
    <w:p w14:paraId="164C12F1" w14:textId="77777777" w:rsidR="003A4179" w:rsidRPr="00DB45B1" w:rsidRDefault="003A4179" w:rsidP="003A4179">
      <w:pPr>
        <w:pStyle w:val="Heading2"/>
      </w:pPr>
      <w:bookmarkStart w:id="10" w:name="_Toc170814978"/>
      <w:r w:rsidRPr="00265673">
        <w:t>Primary outcome analysis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3A4179" w14:paraId="23080925" w14:textId="77777777" w:rsidTr="00BA73F2">
        <w:tc>
          <w:tcPr>
            <w:tcW w:w="9060" w:type="dxa"/>
            <w:shd w:val="clear" w:color="auto" w:fill="FCDDD2" w:themeFill="accent6" w:themeFillTint="33"/>
          </w:tcPr>
          <w:p w14:paraId="7F7F6BCF" w14:textId="77777777" w:rsidR="003A4179" w:rsidRPr="005F7243" w:rsidRDefault="003A4179" w:rsidP="0095289F">
            <w:pPr>
              <w:jc w:val="both"/>
            </w:pPr>
            <w:r w:rsidRPr="005F7243">
              <w:t xml:space="preserve">This section should describe how the data will be analysed to test the hypotheses above. Fundamentally, the trial analysis should reflect the trial design. In practice, this should include: </w:t>
            </w:r>
          </w:p>
          <w:p w14:paraId="5657D03F" w14:textId="77777777" w:rsidR="003A4179" w:rsidRPr="005F7243" w:rsidRDefault="003A4179" w:rsidP="0095289F">
            <w:pPr>
              <w:pStyle w:val="Bullet"/>
              <w:jc w:val="both"/>
              <w:rPr>
                <w:color w:val="auto"/>
              </w:rPr>
            </w:pPr>
            <w:r w:rsidRPr="005F7243">
              <w:rPr>
                <w:color w:val="auto"/>
              </w:rPr>
              <w:t>the method of analysis itself (e.g. linear regression, logistic regression, ANOVA);</w:t>
            </w:r>
          </w:p>
          <w:p w14:paraId="01DCD808" w14:textId="77777777" w:rsidR="003A4179" w:rsidRPr="005F7243" w:rsidRDefault="003A4179" w:rsidP="0095289F">
            <w:pPr>
              <w:pStyle w:val="Bullet"/>
              <w:jc w:val="both"/>
              <w:rPr>
                <w:color w:val="auto"/>
              </w:rPr>
            </w:pPr>
            <w:r w:rsidRPr="005F7243">
              <w:rPr>
                <w:color w:val="auto"/>
              </w:rPr>
              <w:t>whether the analysis is intent-to-treat;</w:t>
            </w:r>
          </w:p>
          <w:p w14:paraId="105867E7" w14:textId="77777777" w:rsidR="003A4179" w:rsidRPr="005F7243" w:rsidRDefault="003A4179" w:rsidP="0095289F">
            <w:pPr>
              <w:pStyle w:val="Bullet"/>
              <w:jc w:val="both"/>
              <w:rPr>
                <w:color w:val="auto"/>
              </w:rPr>
            </w:pPr>
            <w:r w:rsidRPr="005F7243">
              <w:rPr>
                <w:color w:val="auto"/>
              </w:rPr>
              <w:lastRenderedPageBreak/>
              <w:t>whether any variables are transformed or scaled;</w:t>
            </w:r>
          </w:p>
          <w:p w14:paraId="2A96B6DA" w14:textId="77777777" w:rsidR="003A4179" w:rsidRPr="005F7243" w:rsidRDefault="003A4179" w:rsidP="0095289F">
            <w:pPr>
              <w:pStyle w:val="Bullet"/>
              <w:jc w:val="both"/>
              <w:rPr>
                <w:color w:val="auto"/>
              </w:rPr>
            </w:pPr>
            <w:r w:rsidRPr="005F7243">
              <w:rPr>
                <w:color w:val="auto"/>
              </w:rPr>
              <w:t>the formula for the calculation of effect sizes, e.g. Hedges’ g, including the exact specification of the numerator and denominator.</w:t>
            </w:r>
          </w:p>
          <w:p w14:paraId="72F1A0EF" w14:textId="77777777" w:rsidR="003A4179" w:rsidRPr="005F7243" w:rsidRDefault="003A4179" w:rsidP="0095289F">
            <w:pPr>
              <w:pStyle w:val="Bullet"/>
              <w:jc w:val="both"/>
              <w:rPr>
                <w:color w:val="auto"/>
              </w:rPr>
            </w:pPr>
            <w:r w:rsidRPr="005F7243">
              <w:rPr>
                <w:color w:val="auto"/>
              </w:rPr>
              <w:t>how standard errors are calculated (e.g. robust HC2, or for a cluster randomised trial, cluster robust CR2);</w:t>
            </w:r>
          </w:p>
          <w:p w14:paraId="3AB7E590" w14:textId="77777777" w:rsidR="003A4179" w:rsidRPr="005F7243" w:rsidRDefault="003A4179" w:rsidP="0095289F">
            <w:pPr>
              <w:pStyle w:val="Bullet"/>
              <w:jc w:val="both"/>
              <w:rPr>
                <w:color w:val="auto"/>
              </w:rPr>
            </w:pPr>
            <w:r w:rsidRPr="005F7243">
              <w:rPr>
                <w:color w:val="auto"/>
              </w:rPr>
              <w:t>how confidence intervals or Bayesian credibility intervals are calculated;</w:t>
            </w:r>
          </w:p>
          <w:p w14:paraId="3BEE9F27" w14:textId="77777777" w:rsidR="003A4179" w:rsidRPr="005F7243" w:rsidRDefault="003A4179" w:rsidP="0095289F">
            <w:pPr>
              <w:pStyle w:val="Bullet"/>
              <w:jc w:val="both"/>
              <w:rPr>
                <w:color w:val="auto"/>
              </w:rPr>
            </w:pPr>
            <w:r w:rsidRPr="005F7243">
              <w:rPr>
                <w:color w:val="auto"/>
              </w:rPr>
              <w:t xml:space="preserve">adjustments for covariates; </w:t>
            </w:r>
          </w:p>
          <w:p w14:paraId="4C5C6CD7" w14:textId="77777777" w:rsidR="003A4179" w:rsidRPr="005F7243" w:rsidRDefault="003A4179" w:rsidP="0095289F">
            <w:pPr>
              <w:pStyle w:val="Bullet"/>
              <w:jc w:val="both"/>
              <w:rPr>
                <w:color w:val="auto"/>
              </w:rPr>
            </w:pPr>
            <w:r w:rsidRPr="005F7243">
              <w:rPr>
                <w:color w:val="auto"/>
              </w:rPr>
              <w:t xml:space="preserve">accounting for matching or stratification; </w:t>
            </w:r>
          </w:p>
          <w:p w14:paraId="10C84D80" w14:textId="77777777" w:rsidR="003A4179" w:rsidRPr="005F7243" w:rsidRDefault="003A4179" w:rsidP="0095289F">
            <w:pPr>
              <w:pStyle w:val="Bullet"/>
              <w:jc w:val="both"/>
              <w:rPr>
                <w:color w:val="auto"/>
              </w:rPr>
            </w:pPr>
            <w:r w:rsidRPr="005F7243">
              <w:rPr>
                <w:color w:val="auto"/>
              </w:rPr>
              <w:t xml:space="preserve">any interim analysis or stopping rules. </w:t>
            </w:r>
          </w:p>
          <w:p w14:paraId="6F51CF5C" w14:textId="77777777" w:rsidR="003A4179" w:rsidRPr="005F7243" w:rsidRDefault="003A4179" w:rsidP="0095289F">
            <w:pPr>
              <w:jc w:val="both"/>
            </w:pPr>
            <w:r w:rsidRPr="005F7243">
              <w:t xml:space="preserve">You should provide a full justification of the choices and assumptions made. </w:t>
            </w:r>
          </w:p>
          <w:p w14:paraId="308CEE8A" w14:textId="77777777" w:rsidR="003A4179" w:rsidRPr="005F7243" w:rsidRDefault="003A4179" w:rsidP="0095289F">
            <w:pPr>
              <w:pStyle w:val="Bullet"/>
              <w:numPr>
                <w:ilvl w:val="0"/>
                <w:numId w:val="0"/>
              </w:numPr>
              <w:ind w:left="520" w:hanging="520"/>
              <w:jc w:val="both"/>
              <w:rPr>
                <w:rStyle w:val="Strong"/>
                <w:color w:val="auto"/>
              </w:rPr>
            </w:pPr>
            <w:r w:rsidRPr="005F7243">
              <w:rPr>
                <w:rStyle w:val="Strong"/>
                <w:color w:val="auto"/>
              </w:rPr>
              <w:t>Example: General text around OLS regression</w:t>
            </w:r>
          </w:p>
          <w:p w14:paraId="29A7F030" w14:textId="77777777" w:rsidR="003A4179" w:rsidRPr="005F7243" w:rsidRDefault="003A4179" w:rsidP="0095289F">
            <w:pPr>
              <w:pStyle w:val="Boxindent"/>
              <w:ind w:left="0"/>
              <w:jc w:val="both"/>
            </w:pPr>
            <w:r w:rsidRPr="005F7243">
              <w:t>The principal analysis of the effect of the intervention will be intent-to-treat and will consist of a covariate-adjusted comparison of our primary outcome. This estimate, confidence intervals and p-values will be derived from an ordinary least squares regression model using robust (HC2) standard errors and with the following specification:</w:t>
            </w:r>
          </w:p>
          <w:p w14:paraId="2AB622ED" w14:textId="77777777" w:rsidR="003A4179" w:rsidRPr="005F7243" w:rsidRDefault="003A4179" w:rsidP="0095289F">
            <w:pPr>
              <w:pStyle w:val="Bullet"/>
              <w:jc w:val="both"/>
              <w:rPr>
                <w:rStyle w:val="Strong"/>
                <w:color w:val="auto"/>
              </w:rPr>
            </w:pPr>
            <w:r w:rsidRPr="005F7243">
              <w:rPr>
                <w:rStyle w:val="Strong"/>
                <w:color w:val="auto"/>
              </w:rPr>
              <w:t>Example: Simple two-arm trial with no covariate</w:t>
            </w:r>
          </w:p>
          <w:p w14:paraId="2866AE7F" w14:textId="77777777" w:rsidR="003A4179" w:rsidRPr="005F7243" w:rsidRDefault="009D1595" w:rsidP="0095289F">
            <w:pPr>
              <w:pStyle w:val="Equation"/>
              <w:jc w:val="both"/>
              <w:rPr>
                <w:rFonts w:eastAsiaTheme="minorEastAsia"/>
              </w:rPr>
            </w:pPr>
            <m:oMathPara>
              <m:oMath>
                <m:sSub>
                  <m:sSubPr>
                    <m:ctrlPr/>
                  </m:sSubPr>
                  <m:e>
                    <m:r>
                      <m:t>Y</m:t>
                    </m:r>
                  </m:e>
                  <m:sub>
                    <m:r>
                      <m:t>i</m:t>
                    </m:r>
                  </m:sub>
                </m:sSub>
                <m:r>
                  <m:t>=</m:t>
                </m:r>
                <w:bookmarkStart w:id="11" w:name="_Hlk167088801"/>
                <m:sSub>
                  <m:sSubPr>
                    <m:ctrlPr/>
                  </m:sSubPr>
                  <m:e>
                    <m:r>
                      <m:t>β</m:t>
                    </m:r>
                  </m:e>
                  <m:sub>
                    <m:r>
                      <m:t>0</m:t>
                    </m:r>
                  </m:sub>
                </m:sSub>
                <w:bookmarkEnd w:id="11"/>
                <m:r>
                  <m:t xml:space="preserve">+ </m:t>
                </m:r>
                <m:sSub>
                  <m:sSubPr>
                    <m:ctrlPr/>
                  </m:sSubPr>
                  <m:e>
                    <m:r>
                      <m:t>β</m:t>
                    </m:r>
                  </m:e>
                  <m:sub>
                    <m:r>
                      <m:t>1</m:t>
                    </m:r>
                  </m:sub>
                </m:sSub>
                <m:sSub>
                  <m:sSubPr>
                    <m:ctrlPr/>
                  </m:sSubPr>
                  <m:e>
                    <m:r>
                      <m:t>Z</m:t>
                    </m:r>
                  </m:e>
                  <m:sub>
                    <m:r>
                      <m:t>i</m:t>
                    </m:r>
                  </m:sub>
                </m:sSub>
                <m:r>
                  <m:t xml:space="preserve">+ </m:t>
                </m:r>
                <m:sSub>
                  <m:sSubPr>
                    <m:ctrlPr/>
                  </m:sSubPr>
                  <m:e>
                    <m:r>
                      <m:t>∈</m:t>
                    </m:r>
                  </m:e>
                  <m:sub>
                    <m:r>
                      <m:t>i</m:t>
                    </m:r>
                  </m:sub>
                </m:sSub>
              </m:oMath>
            </m:oMathPara>
          </w:p>
          <w:p w14:paraId="06411429" w14:textId="77777777" w:rsidR="003A4179" w:rsidRPr="005F7243" w:rsidRDefault="003A4179" w:rsidP="0095289F">
            <w:pPr>
              <w:pStyle w:val="Boxindent"/>
              <w:jc w:val="both"/>
            </w:pPr>
            <w:r w:rsidRPr="005F7243">
              <w:t xml:space="preserve">Where </w:t>
            </w:r>
            <m:oMath>
              <m:r>
                <w:rPr>
                  <w:rFonts w:ascii="Cambria Math" w:hAnsi="Cambria Math"/>
                </w:rPr>
                <m:t>i</m:t>
              </m:r>
            </m:oMath>
            <w:r w:rsidRPr="005F7243">
              <w:t xml:space="preserve"> is an index for each individual in the trial, </w:t>
            </w:r>
            <m:oMath>
              <m:r>
                <w:rPr>
                  <w:rFonts w:ascii="Cambria Math" w:hAnsi="Cambria Math"/>
                </w:rPr>
                <m:t>Y</m:t>
              </m:r>
            </m:oMath>
            <w:r w:rsidRPr="005F7243">
              <w:t xml:space="preserve"> is the outcome,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5F7243">
              <w:t xml:space="preserve"> is the intercept, </w:t>
            </w:r>
            <m:oMath>
              <m:r>
                <w:rPr>
                  <w:rFonts w:ascii="Cambria Math" w:hAnsi="Cambria Math"/>
                </w:rPr>
                <m:t>Z</m:t>
              </m:r>
            </m:oMath>
            <w:r w:rsidRPr="005F7243">
              <w:t xml:space="preserve"> is the treatment indicator (where 0 = control and 1 = treatment),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5F7243">
              <w:t xml:space="preserve"> is the coefficient on treatment and represents the average treatment effect, and </w:t>
            </w:r>
            <w:r w:rsidRPr="005F7243">
              <w:rPr>
                <w:rFonts w:ascii="Cambria Math" w:hAnsi="Cambria Math" w:cs="Cambria Math"/>
              </w:rPr>
              <w:t>∈</w:t>
            </w:r>
            <w:r w:rsidRPr="005F7243">
              <w:t xml:space="preserve"> is the error term.</w:t>
            </w:r>
          </w:p>
          <w:p w14:paraId="18548629" w14:textId="77777777" w:rsidR="0095289F" w:rsidRPr="005F7243" w:rsidRDefault="0095289F" w:rsidP="0095289F">
            <w:pPr>
              <w:pStyle w:val="Bullet"/>
              <w:jc w:val="both"/>
              <w:rPr>
                <w:rStyle w:val="Strong"/>
                <w:color w:val="auto"/>
              </w:rPr>
            </w:pPr>
            <w:r w:rsidRPr="005F7243">
              <w:rPr>
                <w:rStyle w:val="Strong"/>
                <w:color w:val="auto"/>
              </w:rPr>
              <w:t>Example: Three-arm trial with several covariates and block indicators to account for a stratified randomisation</w:t>
            </w:r>
          </w:p>
          <w:p w14:paraId="7DAB9E32" w14:textId="77777777" w:rsidR="0095289F" w:rsidRPr="005F7243" w:rsidRDefault="009D1595" w:rsidP="0095289F">
            <w:pPr>
              <w:pStyle w:val="Boxindent"/>
              <w:jc w:val="both"/>
              <w:rPr>
                <w:rFonts w:eastAsiaTheme="minorEastAsia"/>
              </w:rP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X</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i</m:t>
                    </m:r>
                  </m:sub>
                </m:sSub>
              </m:oMath>
            </m:oMathPara>
          </w:p>
          <w:p w14:paraId="3BE0D30F" w14:textId="77777777" w:rsidR="0095289F" w:rsidRPr="005F7243" w:rsidRDefault="0095289F" w:rsidP="0095289F">
            <w:pPr>
              <w:pStyle w:val="Boxindent"/>
              <w:jc w:val="both"/>
            </w:pPr>
            <w:r w:rsidRPr="005F7243">
              <w:t xml:space="preserve">Where </w:t>
            </w:r>
            <m:oMath>
              <m:r>
                <w:rPr>
                  <w:rFonts w:ascii="Cambria Math" w:hAnsi="Cambria Math"/>
                </w:rPr>
                <m:t>i</m:t>
              </m:r>
            </m:oMath>
            <w:r w:rsidRPr="005F7243">
              <w:t xml:space="preserve"> is an index for each individual in the trial, </w:t>
            </w:r>
            <m:oMath>
              <m:r>
                <w:rPr>
                  <w:rFonts w:ascii="Cambria Math" w:hAnsi="Cambria Math"/>
                </w:rPr>
                <m:t>Y</m:t>
              </m:r>
            </m:oMath>
            <w:r w:rsidRPr="005F7243">
              <w:t xml:space="preserve"> is the academic achievement outcome,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5F7243">
              <w:t xml:space="preserve"> is the intercept, </w:t>
            </w:r>
            <m:oMath>
              <m:r>
                <w:rPr>
                  <w:rFonts w:ascii="Cambria Math" w:hAnsi="Cambria Math"/>
                </w:rPr>
                <m:t>Z</m:t>
              </m:r>
            </m:oMath>
            <w:r w:rsidRPr="005F7243">
              <w:t xml:space="preserve"> is a vector of two treatment assignment indicators (where {0,0} = control, {1,0} = attention control and {0,1} = treatment),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5F7243">
              <w:t xml:space="preserve"> is a vector of coefficients representing the average treatment effect for the two treatments, </w:t>
            </w:r>
            <m:oMath>
              <m:r>
                <w:rPr>
                  <w:rFonts w:ascii="Cambria Math" w:hAnsi="Cambria Math"/>
                </w:rPr>
                <m:t>X</m:t>
              </m:r>
            </m:oMath>
            <w:r w:rsidRPr="005F7243">
              <w:t xml:space="preserve"> is a vector of the two mean-centred covariates as well as mean-centred block indicators to account for the stratified randomisation, and </w:t>
            </w:r>
            <m:oMath>
              <m:r>
                <w:rPr>
                  <w:rFonts w:ascii="Cambria Math" w:hAnsi="Cambria Math"/>
                </w:rPr>
                <m:t>ZX</m:t>
              </m:r>
            </m:oMath>
            <w:r w:rsidRPr="005F7243">
              <w:t xml:space="preserve"> is the interaction of the treatment indicator vector with the mean-centred covariate/block indicator vector,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5F7243">
              <w:t xml:space="preserve"> is the associated coefficient, and </w:t>
            </w:r>
            <w:r w:rsidRPr="005F7243">
              <w:rPr>
                <w:rFonts w:ascii="Cambria Math" w:hAnsi="Cambria Math" w:cs="Cambria Math"/>
              </w:rPr>
              <w:t>∈</w:t>
            </w:r>
            <w:r w:rsidRPr="005F7243">
              <w:t xml:space="preserve"> is the error term.</w:t>
            </w:r>
          </w:p>
          <w:p w14:paraId="3B0DB9B2" w14:textId="77777777" w:rsidR="0095289F" w:rsidRPr="005F7243" w:rsidRDefault="0095289F" w:rsidP="0095289F">
            <w:pPr>
              <w:pStyle w:val="Bullet"/>
              <w:jc w:val="both"/>
              <w:rPr>
                <w:rStyle w:val="Strong"/>
                <w:color w:val="auto"/>
              </w:rPr>
            </w:pPr>
            <w:r w:rsidRPr="005F7243">
              <w:rPr>
                <w:rStyle w:val="Strong"/>
                <w:color w:val="auto"/>
              </w:rPr>
              <w:t>Example: Two-arm cluster randomised trial</w:t>
            </w:r>
          </w:p>
          <w:p w14:paraId="1899B3F0" w14:textId="77777777" w:rsidR="0095289F" w:rsidRPr="005F7243" w:rsidRDefault="009D1595" w:rsidP="0095289F">
            <w:pPr>
              <w:pStyle w:val="Equation"/>
              <w:jc w:val="both"/>
              <w:rPr>
                <w:rFonts w:eastAsiaTheme="minorEastAsia"/>
              </w:rPr>
            </w:pPr>
            <m:oMathPara>
              <m:oMath>
                <m:sSub>
                  <m:sSubPr>
                    <m:ctrlPr/>
                  </m:sSubPr>
                  <m:e>
                    <m:r>
                      <m:t>Y</m:t>
                    </m:r>
                  </m:e>
                  <m:sub>
                    <m:r>
                      <m:t>i</m:t>
                    </m:r>
                    <m:r>
                      <m:t>,</m:t>
                    </m:r>
                    <m:r>
                      <m:t>j</m:t>
                    </m:r>
                  </m:sub>
                </m:sSub>
                <m:r>
                  <m:t>=</m:t>
                </m:r>
                <m:sSub>
                  <m:sSubPr>
                    <m:ctrlPr/>
                  </m:sSubPr>
                  <m:e>
                    <m:r>
                      <m:t>β</m:t>
                    </m:r>
                  </m:e>
                  <m:sub>
                    <m:r>
                      <m:t>0</m:t>
                    </m:r>
                  </m:sub>
                </m:sSub>
                <m:r>
                  <m:t xml:space="preserve">+ </m:t>
                </m:r>
                <m:sSub>
                  <m:sSubPr>
                    <m:ctrlPr/>
                  </m:sSubPr>
                  <m:e>
                    <m:r>
                      <m:t>β</m:t>
                    </m:r>
                  </m:e>
                  <m:sub>
                    <m:r>
                      <m:t>1</m:t>
                    </m:r>
                  </m:sub>
                </m:sSub>
                <m:sSub>
                  <m:sSubPr>
                    <m:ctrlPr/>
                  </m:sSubPr>
                  <m:e>
                    <m:r>
                      <m:t>Z</m:t>
                    </m:r>
                  </m:e>
                  <m:sub>
                    <m:r>
                      <m:t>i</m:t>
                    </m:r>
                  </m:sub>
                </m:sSub>
                <m:r>
                  <m:t xml:space="preserve">+ </m:t>
                </m:r>
                <m:sSub>
                  <m:sSubPr>
                    <m:ctrlPr/>
                  </m:sSubPr>
                  <m:e>
                    <m:r>
                      <m:t>υ</m:t>
                    </m:r>
                  </m:e>
                  <m:sub>
                    <m:r>
                      <m:t>j</m:t>
                    </m:r>
                  </m:sub>
                </m:sSub>
                <m:r>
                  <m:t xml:space="preserve"> +</m:t>
                </m:r>
                <m:sSub>
                  <m:sSubPr>
                    <m:ctrlPr/>
                  </m:sSubPr>
                  <m:e>
                    <m:r>
                      <m:t>ω</m:t>
                    </m:r>
                  </m:e>
                  <m:sub>
                    <m:r>
                      <m:t>i</m:t>
                    </m:r>
                    <m:r>
                      <m:t>,</m:t>
                    </m:r>
                    <m:r>
                      <m:t>j</m:t>
                    </m:r>
                  </m:sub>
                </m:sSub>
              </m:oMath>
            </m:oMathPara>
          </w:p>
          <w:p w14:paraId="1B22D9BE" w14:textId="3B7251BF" w:rsidR="003A4179" w:rsidRPr="005F7243" w:rsidRDefault="0095289F" w:rsidP="0095289F">
            <w:pPr>
              <w:pStyle w:val="Boxindent"/>
              <w:jc w:val="both"/>
            </w:pPr>
            <w:r w:rsidRPr="005F7243">
              <w:t xml:space="preserve">Where </w:t>
            </w:r>
            <m:oMath>
              <m:r>
                <w:rPr>
                  <w:rFonts w:ascii="Cambria Math" w:hAnsi="Cambria Math"/>
                </w:rPr>
                <m:t>i</m:t>
              </m:r>
            </m:oMath>
            <w:r w:rsidRPr="005F7243">
              <w:t xml:space="preserve"> is the individual in household </w:t>
            </w:r>
            <m:oMath>
              <m:r>
                <w:rPr>
                  <w:rFonts w:ascii="Cambria Math" w:hAnsi="Cambria Math"/>
                </w:rPr>
                <m:t>j</m:t>
              </m:r>
            </m:oMath>
            <w:r w:rsidRPr="005F7243">
              <w:t xml:space="preserve">, </w:t>
            </w:r>
            <m:oMath>
              <m:r>
                <w:rPr>
                  <w:rFonts w:ascii="Cambria Math" w:hAnsi="Cambria Math"/>
                </w:rPr>
                <m:t>Y</m:t>
              </m:r>
            </m:oMath>
            <w:r w:rsidRPr="005F7243">
              <w:t xml:space="preserve"> is the outcome,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Pr="005F7243">
              <w:t xml:space="preserve"> is the intercept, </w:t>
            </w:r>
            <m:oMath>
              <m:r>
                <w:rPr>
                  <w:rFonts w:ascii="Cambria Math" w:hAnsi="Cambria Math"/>
                </w:rPr>
                <m:t>Z</m:t>
              </m:r>
            </m:oMath>
            <w:r w:rsidRPr="005F7243">
              <w:t xml:space="preserve"> is the treatment indicator (where 0 = control and 1 = treatment),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5F7243">
              <w:t xml:space="preserve"> is the coefficient on </w:t>
            </w:r>
            <w:r w:rsidRPr="005F7243">
              <w:lastRenderedPageBreak/>
              <w:t xml:space="preserve">treatment and represents the average treatment effect, </w:t>
            </w:r>
            <m:oMath>
              <m:r>
                <w:rPr>
                  <w:rFonts w:ascii="Cambria Math" w:hAnsi="Cambria Math"/>
                </w:rPr>
                <m:t>υ</m:t>
              </m:r>
            </m:oMath>
            <w:r w:rsidRPr="005F7243">
              <w:t xml:space="preserve"> is the cluster (household)-level error term and </w:t>
            </w:r>
            <m:oMath>
              <m:r>
                <w:rPr>
                  <w:rFonts w:ascii="Cambria Math" w:hAnsi="Cambria Math"/>
                </w:rPr>
                <m:t>ω</m:t>
              </m:r>
            </m:oMath>
            <w:r w:rsidRPr="005F7243">
              <w:t xml:space="preserve"> is the individual-level error term for the corresponding household.</w:t>
            </w:r>
          </w:p>
        </w:tc>
      </w:tr>
    </w:tbl>
    <w:p w14:paraId="3AE662B8" w14:textId="77777777" w:rsidR="0095289F" w:rsidRPr="00371931" w:rsidRDefault="0095289F" w:rsidP="0095289F">
      <w:pPr>
        <w:rPr>
          <w:color w:val="808080" w:themeColor="background1" w:themeShade="80"/>
        </w:rPr>
      </w:pPr>
      <w:r w:rsidRPr="00371931">
        <w:rPr>
          <w:color w:val="808080" w:themeColor="background1" w:themeShade="80"/>
        </w:rPr>
        <w:lastRenderedPageBreak/>
        <w:t>[ Text ]</w:t>
      </w:r>
    </w:p>
    <w:p w14:paraId="336608C8" w14:textId="77777777" w:rsidR="0095289F" w:rsidRPr="00D05AFB" w:rsidRDefault="0095289F" w:rsidP="0095289F">
      <w:pPr>
        <w:pStyle w:val="Heading2"/>
      </w:pPr>
      <w:bookmarkStart w:id="12" w:name="_Toc170814979"/>
      <w:r>
        <w:t>Secondary outcome analysis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95289F" w14:paraId="7B239436" w14:textId="77777777" w:rsidTr="00BA73F2">
        <w:tc>
          <w:tcPr>
            <w:tcW w:w="9060" w:type="dxa"/>
            <w:shd w:val="clear" w:color="auto" w:fill="FCDDD2" w:themeFill="accent6" w:themeFillTint="33"/>
          </w:tcPr>
          <w:p w14:paraId="6C6BB59F" w14:textId="77777777" w:rsidR="0095289F" w:rsidRPr="00547A97" w:rsidRDefault="0095289F" w:rsidP="007712D7">
            <w:pPr>
              <w:jc w:val="both"/>
            </w:pPr>
            <w:r w:rsidRPr="0007779A">
              <w:t>Follow the same model specification used for the primary outcome, unless there is a clear rationale against this (in which case, please explain). If a different model is chosen, fully explain and justify your choice. Provide the same level of detail as for the primary analysis.</w:t>
            </w:r>
          </w:p>
        </w:tc>
      </w:tr>
    </w:tbl>
    <w:p w14:paraId="1EF9DAC6" w14:textId="77777777" w:rsidR="0095289F" w:rsidRDefault="0095289F" w:rsidP="0095289F">
      <w:pPr>
        <w:rPr>
          <w:color w:val="808080" w:themeColor="background1" w:themeShade="80"/>
        </w:rPr>
      </w:pPr>
      <w:r w:rsidRPr="00371931">
        <w:rPr>
          <w:color w:val="808080" w:themeColor="background1" w:themeShade="80"/>
        </w:rPr>
        <w:t>[ Text ]</w:t>
      </w:r>
    </w:p>
    <w:p w14:paraId="724A9AD8" w14:textId="77777777" w:rsidR="0095289F" w:rsidRPr="007C5866" w:rsidRDefault="0095289F" w:rsidP="0095289F">
      <w:pPr>
        <w:pStyle w:val="Heading2"/>
      </w:pPr>
      <w:bookmarkStart w:id="13" w:name="_Toc170814980"/>
      <w:r>
        <w:t>Subgroup analysis</w:t>
      </w:r>
      <w:bookmarkEnd w:id="13"/>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95289F" w14:paraId="2B82CC2E" w14:textId="77777777" w:rsidTr="00BA73F2">
        <w:tc>
          <w:tcPr>
            <w:tcW w:w="9060" w:type="dxa"/>
            <w:shd w:val="clear" w:color="auto" w:fill="FCDDD2" w:themeFill="accent6" w:themeFillTint="33"/>
          </w:tcPr>
          <w:p w14:paraId="33234429" w14:textId="77777777" w:rsidR="0095289F" w:rsidRPr="00FE110D" w:rsidRDefault="0095289F" w:rsidP="007712D7">
            <w:pPr>
              <w:jc w:val="both"/>
            </w:pPr>
            <w:r w:rsidRPr="00FE110D">
              <w:t>Describe any subgroup analyses that will be conducted. If possible, provide a justification for undertaking this analysis (e.g. that differential effects across subgroups are supported by the theory of change).</w:t>
            </w:r>
          </w:p>
          <w:p w14:paraId="6AFA9DC0" w14:textId="77777777" w:rsidR="0095289F" w:rsidRPr="00547A97" w:rsidRDefault="0095289F" w:rsidP="007712D7">
            <w:pPr>
              <w:jc w:val="both"/>
            </w:pPr>
            <w:r w:rsidRPr="00FE110D">
              <w:t>Describe the model including whether an interaction term is used and/or a separate sub-sample containing only members of the subgroup.</w:t>
            </w:r>
          </w:p>
        </w:tc>
      </w:tr>
    </w:tbl>
    <w:p w14:paraId="53DFDD3F" w14:textId="77777777" w:rsidR="0095289F" w:rsidRPr="007C5866" w:rsidRDefault="0095289F" w:rsidP="0095289F">
      <w:pPr>
        <w:rPr>
          <w:color w:val="808080" w:themeColor="background1" w:themeShade="80"/>
        </w:rPr>
      </w:pPr>
      <w:r w:rsidRPr="007C5866">
        <w:rPr>
          <w:color w:val="808080" w:themeColor="background1" w:themeShade="80"/>
        </w:rPr>
        <w:t>[ Text ]</w:t>
      </w:r>
    </w:p>
    <w:p w14:paraId="1C6BF01E" w14:textId="77777777" w:rsidR="0095289F" w:rsidRPr="00D05AFB" w:rsidRDefault="0095289F" w:rsidP="0095289F">
      <w:pPr>
        <w:pStyle w:val="Heading2"/>
      </w:pPr>
      <w:bookmarkStart w:id="14" w:name="_Toc170814981"/>
      <w:r>
        <w:t>Additional analysis</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95289F" w14:paraId="10313D7B" w14:textId="77777777" w:rsidTr="00BA73F2">
        <w:tc>
          <w:tcPr>
            <w:tcW w:w="9060" w:type="dxa"/>
            <w:shd w:val="clear" w:color="auto" w:fill="FCDDD2" w:themeFill="accent6" w:themeFillTint="33"/>
          </w:tcPr>
          <w:p w14:paraId="73E76C43" w14:textId="77777777" w:rsidR="0095289F" w:rsidRPr="00547A97" w:rsidRDefault="0095289F" w:rsidP="007712D7">
            <w:pPr>
              <w:jc w:val="both"/>
            </w:pPr>
            <w:r w:rsidRPr="007E0DC6">
              <w:t>Describe any further planned analyses (e.g. robustness checks including other covariates, or analysis to test causal mechanisms in the logic model). The level of detail should match that of the primary analysis.</w:t>
            </w:r>
          </w:p>
        </w:tc>
      </w:tr>
    </w:tbl>
    <w:p w14:paraId="4C1043F7" w14:textId="77777777" w:rsidR="0095289F" w:rsidRDefault="0095289F" w:rsidP="0095289F">
      <w:pPr>
        <w:rPr>
          <w:color w:val="808080" w:themeColor="background1" w:themeShade="80"/>
        </w:rPr>
      </w:pPr>
      <w:r w:rsidRPr="007C5866">
        <w:rPr>
          <w:color w:val="808080" w:themeColor="background1" w:themeShade="80"/>
        </w:rPr>
        <w:t>[ Text ]</w:t>
      </w:r>
    </w:p>
    <w:p w14:paraId="270C41FC" w14:textId="77777777" w:rsidR="0095289F" w:rsidRPr="007C5866" w:rsidRDefault="0095289F" w:rsidP="0095289F">
      <w:pPr>
        <w:rPr>
          <w:color w:val="808080" w:themeColor="background1" w:themeShade="80"/>
        </w:rPr>
      </w:pPr>
    </w:p>
    <w:p w14:paraId="1C4C1F90" w14:textId="77777777" w:rsidR="0095289F" w:rsidRDefault="0095289F" w:rsidP="0095289F">
      <w:pPr>
        <w:pStyle w:val="Heading1"/>
        <w:spacing w:before="0" w:line="240" w:lineRule="auto"/>
      </w:pPr>
      <w:bookmarkStart w:id="15" w:name="_Toc170814982"/>
      <w:r>
        <w:t>Trial threats</w:t>
      </w:r>
      <w:bookmarkEnd w:id="15"/>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95289F" w14:paraId="1D2E66C0" w14:textId="77777777" w:rsidTr="00BA73F2">
        <w:tc>
          <w:tcPr>
            <w:tcW w:w="9060" w:type="dxa"/>
            <w:shd w:val="clear" w:color="auto" w:fill="FCDDD2" w:themeFill="accent6" w:themeFillTint="33"/>
          </w:tcPr>
          <w:p w14:paraId="2F63A7F0" w14:textId="77777777" w:rsidR="0095289F" w:rsidRPr="00547A97" w:rsidRDefault="0095289F" w:rsidP="007712D7">
            <w:pPr>
              <w:jc w:val="both"/>
            </w:pPr>
            <w:r>
              <w:t>Note: We have listed common threats to internal validity below. This list is not intended to be exhaustive</w:t>
            </w:r>
            <w:r w:rsidRPr="005A1624">
              <w:t>.</w:t>
            </w:r>
          </w:p>
        </w:tc>
      </w:tr>
    </w:tbl>
    <w:p w14:paraId="18288EF2" w14:textId="77777777" w:rsidR="0095289F" w:rsidRPr="00D05AFB" w:rsidRDefault="0095289F" w:rsidP="0095289F">
      <w:pPr>
        <w:pStyle w:val="Heading2"/>
      </w:pPr>
      <w:bookmarkStart w:id="16" w:name="_Toc170814983"/>
      <w:r>
        <w:lastRenderedPageBreak/>
        <w:t>Missing data</w:t>
      </w:r>
      <w:bookmarkEnd w:id="16"/>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95289F" w14:paraId="791F749D" w14:textId="77777777" w:rsidTr="00BA73F2">
        <w:tc>
          <w:tcPr>
            <w:tcW w:w="9060" w:type="dxa"/>
            <w:shd w:val="clear" w:color="auto" w:fill="FCDDD2" w:themeFill="accent6" w:themeFillTint="33"/>
          </w:tcPr>
          <w:p w14:paraId="6700A06B" w14:textId="77777777" w:rsidR="0095289F" w:rsidRPr="005A1624" w:rsidRDefault="0095289F" w:rsidP="007712D7">
            <w:pPr>
              <w:jc w:val="both"/>
            </w:pPr>
            <w:r w:rsidRPr="005A1624">
              <w:t>Describe how you will consider the extent of missingness and evidence of the potential mechanism.</w:t>
            </w:r>
          </w:p>
          <w:p w14:paraId="1E172627" w14:textId="77777777" w:rsidR="0095289F" w:rsidRPr="00547A97" w:rsidRDefault="0095289F" w:rsidP="007712D7">
            <w:pPr>
              <w:jc w:val="both"/>
            </w:pPr>
            <w:r w:rsidRPr="005A1624">
              <w:t>Clarify the type and extent of missing data that will prompt imputation, sensitivity analyses, or the use of bounds. Where these methods will be used, describe how they will be implemented in detail.</w:t>
            </w:r>
          </w:p>
        </w:tc>
      </w:tr>
    </w:tbl>
    <w:p w14:paraId="46C9B20E" w14:textId="77777777" w:rsidR="0095289F" w:rsidRPr="006C70E3" w:rsidRDefault="0095289F" w:rsidP="0095289F">
      <w:pPr>
        <w:rPr>
          <w:color w:val="808080" w:themeColor="background1" w:themeShade="80"/>
        </w:rPr>
      </w:pPr>
      <w:r w:rsidRPr="006C70E3">
        <w:rPr>
          <w:color w:val="808080" w:themeColor="background1" w:themeShade="80"/>
        </w:rPr>
        <w:t>[ Text ]</w:t>
      </w:r>
    </w:p>
    <w:p w14:paraId="3CB4C450" w14:textId="77777777" w:rsidR="007712D7" w:rsidRPr="00D05AFB" w:rsidRDefault="007712D7" w:rsidP="007712D7">
      <w:pPr>
        <w:pStyle w:val="Heading2"/>
      </w:pPr>
      <w:bookmarkStart w:id="17" w:name="_Toc170814984"/>
      <w:r>
        <w:t>Spillovers/contamination</w:t>
      </w:r>
      <w:bookmarkEnd w:id="17"/>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712D7" w14:paraId="7CE039FE" w14:textId="77777777" w:rsidTr="00BA73F2">
        <w:tc>
          <w:tcPr>
            <w:tcW w:w="9060" w:type="dxa"/>
            <w:shd w:val="clear" w:color="auto" w:fill="FCDDD2" w:themeFill="accent6" w:themeFillTint="33"/>
          </w:tcPr>
          <w:p w14:paraId="7DDC0607" w14:textId="77777777" w:rsidR="007712D7" w:rsidRPr="00547A97" w:rsidRDefault="007712D7" w:rsidP="007712D7">
            <w:pPr>
              <w:jc w:val="both"/>
            </w:pPr>
            <w:r w:rsidRPr="000F1755">
              <w:t>List any risks associated with spillovers/contamination between different trial arms. Assess their likelihood of occurring, and likely magnitude of impact. Describe your approach to mitigating or addressing any spillovers.</w:t>
            </w:r>
          </w:p>
        </w:tc>
      </w:tr>
    </w:tbl>
    <w:p w14:paraId="411DC46D" w14:textId="77777777" w:rsidR="007712D7" w:rsidRPr="006C70E3" w:rsidRDefault="007712D7" w:rsidP="007712D7">
      <w:pPr>
        <w:rPr>
          <w:color w:val="808080" w:themeColor="background1" w:themeShade="80"/>
        </w:rPr>
      </w:pPr>
      <w:r w:rsidRPr="006C70E3">
        <w:rPr>
          <w:color w:val="808080" w:themeColor="background1" w:themeShade="80"/>
        </w:rPr>
        <w:t>[ Text ]</w:t>
      </w:r>
    </w:p>
    <w:p w14:paraId="2E056CE1" w14:textId="77777777" w:rsidR="007712D7" w:rsidRPr="00D05AFB" w:rsidRDefault="007712D7" w:rsidP="007712D7">
      <w:pPr>
        <w:pStyle w:val="Heading2"/>
      </w:pPr>
      <w:bookmarkStart w:id="18" w:name="_Toc170814985"/>
      <w:r>
        <w:t>Blinding and evaluation-driven effects</w:t>
      </w:r>
      <w:bookmarkEnd w:id="18"/>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712D7" w14:paraId="19B16E0A" w14:textId="77777777" w:rsidTr="00BA73F2">
        <w:tc>
          <w:tcPr>
            <w:tcW w:w="9060" w:type="dxa"/>
            <w:shd w:val="clear" w:color="auto" w:fill="FCDDD2" w:themeFill="accent6" w:themeFillTint="33"/>
          </w:tcPr>
          <w:p w14:paraId="212EC111" w14:textId="77777777" w:rsidR="007712D7" w:rsidRPr="00547A97" w:rsidRDefault="007712D7" w:rsidP="007712D7">
            <w:pPr>
              <w:jc w:val="both"/>
            </w:pPr>
            <w:r w:rsidRPr="00BA3E9C">
              <w:t>Describe whether participants and researchers will be blind to treatment assignment. If</w:t>
            </w:r>
            <w:r>
              <w:t> </w:t>
            </w:r>
            <w:r w:rsidRPr="00BA3E9C">
              <w:t>not, discuss the risk of evaluation-driven effects such as: the participants behaving differently because of the group they are assigned to (i.e. ‘Hawthorne’ or ‘Henry’ effects), or external actors behaving differently towards one group (e.g. a philanthropic group provides funding to schools in the control group to deliver a program similar to that being tested in the treatment group).</w:t>
            </w:r>
          </w:p>
        </w:tc>
      </w:tr>
    </w:tbl>
    <w:p w14:paraId="46D72656" w14:textId="77777777" w:rsidR="007712D7" w:rsidRPr="00CE3856" w:rsidRDefault="007712D7" w:rsidP="007712D7">
      <w:pPr>
        <w:rPr>
          <w:color w:val="808080" w:themeColor="background1" w:themeShade="80"/>
        </w:rPr>
      </w:pPr>
      <w:r w:rsidRPr="00CE3856">
        <w:rPr>
          <w:color w:val="808080" w:themeColor="background1" w:themeShade="80"/>
        </w:rPr>
        <w:t>[ Text ]</w:t>
      </w:r>
    </w:p>
    <w:p w14:paraId="13557FD1" w14:textId="77777777" w:rsidR="007712D7" w:rsidRPr="00D05AFB" w:rsidRDefault="007712D7" w:rsidP="007712D7">
      <w:pPr>
        <w:pStyle w:val="Heading2"/>
      </w:pPr>
      <w:bookmarkStart w:id="19" w:name="_Toc170814986"/>
      <w:r>
        <w:t>Non-compliance</w:t>
      </w:r>
      <w:bookmarkEnd w:id="19"/>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712D7" w14:paraId="0FDE730D" w14:textId="77777777" w:rsidTr="00BA73F2">
        <w:tc>
          <w:tcPr>
            <w:tcW w:w="9060" w:type="dxa"/>
            <w:shd w:val="clear" w:color="auto" w:fill="FCDDD2" w:themeFill="accent6" w:themeFillTint="33"/>
          </w:tcPr>
          <w:p w14:paraId="521522A2" w14:textId="77777777" w:rsidR="007712D7" w:rsidRPr="00547A97" w:rsidRDefault="007712D7" w:rsidP="007712D7">
            <w:pPr>
              <w:jc w:val="both"/>
            </w:pPr>
            <w:r w:rsidRPr="00FD349A">
              <w:t>Describe if you are expecting non-compliance and if this will be one-sided or two-sided. Discuss how you will interpret the intent-to-treat (ITT) estimate in the face of this non-compliance and if you will use Instrumental Variable (IV) analysis to explore complier/per-protocol effects.</w:t>
            </w:r>
          </w:p>
        </w:tc>
      </w:tr>
    </w:tbl>
    <w:p w14:paraId="63F07729" w14:textId="77777777" w:rsidR="007712D7" w:rsidRPr="007712D7" w:rsidRDefault="007712D7" w:rsidP="007712D7">
      <w:pPr>
        <w:rPr>
          <w:color w:val="808080" w:themeColor="background1" w:themeShade="80"/>
        </w:rPr>
      </w:pPr>
      <w:r w:rsidRPr="007712D7">
        <w:rPr>
          <w:color w:val="808080" w:themeColor="background1" w:themeShade="80"/>
        </w:rPr>
        <w:t>[ Text ]</w:t>
      </w:r>
    </w:p>
    <w:p w14:paraId="1B185E00" w14:textId="77777777" w:rsidR="007712D7" w:rsidRPr="00564D52" w:rsidRDefault="007712D7" w:rsidP="007712D7"/>
    <w:p w14:paraId="10DAF461" w14:textId="77777777" w:rsidR="007712D7" w:rsidRDefault="007712D7" w:rsidP="007712D7">
      <w:pPr>
        <w:pStyle w:val="Heading1"/>
        <w:spacing w:before="0" w:line="240" w:lineRule="auto"/>
      </w:pPr>
      <w:bookmarkStart w:id="20" w:name="_Toc170814987"/>
      <w:r>
        <w:lastRenderedPageBreak/>
        <w:t>Interpretation of results</w:t>
      </w:r>
      <w:bookmarkEnd w:id="20"/>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7712D7" w14:paraId="184DF6D9" w14:textId="77777777" w:rsidTr="00BA73F2">
        <w:tc>
          <w:tcPr>
            <w:tcW w:w="9060" w:type="dxa"/>
            <w:shd w:val="clear" w:color="auto" w:fill="FCDDD2" w:themeFill="accent6" w:themeFillTint="33"/>
          </w:tcPr>
          <w:p w14:paraId="3ADDE091" w14:textId="77777777" w:rsidR="007712D7" w:rsidRPr="005A1B5D" w:rsidRDefault="007712D7" w:rsidP="007712D7">
            <w:pPr>
              <w:jc w:val="both"/>
            </w:pPr>
            <w:r w:rsidRPr="005A1B5D">
              <w:t>Note relevant factors for interpretation, e.g. effect size, alpha, priors and available evidence, measurement error, quality of trial design.</w:t>
            </w:r>
          </w:p>
          <w:p w14:paraId="6CFCDE69" w14:textId="77777777" w:rsidR="007712D7" w:rsidRPr="005A1B5D" w:rsidRDefault="007712D7" w:rsidP="007712D7">
            <w:pPr>
              <w:jc w:val="both"/>
            </w:pPr>
            <w:r w:rsidRPr="005A1B5D">
              <w:t>Consider any issues for causal inference or robustness of statistical analysis. Robustness checks and sensitivity analysis, missing data, multiple comparisons, outliers and exclusions.</w:t>
            </w:r>
          </w:p>
          <w:p w14:paraId="3BED43C7" w14:textId="77777777" w:rsidR="007712D7" w:rsidRPr="00A409A9" w:rsidRDefault="007712D7" w:rsidP="007712D7">
            <w:pPr>
              <w:jc w:val="both"/>
            </w:pPr>
            <w:r w:rsidRPr="005A1B5D">
              <w:t>Discuss other strands of evidence that might be used to provide context or help with the interpretation of the results.</w:t>
            </w:r>
          </w:p>
        </w:tc>
      </w:tr>
    </w:tbl>
    <w:p w14:paraId="0203963D" w14:textId="77777777" w:rsidR="007712D7" w:rsidRDefault="007712D7" w:rsidP="007712D7">
      <w:pPr>
        <w:rPr>
          <w:color w:val="808080" w:themeColor="background1" w:themeShade="80"/>
        </w:rPr>
      </w:pPr>
      <w:r w:rsidRPr="007712D7">
        <w:rPr>
          <w:color w:val="808080" w:themeColor="background1" w:themeShade="80"/>
        </w:rPr>
        <w:t>[ Text ]</w:t>
      </w:r>
    </w:p>
    <w:p w14:paraId="23505B24" w14:textId="77777777" w:rsidR="0057334D" w:rsidRPr="007712D7" w:rsidRDefault="0057334D" w:rsidP="007712D7">
      <w:pPr>
        <w:rPr>
          <w:color w:val="808080" w:themeColor="background1" w:themeShade="80"/>
        </w:rPr>
      </w:pPr>
    </w:p>
    <w:p w14:paraId="37D85F81" w14:textId="77777777" w:rsidR="0057334D" w:rsidRDefault="0057334D" w:rsidP="0057334D">
      <w:pPr>
        <w:pStyle w:val="Heading1"/>
        <w:spacing w:before="0" w:line="240" w:lineRule="auto"/>
      </w:pPr>
      <w:bookmarkStart w:id="21" w:name="_Toc170814988"/>
      <w:r>
        <w:t>Pre-analysis plan commitments</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DDD2" w:themeFill="accent6" w:themeFillTint="33"/>
        <w:tblCellMar>
          <w:top w:w="57" w:type="dxa"/>
          <w:left w:w="284" w:type="dxa"/>
          <w:bottom w:w="227" w:type="dxa"/>
          <w:right w:w="284" w:type="dxa"/>
        </w:tblCellMar>
        <w:tblLook w:val="04A0" w:firstRow="1" w:lastRow="0" w:firstColumn="1" w:lastColumn="0" w:noHBand="0" w:noVBand="1"/>
      </w:tblPr>
      <w:tblGrid>
        <w:gridCol w:w="9060"/>
      </w:tblGrid>
      <w:tr w:rsidR="0057334D" w14:paraId="34561C34" w14:textId="77777777" w:rsidTr="00BA73F2">
        <w:tc>
          <w:tcPr>
            <w:tcW w:w="9060" w:type="dxa"/>
            <w:shd w:val="clear" w:color="auto" w:fill="FCDDD2" w:themeFill="accent6" w:themeFillTint="33"/>
          </w:tcPr>
          <w:p w14:paraId="02D4AF4F" w14:textId="77777777" w:rsidR="0057334D" w:rsidRPr="00A409A9" w:rsidRDefault="0057334D" w:rsidP="0057334D">
            <w:pPr>
              <w:jc w:val="both"/>
            </w:pPr>
            <w:r w:rsidRPr="17721331">
              <w:t xml:space="preserve">Specify that no trial data have been collected and no analysis has been undertaken prior to the completion of this pre-analysis plan. Note that you will be transparent about, and provide justification for, any deviations (additions or omissions) from this pre-analysis plan. </w:t>
            </w:r>
          </w:p>
        </w:tc>
      </w:tr>
    </w:tbl>
    <w:p w14:paraId="6684BAB3" w14:textId="77777777" w:rsidR="0057334D" w:rsidRPr="0057334D" w:rsidRDefault="0057334D" w:rsidP="0057334D">
      <w:pPr>
        <w:rPr>
          <w:color w:val="808080" w:themeColor="background1" w:themeShade="80"/>
        </w:rPr>
      </w:pPr>
      <w:r w:rsidRPr="0057334D">
        <w:rPr>
          <w:color w:val="808080" w:themeColor="background1" w:themeShade="80"/>
        </w:rPr>
        <w:t>[ Text ]</w:t>
      </w:r>
    </w:p>
    <w:p w14:paraId="5EA74680" w14:textId="77777777" w:rsidR="007712D7" w:rsidRPr="0067643E" w:rsidRDefault="007712D7" w:rsidP="007712D7"/>
    <w:p w14:paraId="398C77EA" w14:textId="3AEB8355" w:rsidR="00547A97" w:rsidRPr="0057334D" w:rsidRDefault="00547A97" w:rsidP="00547A97">
      <w:pPr>
        <w:rPr>
          <w:color w:val="808080" w:themeColor="background1" w:themeShade="80"/>
        </w:rPr>
      </w:pPr>
    </w:p>
    <w:sectPr w:rsidR="00547A97" w:rsidRPr="0057334D" w:rsidSect="00A44575">
      <w:headerReference w:type="default" r:id="rId27"/>
      <w:pgSz w:w="11906" w:h="16838" w:code="9"/>
      <w:pgMar w:top="1814"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6C5C" w14:textId="77777777" w:rsidR="008E5B76" w:rsidRDefault="008E5B76" w:rsidP="00EF4574">
      <w:pPr>
        <w:spacing w:before="0" w:after="0" w:line="240" w:lineRule="auto"/>
      </w:pPr>
      <w:r>
        <w:separator/>
      </w:r>
    </w:p>
    <w:p w14:paraId="4BCFE04F" w14:textId="77777777" w:rsidR="008E5B76" w:rsidRDefault="008E5B76"/>
  </w:endnote>
  <w:endnote w:type="continuationSeparator" w:id="0">
    <w:p w14:paraId="3DB619F3" w14:textId="77777777" w:rsidR="008E5B76" w:rsidRDefault="008E5B76" w:rsidP="00EF4574">
      <w:pPr>
        <w:spacing w:before="0" w:after="0" w:line="240" w:lineRule="auto"/>
      </w:pPr>
      <w:r>
        <w:continuationSeparator/>
      </w:r>
    </w:p>
    <w:p w14:paraId="0E0E52C1" w14:textId="77777777" w:rsidR="008E5B76" w:rsidRDefault="008E5B76"/>
  </w:endnote>
  <w:endnote w:type="continuationNotice" w:id="1">
    <w:p w14:paraId="6E9C4EEF" w14:textId="77777777" w:rsidR="008E5B76" w:rsidRDefault="008E5B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0612"/>
      <w:docPartObj>
        <w:docPartGallery w:val="Page Numbers (Bottom of Page)"/>
        <w:docPartUnique/>
      </w:docPartObj>
    </w:sdtPr>
    <w:sdtEndPr>
      <w:rPr>
        <w:noProof/>
      </w:rPr>
    </w:sdtEndPr>
    <w:sdtContent>
      <w:p w14:paraId="70AED474" w14:textId="05A4F651" w:rsidR="000E1089" w:rsidRPr="00E40849" w:rsidRDefault="000E1089">
        <w:pPr>
          <w:pStyle w:val="Footer"/>
          <w:jc w:val="right"/>
        </w:pPr>
        <w:r w:rsidRPr="00E40849">
          <w:fldChar w:fldCharType="begin"/>
        </w:r>
        <w:r w:rsidRPr="00E40849">
          <w:instrText xml:space="preserve"> PAGE   \* MERGEFORMAT </w:instrText>
        </w:r>
        <w:r w:rsidRPr="00E40849">
          <w:fldChar w:fldCharType="separate"/>
        </w:r>
        <w:r w:rsidRPr="00E40849">
          <w:rPr>
            <w:noProof/>
          </w:rPr>
          <w:t>2</w:t>
        </w:r>
        <w:r w:rsidRPr="00E40849">
          <w:rPr>
            <w:noProof/>
          </w:rPr>
          <w:fldChar w:fldCharType="end"/>
        </w:r>
      </w:p>
    </w:sdtContent>
  </w:sdt>
  <w:p w14:paraId="423A1ADF" w14:textId="77777777"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14F5" w14:textId="77777777" w:rsidR="000A6A8B" w:rsidRDefault="000A6A8B">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75EDBE96" w14:textId="77777777" w:rsidR="000A6A8B" w:rsidRDefault="000A6A8B" w:rsidP="000A6A8B">
        <w:pPr>
          <w:pStyle w:val="Footer"/>
          <w:jc w:val="center"/>
          <w:rPr>
            <w:rStyle w:val="Classification"/>
          </w:rPr>
        </w:pPr>
        <w:r w:rsidRPr="000A6A8B">
          <w:rPr>
            <w:rStyle w:val="Classification"/>
          </w:rPr>
          <w:t>Classification</w:t>
        </w:r>
      </w:p>
    </w:sdtContent>
  </w:sdt>
  <w:p w14:paraId="3CB57A8D" w14:textId="77777777" w:rsidR="006C4DD1" w:rsidRPr="000A6A8B" w:rsidRDefault="006C4DD1"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B56B" w14:textId="77777777" w:rsidR="008E5B76" w:rsidRDefault="008E5B76" w:rsidP="0020122A">
      <w:pPr>
        <w:pStyle w:val="FootnoteSeparator"/>
      </w:pPr>
    </w:p>
  </w:footnote>
  <w:footnote w:type="continuationSeparator" w:id="0">
    <w:p w14:paraId="6D98498F" w14:textId="77777777" w:rsidR="008E5B76" w:rsidRDefault="008E5B76" w:rsidP="00EF4574">
      <w:pPr>
        <w:spacing w:before="0" w:after="0" w:line="240" w:lineRule="auto"/>
      </w:pPr>
      <w:r>
        <w:continuationSeparator/>
      </w:r>
    </w:p>
    <w:p w14:paraId="064AD57C" w14:textId="77777777" w:rsidR="008E5B76" w:rsidRDefault="008E5B76"/>
  </w:footnote>
  <w:footnote w:type="continuationNotice" w:id="1">
    <w:p w14:paraId="346154AA" w14:textId="77777777" w:rsidR="008E5B76" w:rsidRDefault="008E5B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9408A0" w14:paraId="6B473460" w14:textId="77777777" w:rsidTr="1B9408A0">
      <w:trPr>
        <w:trHeight w:val="300"/>
      </w:trPr>
      <w:tc>
        <w:tcPr>
          <w:tcW w:w="3020" w:type="dxa"/>
        </w:tcPr>
        <w:p w14:paraId="205A22AA" w14:textId="374075F9" w:rsidR="1B9408A0" w:rsidRDefault="1B9408A0" w:rsidP="1B9408A0">
          <w:pPr>
            <w:pStyle w:val="Header"/>
            <w:ind w:left="-115"/>
            <w:jc w:val="left"/>
          </w:pPr>
        </w:p>
      </w:tc>
      <w:tc>
        <w:tcPr>
          <w:tcW w:w="3020" w:type="dxa"/>
        </w:tcPr>
        <w:p w14:paraId="57BA701C" w14:textId="4F0966ED" w:rsidR="1B9408A0" w:rsidRDefault="1B9408A0" w:rsidP="1B9408A0">
          <w:pPr>
            <w:pStyle w:val="Header"/>
            <w:jc w:val="center"/>
          </w:pPr>
        </w:p>
      </w:tc>
      <w:tc>
        <w:tcPr>
          <w:tcW w:w="3020" w:type="dxa"/>
        </w:tcPr>
        <w:p w14:paraId="02413A1D" w14:textId="08E52594" w:rsidR="1B9408A0" w:rsidRDefault="1B9408A0" w:rsidP="1B9408A0">
          <w:pPr>
            <w:pStyle w:val="Header"/>
            <w:ind w:right="-115"/>
          </w:pPr>
        </w:p>
      </w:tc>
    </w:tr>
  </w:tbl>
  <w:p w14:paraId="5E49E0E5" w14:textId="67F7E33B" w:rsidR="1B9408A0" w:rsidRDefault="1B9408A0" w:rsidP="1B940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3658" w14:textId="77777777" w:rsidR="000C2A48" w:rsidRDefault="00A24C47" w:rsidP="000A6A8B">
    <w:pPr>
      <w:pStyle w:val="Header"/>
      <w:jc w:val="center"/>
    </w:pPr>
    <w:r>
      <w:rPr>
        <w:noProof/>
        <w:lang w:eastAsia="en-AU"/>
      </w:rPr>
      <w:drawing>
        <wp:anchor distT="0" distB="0" distL="114300" distR="114300" simplePos="0" relativeHeight="251658240" behindDoc="1" locked="0" layoutInCell="1" allowOverlap="1" wp14:anchorId="51B458B3" wp14:editId="0EBBB222">
          <wp:simplePos x="0" y="0"/>
          <wp:positionH relativeFrom="column">
            <wp:posOffset>-900430</wp:posOffset>
          </wp:positionH>
          <wp:positionV relativeFrom="paragraph">
            <wp:posOffset>-360680</wp:posOffset>
          </wp:positionV>
          <wp:extent cx="7571105" cy="10705465"/>
          <wp:effectExtent l="0" t="0" r="0" b="635"/>
          <wp:wrapNone/>
          <wp:docPr id="11" name="Picture 11"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0A6A8B" w:rsidRPr="000A6A8B">
          <w:rPr>
            <w:rStyle w:val="Classification"/>
          </w:rPr>
          <w:t>Classification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53D1" w14:textId="51086CF8" w:rsidR="00CD2968" w:rsidRPr="00A66D8B" w:rsidRDefault="005403F9" w:rsidP="00CD2968">
    <w:pPr>
      <w:pStyle w:val="Header"/>
      <w:tabs>
        <w:tab w:val="left" w:pos="253"/>
        <w:tab w:val="right" w:pos="9070"/>
      </w:tabs>
      <w:spacing w:before="480"/>
      <w:rPr>
        <w:b/>
        <w:color w:val="001B36"/>
      </w:rPr>
    </w:pPr>
    <w:r>
      <w:rPr>
        <w:b/>
        <w:noProof/>
        <w:color w:val="001B36"/>
        <w:lang w:eastAsia="en-AU"/>
      </w:rPr>
      <w:drawing>
        <wp:anchor distT="0" distB="0" distL="114300" distR="114300" simplePos="0" relativeHeight="251658241" behindDoc="1" locked="0" layoutInCell="1" allowOverlap="1" wp14:anchorId="73EE346C" wp14:editId="145E05A7">
          <wp:simplePos x="0" y="0"/>
          <wp:positionH relativeFrom="column">
            <wp:posOffset>-887730</wp:posOffset>
          </wp:positionH>
          <wp:positionV relativeFrom="paragraph">
            <wp:posOffset>-347345</wp:posOffset>
          </wp:positionV>
          <wp:extent cx="15113000" cy="10686854"/>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mmonwealth_Eval_Toolkit_Cover_Design_d01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0" cy="10686854"/>
                  </a:xfrm>
                  <a:prstGeom prst="rect">
                    <a:avLst/>
                  </a:prstGeom>
                </pic:spPr>
              </pic:pic>
            </a:graphicData>
          </a:graphic>
          <wp14:sizeRelH relativeFrom="margin">
            <wp14:pctWidth>0</wp14:pctWidth>
          </wp14:sizeRelH>
          <wp14:sizeRelV relativeFrom="margin">
            <wp14:pctHeight>0</wp14:pctHeight>
          </wp14:sizeRelV>
        </wp:anchor>
      </w:drawing>
    </w:r>
    <w:r w:rsidR="00CD2968">
      <w:rPr>
        <w:b/>
        <w:color w:val="001B36"/>
      </w:rPr>
      <w:tab/>
    </w:r>
    <w:r w:rsidR="00CD2968">
      <w:rPr>
        <w:b/>
        <w:color w:val="001B36"/>
      </w:rPr>
      <w:tab/>
    </w:r>
    <w:r w:rsidR="00CD2968">
      <w:rPr>
        <w:b/>
        <w:color w:val="001B36"/>
      </w:rPr>
      <w:tab/>
    </w:r>
    <w:r>
      <w:rPr>
        <w:b/>
        <w:color w:val="001B36"/>
      </w:rPr>
      <w:br/>
    </w:r>
    <w:r>
      <w:rPr>
        <w:b/>
        <w:color w:val="001B36"/>
      </w:rPr>
      <w:br/>
    </w:r>
    <w:r w:rsidR="00610BF7">
      <w:rPr>
        <w:b/>
        <w:color w:val="001B36"/>
      </w:rPr>
      <w:t>Commonwealth Evaluation Toolkit</w:t>
    </w:r>
    <w:r w:rsidR="00CD2968" w:rsidRPr="00B515B9">
      <w:rPr>
        <w:b/>
        <w:color w:val="F15A22" w:themeColor="accent6"/>
      </w:rPr>
      <w:t xml:space="preserve"> | </w:t>
    </w:r>
    <w:r w:rsidR="00195551">
      <w:rPr>
        <w:b/>
        <w:color w:val="001B36"/>
      </w:rPr>
      <w:t>Pre-analysis Plan T</w:t>
    </w:r>
    <w:r w:rsidR="00610BF7">
      <w:rPr>
        <w:b/>
        <w:color w:val="001B36"/>
      </w:rPr>
      <w: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9C1292"/>
    <w:multiLevelType w:val="hybridMultilevel"/>
    <w:tmpl w:val="FF54F15A"/>
    <w:lvl w:ilvl="0" w:tplc="AF7A48DA">
      <w:start w:val="1"/>
      <w:numFmt w:val="bullet"/>
      <w:lvlText w:val=""/>
      <w:lvlJc w:val="left"/>
      <w:pPr>
        <w:ind w:left="720" w:hanging="360"/>
      </w:pPr>
      <w:rPr>
        <w:rFonts w:ascii="Symbol" w:hAnsi="Symbol" w:hint="default"/>
      </w:rPr>
    </w:lvl>
    <w:lvl w:ilvl="1" w:tplc="6A3282B0">
      <w:start w:val="1"/>
      <w:numFmt w:val="bullet"/>
      <w:lvlText w:val="o"/>
      <w:lvlJc w:val="left"/>
      <w:pPr>
        <w:ind w:left="1440" w:hanging="360"/>
      </w:pPr>
      <w:rPr>
        <w:rFonts w:ascii="Courier New" w:hAnsi="Courier New" w:hint="default"/>
      </w:rPr>
    </w:lvl>
    <w:lvl w:ilvl="2" w:tplc="430453D4">
      <w:start w:val="1"/>
      <w:numFmt w:val="bullet"/>
      <w:lvlText w:val=""/>
      <w:lvlJc w:val="left"/>
      <w:pPr>
        <w:ind w:left="2160" w:hanging="360"/>
      </w:pPr>
      <w:rPr>
        <w:rFonts w:ascii="Wingdings" w:hAnsi="Wingdings" w:hint="default"/>
      </w:rPr>
    </w:lvl>
    <w:lvl w:ilvl="3" w:tplc="6E8C608C">
      <w:start w:val="1"/>
      <w:numFmt w:val="bullet"/>
      <w:lvlText w:val=""/>
      <w:lvlJc w:val="left"/>
      <w:pPr>
        <w:ind w:left="2880" w:hanging="360"/>
      </w:pPr>
      <w:rPr>
        <w:rFonts w:ascii="Symbol" w:hAnsi="Symbol" w:hint="default"/>
      </w:rPr>
    </w:lvl>
    <w:lvl w:ilvl="4" w:tplc="39A28920">
      <w:start w:val="1"/>
      <w:numFmt w:val="bullet"/>
      <w:lvlText w:val="o"/>
      <w:lvlJc w:val="left"/>
      <w:pPr>
        <w:ind w:left="3600" w:hanging="360"/>
      </w:pPr>
      <w:rPr>
        <w:rFonts w:ascii="Courier New" w:hAnsi="Courier New" w:hint="default"/>
      </w:rPr>
    </w:lvl>
    <w:lvl w:ilvl="5" w:tplc="396EAA52">
      <w:start w:val="1"/>
      <w:numFmt w:val="bullet"/>
      <w:lvlText w:val=""/>
      <w:lvlJc w:val="left"/>
      <w:pPr>
        <w:ind w:left="4320" w:hanging="360"/>
      </w:pPr>
      <w:rPr>
        <w:rFonts w:ascii="Wingdings" w:hAnsi="Wingdings" w:hint="default"/>
      </w:rPr>
    </w:lvl>
    <w:lvl w:ilvl="6" w:tplc="9B00BFC0">
      <w:start w:val="1"/>
      <w:numFmt w:val="bullet"/>
      <w:lvlText w:val=""/>
      <w:lvlJc w:val="left"/>
      <w:pPr>
        <w:ind w:left="5040" w:hanging="360"/>
      </w:pPr>
      <w:rPr>
        <w:rFonts w:ascii="Symbol" w:hAnsi="Symbol" w:hint="default"/>
      </w:rPr>
    </w:lvl>
    <w:lvl w:ilvl="7" w:tplc="CF4E68F0">
      <w:start w:val="1"/>
      <w:numFmt w:val="bullet"/>
      <w:lvlText w:val="o"/>
      <w:lvlJc w:val="left"/>
      <w:pPr>
        <w:ind w:left="5760" w:hanging="360"/>
      </w:pPr>
      <w:rPr>
        <w:rFonts w:ascii="Courier New" w:hAnsi="Courier New" w:hint="default"/>
      </w:rPr>
    </w:lvl>
    <w:lvl w:ilvl="8" w:tplc="19901E34">
      <w:start w:val="1"/>
      <w:numFmt w:val="bullet"/>
      <w:lvlText w:val=""/>
      <w:lvlJc w:val="left"/>
      <w:pPr>
        <w:ind w:left="6480" w:hanging="360"/>
      </w:pPr>
      <w:rPr>
        <w:rFonts w:ascii="Wingdings" w:hAnsi="Wingdings" w:hint="default"/>
      </w:rPr>
    </w:lvl>
  </w:abstractNum>
  <w:abstractNum w:abstractNumId="13" w15:restartNumberingAfterBreak="0">
    <w:nsid w:val="12E757DF"/>
    <w:multiLevelType w:val="multilevel"/>
    <w:tmpl w:val="0A5822D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7"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BE77EE7"/>
    <w:multiLevelType w:val="hybridMultilevel"/>
    <w:tmpl w:val="78BAE1B8"/>
    <w:lvl w:ilvl="0" w:tplc="DA44EFE2">
      <w:start w:val="1"/>
      <w:numFmt w:val="bullet"/>
      <w:lvlText w:val=""/>
      <w:lvlJc w:val="left"/>
      <w:pPr>
        <w:ind w:left="720" w:hanging="360"/>
      </w:pPr>
      <w:rPr>
        <w:rFonts w:ascii="Symbol" w:hAnsi="Symbol"/>
      </w:rPr>
    </w:lvl>
    <w:lvl w:ilvl="1" w:tplc="62E07F2E">
      <w:start w:val="1"/>
      <w:numFmt w:val="bullet"/>
      <w:lvlText w:val=""/>
      <w:lvlJc w:val="left"/>
      <w:pPr>
        <w:ind w:left="720" w:hanging="360"/>
      </w:pPr>
      <w:rPr>
        <w:rFonts w:ascii="Symbol" w:hAnsi="Symbol"/>
      </w:rPr>
    </w:lvl>
    <w:lvl w:ilvl="2" w:tplc="AC34E808">
      <w:start w:val="1"/>
      <w:numFmt w:val="bullet"/>
      <w:lvlText w:val=""/>
      <w:lvlJc w:val="left"/>
      <w:pPr>
        <w:ind w:left="720" w:hanging="360"/>
      </w:pPr>
      <w:rPr>
        <w:rFonts w:ascii="Symbol" w:hAnsi="Symbol"/>
      </w:rPr>
    </w:lvl>
    <w:lvl w:ilvl="3" w:tplc="FEF46C72">
      <w:start w:val="1"/>
      <w:numFmt w:val="bullet"/>
      <w:lvlText w:val=""/>
      <w:lvlJc w:val="left"/>
      <w:pPr>
        <w:ind w:left="720" w:hanging="360"/>
      </w:pPr>
      <w:rPr>
        <w:rFonts w:ascii="Symbol" w:hAnsi="Symbol"/>
      </w:rPr>
    </w:lvl>
    <w:lvl w:ilvl="4" w:tplc="DA56AFA2">
      <w:start w:val="1"/>
      <w:numFmt w:val="bullet"/>
      <w:lvlText w:val=""/>
      <w:lvlJc w:val="left"/>
      <w:pPr>
        <w:ind w:left="720" w:hanging="360"/>
      </w:pPr>
      <w:rPr>
        <w:rFonts w:ascii="Symbol" w:hAnsi="Symbol"/>
      </w:rPr>
    </w:lvl>
    <w:lvl w:ilvl="5" w:tplc="893098A6">
      <w:start w:val="1"/>
      <w:numFmt w:val="bullet"/>
      <w:lvlText w:val=""/>
      <w:lvlJc w:val="left"/>
      <w:pPr>
        <w:ind w:left="720" w:hanging="360"/>
      </w:pPr>
      <w:rPr>
        <w:rFonts w:ascii="Symbol" w:hAnsi="Symbol"/>
      </w:rPr>
    </w:lvl>
    <w:lvl w:ilvl="6" w:tplc="A95A5A72">
      <w:start w:val="1"/>
      <w:numFmt w:val="bullet"/>
      <w:lvlText w:val=""/>
      <w:lvlJc w:val="left"/>
      <w:pPr>
        <w:ind w:left="720" w:hanging="360"/>
      </w:pPr>
      <w:rPr>
        <w:rFonts w:ascii="Symbol" w:hAnsi="Symbol"/>
      </w:rPr>
    </w:lvl>
    <w:lvl w:ilvl="7" w:tplc="27DED166">
      <w:start w:val="1"/>
      <w:numFmt w:val="bullet"/>
      <w:lvlText w:val=""/>
      <w:lvlJc w:val="left"/>
      <w:pPr>
        <w:ind w:left="720" w:hanging="360"/>
      </w:pPr>
      <w:rPr>
        <w:rFonts w:ascii="Symbol" w:hAnsi="Symbol"/>
      </w:rPr>
    </w:lvl>
    <w:lvl w:ilvl="8" w:tplc="E0047BF0">
      <w:start w:val="1"/>
      <w:numFmt w:val="bullet"/>
      <w:lvlText w:val=""/>
      <w:lvlJc w:val="left"/>
      <w:pPr>
        <w:ind w:left="720" w:hanging="360"/>
      </w:pPr>
      <w:rPr>
        <w:rFonts w:ascii="Symbol" w:hAnsi="Symbol"/>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650C4314"/>
    <w:multiLevelType w:val="hybridMultilevel"/>
    <w:tmpl w:val="0DBAE9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DA79A9"/>
    <w:multiLevelType w:val="hybridMultilevel"/>
    <w:tmpl w:val="CCE61E8E"/>
    <w:lvl w:ilvl="0" w:tplc="D93E98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37C44"/>
    <w:multiLevelType w:val="hybridMultilevel"/>
    <w:tmpl w:val="1FA0B6FE"/>
    <w:lvl w:ilvl="0" w:tplc="05E81522">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E357F37"/>
    <w:multiLevelType w:val="hybridMultilevel"/>
    <w:tmpl w:val="ACCA6F14"/>
    <w:lvl w:ilvl="0" w:tplc="73F88F48">
      <w:numFmt w:val="bullet"/>
      <w:lvlText w:val="•"/>
      <w:lvlJc w:val="left"/>
      <w:pPr>
        <w:ind w:left="716" w:hanging="432"/>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12"/>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6"/>
  </w:num>
  <w:num w:numId="24">
    <w:abstractNumId w:val="21"/>
  </w:num>
  <w:num w:numId="25">
    <w:abstractNumId w:val="25"/>
  </w:num>
  <w:num w:numId="26">
    <w:abstractNumId w:val="23"/>
  </w:num>
  <w:num w:numId="27">
    <w:abstractNumId w:val="14"/>
  </w:num>
  <w:num w:numId="28">
    <w:abstractNumId w:val="13"/>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1DC"/>
    <w:rsid w:val="0001698D"/>
    <w:rsid w:val="0002293D"/>
    <w:rsid w:val="00024323"/>
    <w:rsid w:val="0002782F"/>
    <w:rsid w:val="00030273"/>
    <w:rsid w:val="00030752"/>
    <w:rsid w:val="0003700D"/>
    <w:rsid w:val="00037A02"/>
    <w:rsid w:val="00041780"/>
    <w:rsid w:val="00047BDD"/>
    <w:rsid w:val="00054E4D"/>
    <w:rsid w:val="00060073"/>
    <w:rsid w:val="000603C7"/>
    <w:rsid w:val="00062533"/>
    <w:rsid w:val="00064B97"/>
    <w:rsid w:val="00067D6A"/>
    <w:rsid w:val="00075694"/>
    <w:rsid w:val="0007779A"/>
    <w:rsid w:val="000829F4"/>
    <w:rsid w:val="00086313"/>
    <w:rsid w:val="000905D0"/>
    <w:rsid w:val="000973CE"/>
    <w:rsid w:val="000A4B30"/>
    <w:rsid w:val="000A6A8B"/>
    <w:rsid w:val="000B1DE7"/>
    <w:rsid w:val="000C2A48"/>
    <w:rsid w:val="000C5F75"/>
    <w:rsid w:val="000D319E"/>
    <w:rsid w:val="000D60B1"/>
    <w:rsid w:val="000E1089"/>
    <w:rsid w:val="000E42E2"/>
    <w:rsid w:val="000F1755"/>
    <w:rsid w:val="000F25C3"/>
    <w:rsid w:val="00112379"/>
    <w:rsid w:val="001139B2"/>
    <w:rsid w:val="00114BF1"/>
    <w:rsid w:val="00120394"/>
    <w:rsid w:val="001232B1"/>
    <w:rsid w:val="00132970"/>
    <w:rsid w:val="001333D4"/>
    <w:rsid w:val="00135108"/>
    <w:rsid w:val="00136530"/>
    <w:rsid w:val="0015076F"/>
    <w:rsid w:val="001541EA"/>
    <w:rsid w:val="00156C5A"/>
    <w:rsid w:val="001612A4"/>
    <w:rsid w:val="001660A8"/>
    <w:rsid w:val="00170D51"/>
    <w:rsid w:val="001748EA"/>
    <w:rsid w:val="00174B90"/>
    <w:rsid w:val="00176E9C"/>
    <w:rsid w:val="00177BCD"/>
    <w:rsid w:val="00182F5F"/>
    <w:rsid w:val="00185DFF"/>
    <w:rsid w:val="00195551"/>
    <w:rsid w:val="001A61D5"/>
    <w:rsid w:val="001D39EF"/>
    <w:rsid w:val="001D7DF5"/>
    <w:rsid w:val="001D7EB4"/>
    <w:rsid w:val="001E1DC0"/>
    <w:rsid w:val="001E7D34"/>
    <w:rsid w:val="001F191D"/>
    <w:rsid w:val="0020122A"/>
    <w:rsid w:val="002034EA"/>
    <w:rsid w:val="00211517"/>
    <w:rsid w:val="00215C75"/>
    <w:rsid w:val="002200FE"/>
    <w:rsid w:val="002312FF"/>
    <w:rsid w:val="00234846"/>
    <w:rsid w:val="002611AB"/>
    <w:rsid w:val="00263D80"/>
    <w:rsid w:val="00265673"/>
    <w:rsid w:val="00274DBC"/>
    <w:rsid w:val="002816A1"/>
    <w:rsid w:val="0028602A"/>
    <w:rsid w:val="002B7879"/>
    <w:rsid w:val="002C15DB"/>
    <w:rsid w:val="002D6AA8"/>
    <w:rsid w:val="002F2CEC"/>
    <w:rsid w:val="002F5017"/>
    <w:rsid w:val="002F7F67"/>
    <w:rsid w:val="00301144"/>
    <w:rsid w:val="00302937"/>
    <w:rsid w:val="00306F6D"/>
    <w:rsid w:val="003148B7"/>
    <w:rsid w:val="003158C3"/>
    <w:rsid w:val="00323A3B"/>
    <w:rsid w:val="00325629"/>
    <w:rsid w:val="003274CD"/>
    <w:rsid w:val="00332FC6"/>
    <w:rsid w:val="00333840"/>
    <w:rsid w:val="0034224A"/>
    <w:rsid w:val="00346DD3"/>
    <w:rsid w:val="0035119D"/>
    <w:rsid w:val="003522DC"/>
    <w:rsid w:val="0035741E"/>
    <w:rsid w:val="0036068E"/>
    <w:rsid w:val="00361918"/>
    <w:rsid w:val="00363D55"/>
    <w:rsid w:val="00371931"/>
    <w:rsid w:val="003762D6"/>
    <w:rsid w:val="00393A7E"/>
    <w:rsid w:val="003978DE"/>
    <w:rsid w:val="003A4179"/>
    <w:rsid w:val="003A4DD2"/>
    <w:rsid w:val="003A71C5"/>
    <w:rsid w:val="003B0938"/>
    <w:rsid w:val="003B1A7C"/>
    <w:rsid w:val="003B4562"/>
    <w:rsid w:val="003B4F12"/>
    <w:rsid w:val="003B7B3E"/>
    <w:rsid w:val="003C0154"/>
    <w:rsid w:val="003C0E5E"/>
    <w:rsid w:val="003D3E74"/>
    <w:rsid w:val="003D67EC"/>
    <w:rsid w:val="003E69BC"/>
    <w:rsid w:val="0041775C"/>
    <w:rsid w:val="00421580"/>
    <w:rsid w:val="00423F31"/>
    <w:rsid w:val="00424ABC"/>
    <w:rsid w:val="00431899"/>
    <w:rsid w:val="004319A5"/>
    <w:rsid w:val="0043416F"/>
    <w:rsid w:val="00437E87"/>
    <w:rsid w:val="00440A35"/>
    <w:rsid w:val="004439F6"/>
    <w:rsid w:val="004509B7"/>
    <w:rsid w:val="004653CC"/>
    <w:rsid w:val="00486804"/>
    <w:rsid w:val="004A30FB"/>
    <w:rsid w:val="004A4B93"/>
    <w:rsid w:val="004B191B"/>
    <w:rsid w:val="004B3775"/>
    <w:rsid w:val="004C2A06"/>
    <w:rsid w:val="004C61B7"/>
    <w:rsid w:val="004C7EC3"/>
    <w:rsid w:val="004D26E9"/>
    <w:rsid w:val="004E006E"/>
    <w:rsid w:val="004E058F"/>
    <w:rsid w:val="004E3B87"/>
    <w:rsid w:val="0050003E"/>
    <w:rsid w:val="00501139"/>
    <w:rsid w:val="0050287C"/>
    <w:rsid w:val="00504DCD"/>
    <w:rsid w:val="00507378"/>
    <w:rsid w:val="00510326"/>
    <w:rsid w:val="00510921"/>
    <w:rsid w:val="00510AD3"/>
    <w:rsid w:val="00513348"/>
    <w:rsid w:val="00513534"/>
    <w:rsid w:val="005258B0"/>
    <w:rsid w:val="0053279A"/>
    <w:rsid w:val="00533B5D"/>
    <w:rsid w:val="005403F9"/>
    <w:rsid w:val="00541E5B"/>
    <w:rsid w:val="00547A97"/>
    <w:rsid w:val="00550CE0"/>
    <w:rsid w:val="005546B8"/>
    <w:rsid w:val="00554A41"/>
    <w:rsid w:val="005570E8"/>
    <w:rsid w:val="00560735"/>
    <w:rsid w:val="00564A22"/>
    <w:rsid w:val="00564D52"/>
    <w:rsid w:val="0056779C"/>
    <w:rsid w:val="00572B1B"/>
    <w:rsid w:val="0057334D"/>
    <w:rsid w:val="00576566"/>
    <w:rsid w:val="00586BF3"/>
    <w:rsid w:val="005920FE"/>
    <w:rsid w:val="00593060"/>
    <w:rsid w:val="00594C8F"/>
    <w:rsid w:val="005970EA"/>
    <w:rsid w:val="005A1624"/>
    <w:rsid w:val="005A1B5D"/>
    <w:rsid w:val="005A55EC"/>
    <w:rsid w:val="005A7BCB"/>
    <w:rsid w:val="005C173A"/>
    <w:rsid w:val="005C1C3F"/>
    <w:rsid w:val="005C37F0"/>
    <w:rsid w:val="005D0C79"/>
    <w:rsid w:val="005D22DD"/>
    <w:rsid w:val="005D2C3D"/>
    <w:rsid w:val="005D2D36"/>
    <w:rsid w:val="005D3E0C"/>
    <w:rsid w:val="005F4EC5"/>
    <w:rsid w:val="005F51DF"/>
    <w:rsid w:val="005F7243"/>
    <w:rsid w:val="00604BA3"/>
    <w:rsid w:val="00610383"/>
    <w:rsid w:val="00610BF7"/>
    <w:rsid w:val="00611C12"/>
    <w:rsid w:val="00620929"/>
    <w:rsid w:val="0062201E"/>
    <w:rsid w:val="00623BA1"/>
    <w:rsid w:val="006265B5"/>
    <w:rsid w:val="006268BD"/>
    <w:rsid w:val="00634516"/>
    <w:rsid w:val="006346BC"/>
    <w:rsid w:val="006424C8"/>
    <w:rsid w:val="0065225C"/>
    <w:rsid w:val="00657B6B"/>
    <w:rsid w:val="0066078C"/>
    <w:rsid w:val="0066130F"/>
    <w:rsid w:val="006630B8"/>
    <w:rsid w:val="00666291"/>
    <w:rsid w:val="0066652A"/>
    <w:rsid w:val="0067643E"/>
    <w:rsid w:val="00682167"/>
    <w:rsid w:val="00683BF6"/>
    <w:rsid w:val="006840AA"/>
    <w:rsid w:val="00685584"/>
    <w:rsid w:val="00691B62"/>
    <w:rsid w:val="006A061F"/>
    <w:rsid w:val="006A31DC"/>
    <w:rsid w:val="006A5C0E"/>
    <w:rsid w:val="006A682C"/>
    <w:rsid w:val="006B0E8B"/>
    <w:rsid w:val="006C23E0"/>
    <w:rsid w:val="006C42AF"/>
    <w:rsid w:val="006C4DD1"/>
    <w:rsid w:val="006C70E3"/>
    <w:rsid w:val="006C7F6A"/>
    <w:rsid w:val="006E0B8F"/>
    <w:rsid w:val="006E377A"/>
    <w:rsid w:val="006F4EC1"/>
    <w:rsid w:val="007005C7"/>
    <w:rsid w:val="0070131B"/>
    <w:rsid w:val="007077E5"/>
    <w:rsid w:val="00711D8E"/>
    <w:rsid w:val="00712672"/>
    <w:rsid w:val="00717BA2"/>
    <w:rsid w:val="0072366F"/>
    <w:rsid w:val="00727730"/>
    <w:rsid w:val="00734E3F"/>
    <w:rsid w:val="00735BD8"/>
    <w:rsid w:val="007363A9"/>
    <w:rsid w:val="007367E2"/>
    <w:rsid w:val="00736985"/>
    <w:rsid w:val="00737A13"/>
    <w:rsid w:val="00740A38"/>
    <w:rsid w:val="00751FB6"/>
    <w:rsid w:val="00752768"/>
    <w:rsid w:val="00755521"/>
    <w:rsid w:val="00760BE1"/>
    <w:rsid w:val="007712D7"/>
    <w:rsid w:val="0079204F"/>
    <w:rsid w:val="0079227F"/>
    <w:rsid w:val="00794863"/>
    <w:rsid w:val="007B6200"/>
    <w:rsid w:val="007C5866"/>
    <w:rsid w:val="007C62D3"/>
    <w:rsid w:val="007D29D9"/>
    <w:rsid w:val="007D5040"/>
    <w:rsid w:val="007E0DC6"/>
    <w:rsid w:val="007E799B"/>
    <w:rsid w:val="007F527B"/>
    <w:rsid w:val="00801B9F"/>
    <w:rsid w:val="0081323F"/>
    <w:rsid w:val="008245A0"/>
    <w:rsid w:val="0082589D"/>
    <w:rsid w:val="00831CAC"/>
    <w:rsid w:val="00833AD3"/>
    <w:rsid w:val="00837D62"/>
    <w:rsid w:val="00851E18"/>
    <w:rsid w:val="008556AC"/>
    <w:rsid w:val="00867A9C"/>
    <w:rsid w:val="00874013"/>
    <w:rsid w:val="00875032"/>
    <w:rsid w:val="00880B3F"/>
    <w:rsid w:val="008904F2"/>
    <w:rsid w:val="008B0B1A"/>
    <w:rsid w:val="008B62C7"/>
    <w:rsid w:val="008C050A"/>
    <w:rsid w:val="008D0BF0"/>
    <w:rsid w:val="008D2400"/>
    <w:rsid w:val="008D4A99"/>
    <w:rsid w:val="008E1425"/>
    <w:rsid w:val="008E5B76"/>
    <w:rsid w:val="008E60C7"/>
    <w:rsid w:val="008E73AF"/>
    <w:rsid w:val="008F0F72"/>
    <w:rsid w:val="008F7001"/>
    <w:rsid w:val="00902E26"/>
    <w:rsid w:val="0090309A"/>
    <w:rsid w:val="009247AF"/>
    <w:rsid w:val="00927A1F"/>
    <w:rsid w:val="00944190"/>
    <w:rsid w:val="0095289F"/>
    <w:rsid w:val="0096429F"/>
    <w:rsid w:val="009655AA"/>
    <w:rsid w:val="00970B0C"/>
    <w:rsid w:val="0097290E"/>
    <w:rsid w:val="00973B7F"/>
    <w:rsid w:val="00974379"/>
    <w:rsid w:val="00987B52"/>
    <w:rsid w:val="00992AE5"/>
    <w:rsid w:val="009A0D85"/>
    <w:rsid w:val="009A2DA7"/>
    <w:rsid w:val="009A394A"/>
    <w:rsid w:val="009B1B28"/>
    <w:rsid w:val="009B4D3B"/>
    <w:rsid w:val="009B6632"/>
    <w:rsid w:val="009C4997"/>
    <w:rsid w:val="009D1595"/>
    <w:rsid w:val="009D7407"/>
    <w:rsid w:val="009E0866"/>
    <w:rsid w:val="009E6A15"/>
    <w:rsid w:val="009F2F48"/>
    <w:rsid w:val="00A20E8E"/>
    <w:rsid w:val="00A24A62"/>
    <w:rsid w:val="00A24C47"/>
    <w:rsid w:val="00A31C9F"/>
    <w:rsid w:val="00A36A44"/>
    <w:rsid w:val="00A409A9"/>
    <w:rsid w:val="00A41B22"/>
    <w:rsid w:val="00A42A76"/>
    <w:rsid w:val="00A43BA4"/>
    <w:rsid w:val="00A44575"/>
    <w:rsid w:val="00A51DAD"/>
    <w:rsid w:val="00A5490D"/>
    <w:rsid w:val="00A66D8B"/>
    <w:rsid w:val="00A801E1"/>
    <w:rsid w:val="00A81A8B"/>
    <w:rsid w:val="00A8200F"/>
    <w:rsid w:val="00A83243"/>
    <w:rsid w:val="00A83C6D"/>
    <w:rsid w:val="00AA55FC"/>
    <w:rsid w:val="00AB19CF"/>
    <w:rsid w:val="00AB42B8"/>
    <w:rsid w:val="00AB5E3A"/>
    <w:rsid w:val="00AB6AD0"/>
    <w:rsid w:val="00AC164A"/>
    <w:rsid w:val="00AC271F"/>
    <w:rsid w:val="00AC4CDA"/>
    <w:rsid w:val="00AC6CEE"/>
    <w:rsid w:val="00AF1989"/>
    <w:rsid w:val="00AF2050"/>
    <w:rsid w:val="00B042D4"/>
    <w:rsid w:val="00B363E7"/>
    <w:rsid w:val="00B515B9"/>
    <w:rsid w:val="00B60352"/>
    <w:rsid w:val="00B61468"/>
    <w:rsid w:val="00B74939"/>
    <w:rsid w:val="00B74F9B"/>
    <w:rsid w:val="00B77AA0"/>
    <w:rsid w:val="00B81C86"/>
    <w:rsid w:val="00B82286"/>
    <w:rsid w:val="00B84423"/>
    <w:rsid w:val="00B90922"/>
    <w:rsid w:val="00B92A72"/>
    <w:rsid w:val="00BA048C"/>
    <w:rsid w:val="00BA08CB"/>
    <w:rsid w:val="00BA0B02"/>
    <w:rsid w:val="00BA3E9C"/>
    <w:rsid w:val="00BA73F2"/>
    <w:rsid w:val="00BB26C5"/>
    <w:rsid w:val="00BC0B63"/>
    <w:rsid w:val="00BC4247"/>
    <w:rsid w:val="00BD4788"/>
    <w:rsid w:val="00BD590D"/>
    <w:rsid w:val="00BE2DBD"/>
    <w:rsid w:val="00BE6115"/>
    <w:rsid w:val="00BF0B01"/>
    <w:rsid w:val="00BF4DE6"/>
    <w:rsid w:val="00C04806"/>
    <w:rsid w:val="00C04AE4"/>
    <w:rsid w:val="00C056FC"/>
    <w:rsid w:val="00C127FB"/>
    <w:rsid w:val="00C13A26"/>
    <w:rsid w:val="00C14D81"/>
    <w:rsid w:val="00C159A7"/>
    <w:rsid w:val="00C15CB5"/>
    <w:rsid w:val="00C27965"/>
    <w:rsid w:val="00C307FD"/>
    <w:rsid w:val="00C31185"/>
    <w:rsid w:val="00C345E8"/>
    <w:rsid w:val="00C35713"/>
    <w:rsid w:val="00C407DE"/>
    <w:rsid w:val="00C40ACD"/>
    <w:rsid w:val="00C42CDE"/>
    <w:rsid w:val="00C511FD"/>
    <w:rsid w:val="00C51439"/>
    <w:rsid w:val="00C55B9D"/>
    <w:rsid w:val="00C60904"/>
    <w:rsid w:val="00C61386"/>
    <w:rsid w:val="00C656E8"/>
    <w:rsid w:val="00C65EBD"/>
    <w:rsid w:val="00C761E7"/>
    <w:rsid w:val="00C9040F"/>
    <w:rsid w:val="00C9679C"/>
    <w:rsid w:val="00C97890"/>
    <w:rsid w:val="00CA02FD"/>
    <w:rsid w:val="00CA37B1"/>
    <w:rsid w:val="00CA4990"/>
    <w:rsid w:val="00CB1959"/>
    <w:rsid w:val="00CB3B68"/>
    <w:rsid w:val="00CB4758"/>
    <w:rsid w:val="00CB63C6"/>
    <w:rsid w:val="00CC2EB1"/>
    <w:rsid w:val="00CD1ABC"/>
    <w:rsid w:val="00CD2968"/>
    <w:rsid w:val="00CE3856"/>
    <w:rsid w:val="00CE39B7"/>
    <w:rsid w:val="00CE788B"/>
    <w:rsid w:val="00D0296C"/>
    <w:rsid w:val="00D02D64"/>
    <w:rsid w:val="00D05AFB"/>
    <w:rsid w:val="00D05F20"/>
    <w:rsid w:val="00D22869"/>
    <w:rsid w:val="00D40E88"/>
    <w:rsid w:val="00D45F48"/>
    <w:rsid w:val="00D46D82"/>
    <w:rsid w:val="00D4741E"/>
    <w:rsid w:val="00D52647"/>
    <w:rsid w:val="00D53485"/>
    <w:rsid w:val="00D60381"/>
    <w:rsid w:val="00D6331D"/>
    <w:rsid w:val="00D65DDC"/>
    <w:rsid w:val="00D67A94"/>
    <w:rsid w:val="00D805CA"/>
    <w:rsid w:val="00D813ED"/>
    <w:rsid w:val="00D875AC"/>
    <w:rsid w:val="00D90801"/>
    <w:rsid w:val="00D94EA9"/>
    <w:rsid w:val="00D95F0D"/>
    <w:rsid w:val="00D96BFD"/>
    <w:rsid w:val="00DA247C"/>
    <w:rsid w:val="00DA2B11"/>
    <w:rsid w:val="00DB45B1"/>
    <w:rsid w:val="00DB52D2"/>
    <w:rsid w:val="00DB6D69"/>
    <w:rsid w:val="00DC430B"/>
    <w:rsid w:val="00DC623E"/>
    <w:rsid w:val="00DD17EB"/>
    <w:rsid w:val="00DF2296"/>
    <w:rsid w:val="00DF232B"/>
    <w:rsid w:val="00DF25F7"/>
    <w:rsid w:val="00DF4700"/>
    <w:rsid w:val="00DF7EC6"/>
    <w:rsid w:val="00E03F7F"/>
    <w:rsid w:val="00E06596"/>
    <w:rsid w:val="00E07DE3"/>
    <w:rsid w:val="00E109E1"/>
    <w:rsid w:val="00E27FFE"/>
    <w:rsid w:val="00E3159A"/>
    <w:rsid w:val="00E357B7"/>
    <w:rsid w:val="00E40849"/>
    <w:rsid w:val="00E4482F"/>
    <w:rsid w:val="00E44D53"/>
    <w:rsid w:val="00E52D2A"/>
    <w:rsid w:val="00E53800"/>
    <w:rsid w:val="00E5727C"/>
    <w:rsid w:val="00E6081F"/>
    <w:rsid w:val="00E63CFD"/>
    <w:rsid w:val="00E66695"/>
    <w:rsid w:val="00E74033"/>
    <w:rsid w:val="00E81581"/>
    <w:rsid w:val="00E86A12"/>
    <w:rsid w:val="00E936BA"/>
    <w:rsid w:val="00E93861"/>
    <w:rsid w:val="00E93FF4"/>
    <w:rsid w:val="00EA04B2"/>
    <w:rsid w:val="00EA20F3"/>
    <w:rsid w:val="00EC45E7"/>
    <w:rsid w:val="00EC63BA"/>
    <w:rsid w:val="00ED43D1"/>
    <w:rsid w:val="00EE1939"/>
    <w:rsid w:val="00EE1A8B"/>
    <w:rsid w:val="00EE4EE1"/>
    <w:rsid w:val="00EF0A46"/>
    <w:rsid w:val="00EF1994"/>
    <w:rsid w:val="00EF2724"/>
    <w:rsid w:val="00EF4574"/>
    <w:rsid w:val="00F01F58"/>
    <w:rsid w:val="00F2684E"/>
    <w:rsid w:val="00F26B7B"/>
    <w:rsid w:val="00F35684"/>
    <w:rsid w:val="00F42905"/>
    <w:rsid w:val="00F523D9"/>
    <w:rsid w:val="00F60660"/>
    <w:rsid w:val="00F65EC3"/>
    <w:rsid w:val="00F729EF"/>
    <w:rsid w:val="00F73ED3"/>
    <w:rsid w:val="00F77CAE"/>
    <w:rsid w:val="00F90CEB"/>
    <w:rsid w:val="00F92E69"/>
    <w:rsid w:val="00F96BB9"/>
    <w:rsid w:val="00FA3B30"/>
    <w:rsid w:val="00FB051D"/>
    <w:rsid w:val="00FB44AA"/>
    <w:rsid w:val="00FC2901"/>
    <w:rsid w:val="00FC2C1E"/>
    <w:rsid w:val="00FD2599"/>
    <w:rsid w:val="00FD349A"/>
    <w:rsid w:val="00FD6723"/>
    <w:rsid w:val="00FD6B39"/>
    <w:rsid w:val="00FE0BFB"/>
    <w:rsid w:val="00FE110D"/>
    <w:rsid w:val="00FE6D51"/>
    <w:rsid w:val="00FE716A"/>
    <w:rsid w:val="00FF61C7"/>
    <w:rsid w:val="04DD4FCB"/>
    <w:rsid w:val="05AFFCDB"/>
    <w:rsid w:val="05CB7417"/>
    <w:rsid w:val="06890BD6"/>
    <w:rsid w:val="06F18959"/>
    <w:rsid w:val="076FDFA5"/>
    <w:rsid w:val="09E3EBAD"/>
    <w:rsid w:val="0C13B8F1"/>
    <w:rsid w:val="0C8B0CAD"/>
    <w:rsid w:val="0EDE9EB0"/>
    <w:rsid w:val="112D406B"/>
    <w:rsid w:val="123A62D7"/>
    <w:rsid w:val="132E6EF0"/>
    <w:rsid w:val="1618C696"/>
    <w:rsid w:val="16DB476B"/>
    <w:rsid w:val="17721331"/>
    <w:rsid w:val="1905AEED"/>
    <w:rsid w:val="190DE392"/>
    <w:rsid w:val="1AFD1503"/>
    <w:rsid w:val="1B9408A0"/>
    <w:rsid w:val="1C3D4FAF"/>
    <w:rsid w:val="1D16BE56"/>
    <w:rsid w:val="2723F18C"/>
    <w:rsid w:val="2798AF85"/>
    <w:rsid w:val="2AC129D5"/>
    <w:rsid w:val="2E292615"/>
    <w:rsid w:val="2EAE9AC3"/>
    <w:rsid w:val="30B1AB75"/>
    <w:rsid w:val="32080AF7"/>
    <w:rsid w:val="321E243F"/>
    <w:rsid w:val="343A4B0C"/>
    <w:rsid w:val="3529BB59"/>
    <w:rsid w:val="3A40ECB8"/>
    <w:rsid w:val="3B5DDEAB"/>
    <w:rsid w:val="3BB883A3"/>
    <w:rsid w:val="3FAE2E72"/>
    <w:rsid w:val="4218AC43"/>
    <w:rsid w:val="422DCB82"/>
    <w:rsid w:val="43C39588"/>
    <w:rsid w:val="4600C5D3"/>
    <w:rsid w:val="49D091D1"/>
    <w:rsid w:val="4ECFB447"/>
    <w:rsid w:val="4F9149E7"/>
    <w:rsid w:val="5039B97E"/>
    <w:rsid w:val="51C1BBF1"/>
    <w:rsid w:val="52A8F2BC"/>
    <w:rsid w:val="5517224D"/>
    <w:rsid w:val="5582CDF2"/>
    <w:rsid w:val="587384A8"/>
    <w:rsid w:val="58A6E58A"/>
    <w:rsid w:val="5A2C5880"/>
    <w:rsid w:val="5B23956C"/>
    <w:rsid w:val="5C52EBB9"/>
    <w:rsid w:val="5D828925"/>
    <w:rsid w:val="5E82FE62"/>
    <w:rsid w:val="601211C8"/>
    <w:rsid w:val="61912E10"/>
    <w:rsid w:val="62E94A88"/>
    <w:rsid w:val="6958DC9D"/>
    <w:rsid w:val="71EB4BAF"/>
    <w:rsid w:val="72D75D75"/>
    <w:rsid w:val="7618B911"/>
    <w:rsid w:val="76FF6870"/>
    <w:rsid w:val="77EBA6BF"/>
    <w:rsid w:val="785AC004"/>
    <w:rsid w:val="7B62E7D4"/>
    <w:rsid w:val="7B805A48"/>
    <w:rsid w:val="7BC71F42"/>
    <w:rsid w:val="7F84E5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80F"/>
  <w15:docId w15:val="{BEC56252-D3C2-4145-A7BC-13D98687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4"/>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82589D"/>
    <w:pPr>
      <w:numPr>
        <w:ilvl w:val="1"/>
        <w:numId w:val="6"/>
      </w:numPr>
      <w:ind w:left="851" w:hanging="851"/>
    </w:pPr>
    <w:rPr>
      <w:bCs/>
    </w:rPr>
  </w:style>
  <w:style w:type="paragraph" w:customStyle="1" w:styleId="Heading3Numbered">
    <w:name w:val="Heading 3 Numbered"/>
    <w:basedOn w:val="Heading3"/>
    <w:next w:val="Normal"/>
    <w:qFormat/>
    <w:rsid w:val="001D7EB4"/>
    <w:pPr>
      <w:numPr>
        <w:ilvl w:val="2"/>
        <w:numId w:val="6"/>
      </w:numPr>
    </w:pPr>
    <w:rPr>
      <w:szCs w:val="22"/>
    </w:rPr>
  </w:style>
  <w:style w:type="numbering" w:customStyle="1" w:styleId="BulletsList">
    <w:name w:val="Bullets List"/>
    <w:uiPriority w:val="99"/>
    <w:rsid w:val="00F2684E"/>
    <w:pPr>
      <w:numPr>
        <w:numId w:val="2"/>
      </w:numPr>
    </w:pPr>
  </w:style>
  <w:style w:type="numbering" w:customStyle="1" w:styleId="Numberedlist">
    <w:name w:val="Numbered list"/>
    <w:uiPriority w:val="99"/>
    <w:rsid w:val="00F2684E"/>
    <w:pPr>
      <w:numPr>
        <w:numId w:val="4"/>
      </w:numPr>
    </w:pPr>
  </w:style>
  <w:style w:type="numbering" w:customStyle="1" w:styleId="HeadingsList">
    <w:name w:val="Headings List"/>
    <w:uiPriority w:val="99"/>
    <w:rsid w:val="001E1DC0"/>
    <w:pPr>
      <w:numPr>
        <w:numId w:val="6"/>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10"/>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1"/>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link w:val="Boxed1TextChar"/>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link w:val="ListParagraphChar"/>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headertext">
    <w:name w:val="Table header text"/>
    <w:basedOn w:val="Normal"/>
    <w:link w:val="TableheadertextChar"/>
    <w:qFormat/>
    <w:rsid w:val="00564D52"/>
    <w:pPr>
      <w:keepNext/>
      <w:suppressAutoHyphens w:val="0"/>
      <w:spacing w:before="120" w:after="120" w:line="240" w:lineRule="auto"/>
    </w:pPr>
    <w:rPr>
      <w:rFonts w:ascii="Arial" w:hAnsi="Arial" w:cs="Arial"/>
      <w:b/>
      <w:color w:val="FFFFFF"/>
      <w:sz w:val="18"/>
      <w:szCs w:val="18"/>
    </w:rPr>
  </w:style>
  <w:style w:type="character" w:customStyle="1" w:styleId="TableheadertextChar">
    <w:name w:val="Table header text Char"/>
    <w:basedOn w:val="DefaultParagraphFont"/>
    <w:link w:val="Tableheadertext"/>
    <w:rsid w:val="00564D52"/>
    <w:rPr>
      <w:rFonts w:ascii="Arial" w:hAnsi="Arial" w:cs="Arial"/>
      <w:b/>
      <w:color w:val="FFFFFF"/>
      <w:sz w:val="18"/>
      <w:szCs w:val="18"/>
    </w:rPr>
  </w:style>
  <w:style w:type="paragraph" w:customStyle="1" w:styleId="Tablebodytext">
    <w:name w:val="Table body text"/>
    <w:basedOn w:val="Normal"/>
    <w:link w:val="TablebodytextChar"/>
    <w:qFormat/>
    <w:rsid w:val="00564D52"/>
    <w:pPr>
      <w:keepNext/>
      <w:keepLines/>
      <w:suppressAutoHyphens w:val="0"/>
      <w:spacing w:before="60" w:line="240" w:lineRule="auto"/>
    </w:pPr>
    <w:rPr>
      <w:rFonts w:ascii="Arial" w:hAnsi="Arial" w:cs="Arial"/>
      <w:color w:val="373737"/>
      <w:sz w:val="18"/>
      <w:szCs w:val="18"/>
    </w:rPr>
  </w:style>
  <w:style w:type="character" w:customStyle="1" w:styleId="TablebodytextChar">
    <w:name w:val="Table body text Char"/>
    <w:basedOn w:val="DefaultParagraphFont"/>
    <w:link w:val="Tablebodytext"/>
    <w:rsid w:val="00564D52"/>
    <w:rPr>
      <w:rFonts w:ascii="Arial" w:hAnsi="Arial" w:cs="Arial"/>
      <w:color w:val="373737"/>
      <w:sz w:val="18"/>
      <w:szCs w:val="18"/>
    </w:rPr>
  </w:style>
  <w:style w:type="character" w:styleId="CommentReference">
    <w:name w:val="annotation reference"/>
    <w:basedOn w:val="DefaultParagraphFont"/>
    <w:uiPriority w:val="99"/>
    <w:semiHidden/>
    <w:unhideWhenUsed/>
    <w:rsid w:val="00CE39B7"/>
    <w:rPr>
      <w:sz w:val="16"/>
      <w:szCs w:val="16"/>
    </w:rPr>
  </w:style>
  <w:style w:type="paragraph" w:styleId="CommentText">
    <w:name w:val="annotation text"/>
    <w:basedOn w:val="Normal"/>
    <w:link w:val="CommentTextChar"/>
    <w:uiPriority w:val="99"/>
    <w:unhideWhenUsed/>
    <w:rsid w:val="00CE39B7"/>
    <w:pPr>
      <w:spacing w:line="240" w:lineRule="auto"/>
    </w:pPr>
    <w:rPr>
      <w:sz w:val="20"/>
      <w:szCs w:val="20"/>
    </w:rPr>
  </w:style>
  <w:style w:type="character" w:customStyle="1" w:styleId="CommentTextChar">
    <w:name w:val="Comment Text Char"/>
    <w:basedOn w:val="DefaultParagraphFont"/>
    <w:link w:val="CommentText"/>
    <w:uiPriority w:val="99"/>
    <w:rsid w:val="00CE39B7"/>
    <w:rPr>
      <w:sz w:val="20"/>
      <w:szCs w:val="20"/>
    </w:rPr>
  </w:style>
  <w:style w:type="paragraph" w:styleId="CommentSubject">
    <w:name w:val="annotation subject"/>
    <w:basedOn w:val="CommentText"/>
    <w:next w:val="CommentText"/>
    <w:link w:val="CommentSubjectChar"/>
    <w:uiPriority w:val="99"/>
    <w:semiHidden/>
    <w:unhideWhenUsed/>
    <w:rsid w:val="00CE39B7"/>
    <w:rPr>
      <w:b/>
      <w:bCs/>
    </w:rPr>
  </w:style>
  <w:style w:type="character" w:customStyle="1" w:styleId="CommentSubjectChar">
    <w:name w:val="Comment Subject Char"/>
    <w:basedOn w:val="CommentTextChar"/>
    <w:link w:val="CommentSubject"/>
    <w:uiPriority w:val="99"/>
    <w:semiHidden/>
    <w:rsid w:val="00CE39B7"/>
    <w:rPr>
      <w:b/>
      <w:bCs/>
      <w:sz w:val="20"/>
      <w:szCs w:val="20"/>
    </w:rPr>
  </w:style>
  <w:style w:type="paragraph" w:styleId="BalloonText">
    <w:name w:val="Balloon Text"/>
    <w:basedOn w:val="Normal"/>
    <w:link w:val="BalloonTextChar"/>
    <w:uiPriority w:val="99"/>
    <w:semiHidden/>
    <w:unhideWhenUsed/>
    <w:rsid w:val="00CE39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B7"/>
    <w:rPr>
      <w:rFonts w:ascii="Segoe UI" w:hAnsi="Segoe UI" w:cs="Segoe UI"/>
      <w:sz w:val="18"/>
      <w:szCs w:val="18"/>
    </w:rPr>
  </w:style>
  <w:style w:type="paragraph" w:styleId="Revision">
    <w:name w:val="Revision"/>
    <w:hidden/>
    <w:uiPriority w:val="99"/>
    <w:semiHidden/>
    <w:rsid w:val="00132970"/>
    <w:pPr>
      <w:spacing w:after="0" w:line="240" w:lineRule="auto"/>
    </w:pPr>
  </w:style>
  <w:style w:type="character" w:styleId="UnresolvedMention">
    <w:name w:val="Unresolved Mention"/>
    <w:basedOn w:val="DefaultParagraphFont"/>
    <w:uiPriority w:val="99"/>
    <w:semiHidden/>
    <w:unhideWhenUsed/>
    <w:rsid w:val="00263D80"/>
    <w:rPr>
      <w:color w:val="605E5C"/>
      <w:shd w:val="clear" w:color="auto" w:fill="E1DFDD"/>
    </w:rPr>
  </w:style>
  <w:style w:type="table" w:styleId="LightList-Accent6">
    <w:name w:val="Light List Accent 6"/>
    <w:basedOn w:val="TableNormal"/>
    <w:uiPriority w:val="61"/>
    <w:rsid w:val="00735BD8"/>
    <w:pPr>
      <w:spacing w:after="0" w:line="240" w:lineRule="auto"/>
    </w:pPr>
    <w:rPr>
      <w:lang w:val="en-GB"/>
    </w:rPr>
    <w:tblPr>
      <w:tblStyleRowBandSize w:val="1"/>
      <w:tblStyleColBandSize w:val="1"/>
      <w:tblBorders>
        <w:top w:val="single" w:sz="8" w:space="0" w:color="F15A22" w:themeColor="accent6"/>
        <w:left w:val="single" w:sz="8" w:space="0" w:color="F15A22" w:themeColor="accent6"/>
        <w:bottom w:val="single" w:sz="8" w:space="0" w:color="F15A22" w:themeColor="accent6"/>
        <w:right w:val="single" w:sz="8" w:space="0" w:color="F15A22" w:themeColor="accent6"/>
      </w:tblBorders>
    </w:tblPr>
    <w:tblStylePr w:type="firstRow">
      <w:pPr>
        <w:spacing w:before="0" w:after="0" w:line="240" w:lineRule="auto"/>
      </w:pPr>
      <w:rPr>
        <w:b/>
        <w:bCs/>
        <w:color w:val="FFFFFF" w:themeColor="background1"/>
      </w:rPr>
      <w:tblPr/>
      <w:tcPr>
        <w:shd w:val="clear" w:color="auto" w:fill="F15A22" w:themeFill="accent6"/>
      </w:tcPr>
    </w:tblStylePr>
    <w:tblStylePr w:type="lastRow">
      <w:pPr>
        <w:spacing w:before="0" w:after="0" w:line="240" w:lineRule="auto"/>
      </w:pPr>
      <w:rPr>
        <w:b/>
        <w:bCs/>
      </w:rPr>
      <w:tblPr/>
      <w:tcPr>
        <w:tcBorders>
          <w:top w:val="double" w:sz="6" w:space="0" w:color="F15A22" w:themeColor="accent6"/>
          <w:left w:val="single" w:sz="8" w:space="0" w:color="F15A22" w:themeColor="accent6"/>
          <w:bottom w:val="single" w:sz="8" w:space="0" w:color="F15A22" w:themeColor="accent6"/>
          <w:right w:val="single" w:sz="8" w:space="0" w:color="F15A22" w:themeColor="accent6"/>
        </w:tcBorders>
      </w:tcPr>
    </w:tblStylePr>
    <w:tblStylePr w:type="firstCol">
      <w:rPr>
        <w:b/>
        <w:bCs/>
      </w:rPr>
    </w:tblStylePr>
    <w:tblStylePr w:type="lastCol">
      <w:rPr>
        <w:b/>
        <w:bCs/>
      </w:rPr>
    </w:tblStylePr>
    <w:tblStylePr w:type="band1Vert">
      <w:tblPr/>
      <w:tcPr>
        <w:tcBorders>
          <w:top w:val="single" w:sz="8" w:space="0" w:color="F15A22" w:themeColor="accent6"/>
          <w:left w:val="single" w:sz="8" w:space="0" w:color="F15A22" w:themeColor="accent6"/>
          <w:bottom w:val="single" w:sz="8" w:space="0" w:color="F15A22" w:themeColor="accent6"/>
          <w:right w:val="single" w:sz="8" w:space="0" w:color="F15A22" w:themeColor="accent6"/>
        </w:tcBorders>
      </w:tcPr>
    </w:tblStylePr>
    <w:tblStylePr w:type="band1Horz">
      <w:tblPr/>
      <w:tcPr>
        <w:tcBorders>
          <w:top w:val="single" w:sz="8" w:space="0" w:color="F15A22" w:themeColor="accent6"/>
          <w:left w:val="single" w:sz="8" w:space="0" w:color="F15A22" w:themeColor="accent6"/>
          <w:bottom w:val="single" w:sz="8" w:space="0" w:color="F15A22" w:themeColor="accent6"/>
          <w:right w:val="single" w:sz="8" w:space="0" w:color="F15A22" w:themeColor="accent6"/>
        </w:tcBorders>
      </w:tcPr>
    </w:tblStylePr>
  </w:style>
  <w:style w:type="character" w:customStyle="1" w:styleId="ListParagraphChar">
    <w:name w:val="List Paragraph Char"/>
    <w:basedOn w:val="DefaultParagraphFont"/>
    <w:link w:val="ListParagraph"/>
    <w:uiPriority w:val="34"/>
    <w:rsid w:val="003E69BC"/>
  </w:style>
  <w:style w:type="paragraph" w:customStyle="1" w:styleId="Bullet">
    <w:name w:val="Bullet"/>
    <w:basedOn w:val="Normal"/>
    <w:link w:val="BulletChar"/>
    <w:rsid w:val="00265673"/>
    <w:pPr>
      <w:numPr>
        <w:numId w:val="28"/>
      </w:numPr>
    </w:pPr>
    <w:rPr>
      <w:color w:val="000000" w:themeColor="text1"/>
    </w:rPr>
  </w:style>
  <w:style w:type="character" w:customStyle="1" w:styleId="Boxed1TextChar">
    <w:name w:val="Boxed 1 Text Char"/>
    <w:basedOn w:val="DefaultParagraphFont"/>
    <w:link w:val="Boxed1Text"/>
    <w:rsid w:val="00D53485"/>
    <w:rPr>
      <w:shd w:val="clear" w:color="auto" w:fill="FCD9CC"/>
    </w:rPr>
  </w:style>
  <w:style w:type="character" w:customStyle="1" w:styleId="BulletChar">
    <w:name w:val="Bullet Char"/>
    <w:basedOn w:val="Boxed1TextChar"/>
    <w:link w:val="Bullet"/>
    <w:rsid w:val="00265673"/>
    <w:rPr>
      <w:color w:val="000000" w:themeColor="text1"/>
      <w:shd w:val="clear" w:color="auto" w:fill="FCD9CC"/>
    </w:rPr>
  </w:style>
  <w:style w:type="paragraph" w:customStyle="1" w:styleId="Dash">
    <w:name w:val="Dash"/>
    <w:basedOn w:val="Normal"/>
    <w:link w:val="DashChar"/>
    <w:rsid w:val="00D53485"/>
    <w:pPr>
      <w:numPr>
        <w:ilvl w:val="1"/>
        <w:numId w:val="28"/>
      </w:numPr>
      <w:jc w:val="both"/>
    </w:pPr>
    <w:rPr>
      <w:color w:val="FF0000"/>
    </w:rPr>
  </w:style>
  <w:style w:type="character" w:customStyle="1" w:styleId="DashChar">
    <w:name w:val="Dash Char"/>
    <w:basedOn w:val="Boxed1TextChar"/>
    <w:link w:val="Dash"/>
    <w:rsid w:val="00D53485"/>
    <w:rPr>
      <w:color w:val="FF0000"/>
      <w:shd w:val="clear" w:color="auto" w:fill="FCD9CC"/>
    </w:rPr>
  </w:style>
  <w:style w:type="paragraph" w:customStyle="1" w:styleId="DoubleDot">
    <w:name w:val="Double Dot"/>
    <w:basedOn w:val="Normal"/>
    <w:link w:val="DoubleDotChar"/>
    <w:rsid w:val="00D53485"/>
    <w:pPr>
      <w:numPr>
        <w:ilvl w:val="2"/>
        <w:numId w:val="28"/>
      </w:numPr>
      <w:jc w:val="both"/>
    </w:pPr>
    <w:rPr>
      <w:color w:val="FF0000"/>
    </w:rPr>
  </w:style>
  <w:style w:type="character" w:customStyle="1" w:styleId="DoubleDotChar">
    <w:name w:val="Double Dot Char"/>
    <w:basedOn w:val="Boxed1TextChar"/>
    <w:link w:val="DoubleDot"/>
    <w:rsid w:val="00D53485"/>
    <w:rPr>
      <w:color w:val="FF0000"/>
      <w:shd w:val="clear" w:color="auto" w:fill="FCD9CC"/>
    </w:rPr>
  </w:style>
  <w:style w:type="paragraph" w:customStyle="1" w:styleId="Boxindent">
    <w:name w:val="Box indent"/>
    <w:basedOn w:val="Normal"/>
    <w:qFormat/>
    <w:rsid w:val="00265673"/>
    <w:pPr>
      <w:ind w:left="284"/>
    </w:pPr>
  </w:style>
  <w:style w:type="paragraph" w:customStyle="1" w:styleId="Continued">
    <w:name w:val="Continued"/>
    <w:basedOn w:val="Normal"/>
    <w:qFormat/>
    <w:rsid w:val="00547A97"/>
    <w:pPr>
      <w:jc w:val="right"/>
    </w:pPr>
    <w:rPr>
      <w:i/>
      <w:iCs/>
      <w:sz w:val="18"/>
      <w:szCs w:val="18"/>
    </w:rPr>
  </w:style>
  <w:style w:type="paragraph" w:customStyle="1" w:styleId="Equation">
    <w:name w:val="Equation"/>
    <w:basedOn w:val="Boxindent"/>
    <w:qFormat/>
    <w:rsid w:val="00547A97"/>
    <w:pPr>
      <w:jc w:val="center"/>
    </w:pPr>
    <w:rPr>
      <w:rFonts w:ascii="Cambria Math" w:hAnsi="Cambria Math"/>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17311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evaluation.treasury.gov.au/toolkit/templates-tools-and-resources" TargetMode="External"/><Relationship Id="rId3" Type="http://schemas.openxmlformats.org/officeDocument/2006/relationships/customXml" Target="../customXml/item3.xml"/><Relationship Id="rId21" Type="http://schemas.openxmlformats.org/officeDocument/2006/relationships/hyperlink" Target="https://evaluation.gov.au/toolkit/templates-tools-and-resour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valuation.gov.au/toolkit/commonwealth-evaluation-toolkit" TargetMode="External"/><Relationship Id="rId25" Type="http://schemas.openxmlformats.org/officeDocument/2006/relationships/hyperlink" Target="https://evaluation.treasury.gov.au/toolkit/commonwealth-evaluation-toolki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valuation.gov.au/toolkit/templates-tools-and-resourc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valuation@treasury.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behaviouraleconomics.pmc.gov.a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valuation.gov.au/toolkit/how-evalu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valuation.treasury.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035D49"/>
    <w:rsid w:val="00067D6A"/>
    <w:rsid w:val="000B05AD"/>
    <w:rsid w:val="00105A8E"/>
    <w:rsid w:val="00185DFF"/>
    <w:rsid w:val="00233E0C"/>
    <w:rsid w:val="00305842"/>
    <w:rsid w:val="00604BA3"/>
    <w:rsid w:val="0066629B"/>
    <w:rsid w:val="00666630"/>
    <w:rsid w:val="00751FB6"/>
    <w:rsid w:val="00765EC2"/>
    <w:rsid w:val="007A17BA"/>
    <w:rsid w:val="00817C60"/>
    <w:rsid w:val="00874D11"/>
    <w:rsid w:val="009C0D89"/>
    <w:rsid w:val="00A328FC"/>
    <w:rsid w:val="00A51F1F"/>
    <w:rsid w:val="00AA446C"/>
    <w:rsid w:val="00AD614E"/>
    <w:rsid w:val="00B0579E"/>
    <w:rsid w:val="00B237FC"/>
    <w:rsid w:val="00B30A4C"/>
    <w:rsid w:val="00CE1C5D"/>
    <w:rsid w:val="00D54C93"/>
    <w:rsid w:val="00D64863"/>
    <w:rsid w:val="00DA06A6"/>
    <w:rsid w:val="00EA0240"/>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85FCF50EFA584C32A9291D76744CD17A">
    <w:name w:val="85FCF50EFA584C32A9291D76744CD17A"/>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24" ma:contentTypeDescription="Create a new document." ma:contentTypeScope="" ma:versionID="a9a9c71cb0bccf7620174734a11fb159">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610a6f86449836d8cda2117e4a8a55da"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Project"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nillable="true"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nillable="true"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nillable="true"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Project" ma:index="37" nillable="true" ma:displayName="Project" ma:format="Dropdown" ma:internalName="Project">
      <xsd:complexType>
        <xsd:complexContent>
          <xsd:extension base="dms:MultiChoice">
            <xsd:sequence>
              <xsd:element name="Value" maxOccurs="unbounded" minOccurs="0" nillable="true">
                <xsd:simpleType>
                  <xsd:restriction base="dms:Choice">
                    <xsd:enumeration value="Digital Services Review"/>
                    <xsd:enumeration value="PBAS"/>
                    <xsd:enumeration value="Time online"/>
                    <xsd:enumeration value="CSVP"/>
                    <xsd:enumeration value="NDIS SLES blended payments"/>
                    <xsd:enumeration value="HIPPY"/>
                    <xsd:enumeration value="Paid Parental Leave"/>
                    <xsd:enumeration value="Frequent Hospital Users"/>
                    <xsd:enumeration value="Bowel Cancer Screening"/>
                    <xsd:enumeration value="Urgent Care Clinics"/>
                    <xsd:enumeration value="ATO payment reminders"/>
                    <xsd:enumeration value="AI Co-pilot"/>
                    <xsd:enumeration value="PIR - Offshore Banking Units"/>
                    <xsd:enumeration value="PIR - AEMO powers and functions"/>
                    <xsd:enumeration value="PIR - Franchising code of conduct"/>
                    <xsd:enumeration value="PIR - CPTPP"/>
                    <xsd:enumeration value="ABS Job Vacancy Survey"/>
                    <xsd:enumeration value="ATO Late Lodgers and GPP"/>
                    <xsd:enumeration value="IE training - RFQ0080-23"/>
                    <xsd:enumeration value="IE training - RFQ0069-23"/>
                    <xsd:enumeration value="Ethics HREC - RFQ0055-23"/>
                    <xsd:enumeration value="Apprenticeships (BAC and CAC)"/>
                    <xsd:enumeration value="Impact Evaluation Practitioners Network"/>
                    <xsd:enumeration value="Practitioners Network"/>
                  </xsd:restriction>
                </xsd:simpleType>
              </xsd:element>
            </xsd:sequence>
          </xsd:extension>
        </xsd:complexContent>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EHVMRRYKTSDQ-2003050963-1455</_dlc_DocId>
    <_dlc_DocIdUrl xmlns="fe39d773-a83d-4623-ae74-f25711a76616">
      <Url>https://austreasury.sharepoint.com/sites/eval-function/_layouts/15/DocIdRedir.aspx?ID=EHVMRRYKTSDQ-2003050963-1455</Url>
      <Description>EHVMRRYKTSDQ-2003050963-1455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lcf76f155ced4ddcb4097134ff3c332f xmlns="3b060556-123b-41ca-bb76-97eb16ac7a27">
      <Terms xmlns="http://schemas.microsoft.com/office/infopath/2007/PartnerControls"/>
    </lcf76f155ced4ddcb4097134ff3c332f>
    <Project xmlns="3b060556-123b-41ca-bb76-97eb16ac7a27" xsi:nil="true"/>
  </documentManagement>
</p:properties>
</file>

<file path=customXml/itemProps1.xml><?xml version="1.0" encoding="utf-8"?>
<ds:datastoreItem xmlns:ds="http://schemas.openxmlformats.org/officeDocument/2006/customXml" ds:itemID="{BD771C82-FD41-4D66-8970-18B0DDE565AB}">
  <ds:schemaRefs>
    <ds:schemaRef ds:uri="http://schemas.microsoft.com/sharepoint/v3/contenttype/forms"/>
  </ds:schemaRefs>
</ds:datastoreItem>
</file>

<file path=customXml/itemProps2.xml><?xml version="1.0" encoding="utf-8"?>
<ds:datastoreItem xmlns:ds="http://schemas.openxmlformats.org/officeDocument/2006/customXml" ds:itemID="{6EC0ECB4-8092-4AFB-8850-6B9EEA006415}">
  <ds:schemaRefs>
    <ds:schemaRef ds:uri="http://schemas.microsoft.com/sharepoint/events"/>
  </ds:schemaRefs>
</ds:datastoreItem>
</file>

<file path=customXml/itemProps3.xml><?xml version="1.0" encoding="utf-8"?>
<ds:datastoreItem xmlns:ds="http://schemas.openxmlformats.org/officeDocument/2006/customXml" ds:itemID="{F47A1BBE-D76D-4029-9FE8-A0E1BC3FC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DBC0A-97A0-4E7E-8AD2-5EF1C633F35C}">
  <ds:schemaRefs>
    <ds:schemaRef ds:uri="http://schemas.openxmlformats.org/officeDocument/2006/bibliography"/>
  </ds:schemaRefs>
</ds:datastoreItem>
</file>

<file path=customXml/itemProps5.xml><?xml version="1.0" encoding="utf-8"?>
<ds:datastoreItem xmlns:ds="http://schemas.openxmlformats.org/officeDocument/2006/customXml" ds:itemID="{3CAB543C-7966-4F6A-81D8-195FCFA804BD}">
  <ds:schemaRefs>
    <ds:schemaRef ds:uri="http://purl.org/dc/dcmitype/"/>
    <ds:schemaRef ds:uri="fe39d773-a83d-4623-ae74-f25711a76616"/>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3b060556-123b-41ca-bb76-97eb16ac7a27"/>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3197</Words>
  <Characters>17365</Characters>
  <Application>Microsoft Office Word</Application>
  <DocSecurity>0</DocSecurity>
  <Lines>417</Lines>
  <Paragraphs>203</Paragraphs>
  <ScaleCrop>false</ScaleCrop>
  <HeadingPairs>
    <vt:vector size="2" baseType="variant">
      <vt:variant>
        <vt:lpstr>Title</vt:lpstr>
      </vt:variant>
      <vt:variant>
        <vt:i4>1</vt:i4>
      </vt:variant>
    </vt:vector>
  </HeadingPairs>
  <TitlesOfParts>
    <vt:vector size="1" baseType="lpstr">
      <vt:lpstr>Template: Pre-analysis plan (for randomised controlled trials)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Pre-analysis plan (for randomised controlled trials) </dc:title>
  <dc:subject/>
  <dc:creator>Australian Centre for Evaluation</dc:creator>
  <cp:keywords/>
  <dc:description/>
  <cp:lastModifiedBy>Hill, Christine</cp:lastModifiedBy>
  <cp:revision>3</cp:revision>
  <cp:lastPrinted>2013-10-30T21:49:00Z</cp:lastPrinted>
  <dcterms:created xsi:type="dcterms:W3CDTF">2024-09-05T23:06:00Z</dcterms:created>
  <dcterms:modified xsi:type="dcterms:W3CDTF">2024-09-05T23:08:00Z</dcterms:modified>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2024-09-05T23:05:45Z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a09e1846-2fdf-472a-91d0-3188cf26594d</vt:lpwstr>
  </property>
  <property fmtid="{D5CDD505-2E9C-101B-9397-08002B2CF9AE}" pid="8" name="MSIP_Label_4f932d64-9ab1-4d9b-81d2-a3a8b82dd47d_ContentBits">
    <vt:lpwstr>0</vt:lpwstr>
  </property>
</Properties>
</file>