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11F1" w14:textId="77777777" w:rsidR="00986A46" w:rsidRPr="00706F90" w:rsidRDefault="00C01C5D" w:rsidP="00C01C5D">
      <w:pPr>
        <w:pStyle w:val="Factsheettitle"/>
        <w:spacing w:before="960" w:after="0"/>
        <w:ind w:right="-567"/>
        <w:rPr>
          <w:sz w:val="48"/>
          <w:szCs w:val="52"/>
        </w:rPr>
      </w:pPr>
      <w:r w:rsidRPr="00706F90">
        <w:rPr>
          <w:szCs w:val="72"/>
        </w:rPr>
        <w:t>Evaluation Reference Group</w:t>
      </w:r>
    </w:p>
    <w:p w14:paraId="069538C6" w14:textId="375534CA" w:rsidR="00C01C5D" w:rsidRPr="00395C25" w:rsidRDefault="00C01C5D" w:rsidP="00E879B6">
      <w:pPr>
        <w:pStyle w:val="Heading3"/>
        <w:spacing w:before="120" w:after="600"/>
        <w:rPr>
          <w:color w:val="FFFFFF"/>
          <w:sz w:val="36"/>
          <w:szCs w:val="32"/>
        </w:rPr>
      </w:pPr>
      <w:r w:rsidRPr="00395C25">
        <w:rPr>
          <w:color w:val="FFFFFF"/>
          <w:sz w:val="36"/>
          <w:szCs w:val="32"/>
        </w:rPr>
        <w:t>Terms of Reference</w:t>
      </w:r>
      <w:r w:rsidR="00E02E59" w:rsidRPr="00395C25">
        <w:rPr>
          <w:color w:val="FFFFFF"/>
          <w:sz w:val="36"/>
          <w:szCs w:val="32"/>
        </w:rPr>
        <w:t xml:space="preserve"> </w:t>
      </w:r>
    </w:p>
    <w:p w14:paraId="4375962B" w14:textId="77777777" w:rsidR="00C03CAB" w:rsidRDefault="00C03CAB" w:rsidP="007C09D6">
      <w:pPr>
        <w:pStyle w:val="Heading2"/>
        <w:spacing w:before="240"/>
      </w:pPr>
    </w:p>
    <w:p w14:paraId="25AFBED3" w14:textId="1365CCFC" w:rsidR="00DC1BA2" w:rsidRDefault="00DC1BA2" w:rsidP="007C09D6">
      <w:pPr>
        <w:pStyle w:val="Heading2"/>
        <w:spacing w:before="240"/>
      </w:pPr>
      <w:r>
        <w:t>Context</w:t>
      </w:r>
    </w:p>
    <w:p w14:paraId="623875A6" w14:textId="77777777" w:rsidR="00747D72" w:rsidRDefault="00DC1BA2" w:rsidP="00DC1BA2">
      <w:r w:rsidRPr="00C15E49">
        <w:t xml:space="preserve">The </w:t>
      </w:r>
      <w:r>
        <w:t xml:space="preserve">Australian Government </w:t>
      </w:r>
      <w:r w:rsidR="00E54DAA">
        <w:t>has</w:t>
      </w:r>
      <w:r>
        <w:t xml:space="preserve"> an ambitious and enduring plan for Australian Public Service (APS) Reform. </w:t>
      </w:r>
      <w:r w:rsidR="00C85368">
        <w:t xml:space="preserve">In this context, </w:t>
      </w:r>
      <w:r w:rsidR="00C85368">
        <w:rPr>
          <w:b/>
          <w:bCs/>
        </w:rPr>
        <w:t>e</w:t>
      </w:r>
      <w:r w:rsidR="00FE45BA" w:rsidRPr="00DE1FE0">
        <w:rPr>
          <w:b/>
          <w:bCs/>
        </w:rPr>
        <w:t>mbedding a</w:t>
      </w:r>
      <w:r w:rsidR="0014317A">
        <w:t xml:space="preserve"> </w:t>
      </w:r>
      <w:r w:rsidR="00FE45BA" w:rsidRPr="0068027E">
        <w:rPr>
          <w:b/>
          <w:bCs/>
        </w:rPr>
        <w:t>culture of evaluation</w:t>
      </w:r>
      <w:r w:rsidR="00FE45BA">
        <w:t xml:space="preserve"> is a </w:t>
      </w:r>
      <w:hyperlink r:id="rId7" w:history="1">
        <w:r w:rsidR="00FE45BA" w:rsidRPr="0014317A">
          <w:rPr>
            <w:rStyle w:val="Hyperlink"/>
          </w:rPr>
          <w:t>key initiative</w:t>
        </w:r>
      </w:hyperlink>
      <w:r w:rsidR="003A176F">
        <w:t xml:space="preserve"> that </w:t>
      </w:r>
      <w:r w:rsidR="00C85368">
        <w:t>aims</w:t>
      </w:r>
      <w:r w:rsidR="00FA0E7C">
        <w:t xml:space="preserve"> to ensure </w:t>
      </w:r>
      <w:r w:rsidR="0014317A">
        <w:t xml:space="preserve">the APS </w:t>
      </w:r>
      <w:r w:rsidR="00FA0E7C">
        <w:t>has the capability to do its job well</w:t>
      </w:r>
      <w:r w:rsidR="00C93A68">
        <w:t xml:space="preserve"> (Priority 4, Outcome 8)</w:t>
      </w:r>
      <w:r w:rsidR="00FA0E7C">
        <w:t>.</w:t>
      </w:r>
      <w:r w:rsidR="00747D72">
        <w:t xml:space="preserve"> </w:t>
      </w:r>
    </w:p>
    <w:p w14:paraId="2B0648B5" w14:textId="15FE8DAA" w:rsidR="006806D2" w:rsidRDefault="00C85368" w:rsidP="002B1693">
      <w:pPr>
        <w:ind w:right="-285"/>
      </w:pPr>
      <w:r>
        <w:t xml:space="preserve">This </w:t>
      </w:r>
      <w:r w:rsidR="00E54DAA">
        <w:t xml:space="preserve">APS </w:t>
      </w:r>
      <w:r w:rsidR="003A176F">
        <w:t>reform priority reflects</w:t>
      </w:r>
      <w:r>
        <w:t xml:space="preserve"> findings in the </w:t>
      </w:r>
      <w:hyperlink r:id="rId8" w:history="1">
        <w:r w:rsidRPr="005444B3">
          <w:rPr>
            <w:rStyle w:val="Hyperlink"/>
          </w:rPr>
          <w:t>2019 Independent Review of the APS</w:t>
        </w:r>
      </w:hyperlink>
      <w:r>
        <w:t xml:space="preserve"> that </w:t>
      </w:r>
      <w:r w:rsidR="005444B3" w:rsidRPr="005444B3">
        <w:t xml:space="preserve">evaluation practices across the </w:t>
      </w:r>
      <w:r w:rsidR="005444B3">
        <w:t>APS</w:t>
      </w:r>
      <w:r w:rsidR="005444B3" w:rsidRPr="005444B3">
        <w:t xml:space="preserve"> </w:t>
      </w:r>
      <w:r w:rsidR="00A83395">
        <w:t xml:space="preserve">had </w:t>
      </w:r>
      <w:r w:rsidR="005444B3" w:rsidRPr="005444B3">
        <w:t>declined considerably over the past few decades,</w:t>
      </w:r>
      <w:r w:rsidR="005444B3">
        <w:t xml:space="preserve"> with recommendations aimed at </w:t>
      </w:r>
      <w:r w:rsidR="006D4099">
        <w:t>building good practice</w:t>
      </w:r>
      <w:r w:rsidR="005444B3">
        <w:t xml:space="preserve"> (Recommendation 26 refers).</w:t>
      </w:r>
      <w:r w:rsidR="00E54DAA">
        <w:t xml:space="preserve"> </w:t>
      </w:r>
      <w:r w:rsidR="006806D2">
        <w:t xml:space="preserve">Establishing a </w:t>
      </w:r>
      <w:r w:rsidR="00E92AD2">
        <w:t>well-resourced</w:t>
      </w:r>
      <w:r w:rsidR="006806D2">
        <w:t xml:space="preserve"> central enabling evaluation function and increasing the resourcing and remit for </w:t>
      </w:r>
      <w:r w:rsidR="00C508E3">
        <w:br/>
      </w:r>
      <w:r w:rsidR="006806D2">
        <w:t xml:space="preserve">in-house evaluation units across the APS </w:t>
      </w:r>
      <w:r w:rsidR="002B1693">
        <w:t>are</w:t>
      </w:r>
      <w:r w:rsidR="006806D2">
        <w:t xml:space="preserve"> central pillars for achieving </w:t>
      </w:r>
      <w:r w:rsidR="00BF51F3">
        <w:t>enduring</w:t>
      </w:r>
      <w:r w:rsidR="006806D2">
        <w:t xml:space="preserve"> cultural change. </w:t>
      </w:r>
    </w:p>
    <w:p w14:paraId="2B2014B5" w14:textId="77777777" w:rsidR="00B37102" w:rsidRDefault="00DE1FE0" w:rsidP="00DC1BA2">
      <w:r>
        <w:t>S</w:t>
      </w:r>
      <w:r w:rsidR="009C4634">
        <w:t xml:space="preserve">taged reforms to </w:t>
      </w:r>
      <w:r w:rsidR="00684DD2">
        <w:t>strengthen</w:t>
      </w:r>
      <w:r w:rsidR="00747D72">
        <w:t xml:space="preserve"> evaluation capabilities, practices and culture </w:t>
      </w:r>
      <w:r w:rsidR="009C4634">
        <w:t xml:space="preserve">across the APS </w:t>
      </w:r>
      <w:r w:rsidR="0066225A">
        <w:t xml:space="preserve">have been </w:t>
      </w:r>
      <w:r w:rsidR="00684DD2">
        <w:t>co</w:t>
      </w:r>
      <w:r w:rsidR="00A83395">
        <w:t>-</w:t>
      </w:r>
      <w:r w:rsidR="00684DD2">
        <w:t xml:space="preserve">designed </w:t>
      </w:r>
      <w:r w:rsidR="00701AD6">
        <w:t xml:space="preserve">and </w:t>
      </w:r>
      <w:r w:rsidR="00684DD2">
        <w:t>implemented</w:t>
      </w:r>
      <w:r w:rsidR="0066225A">
        <w:t xml:space="preserve"> progressively since </w:t>
      </w:r>
      <w:r w:rsidR="009C4634">
        <w:t>2020</w:t>
      </w:r>
      <w:r w:rsidR="00B37102">
        <w:t>, with key milestones including:</w:t>
      </w:r>
    </w:p>
    <w:p w14:paraId="08C72C23" w14:textId="77777777" w:rsidR="00B37102" w:rsidRDefault="00B37102" w:rsidP="00B37102">
      <w:pPr>
        <w:pStyle w:val="ListParagraph"/>
        <w:numPr>
          <w:ilvl w:val="0"/>
          <w:numId w:val="31"/>
        </w:numPr>
      </w:pPr>
      <w:r>
        <w:t xml:space="preserve">Introduction of the </w:t>
      </w:r>
      <w:hyperlink r:id="rId9" w:history="1">
        <w:r w:rsidRPr="0052428B">
          <w:rPr>
            <w:rStyle w:val="Hyperlink"/>
          </w:rPr>
          <w:t>Commonwealth Evalu</w:t>
        </w:r>
        <w:r w:rsidR="0052428B" w:rsidRPr="0052428B">
          <w:rPr>
            <w:rStyle w:val="Hyperlink"/>
          </w:rPr>
          <w:t>a</w:t>
        </w:r>
        <w:r w:rsidRPr="0052428B">
          <w:rPr>
            <w:rStyle w:val="Hyperlink"/>
          </w:rPr>
          <w:t>tion Policy</w:t>
        </w:r>
      </w:hyperlink>
      <w:r>
        <w:t xml:space="preserve"> and </w:t>
      </w:r>
      <w:hyperlink r:id="rId10" w:history="1">
        <w:r w:rsidRPr="0052428B">
          <w:rPr>
            <w:rStyle w:val="Hyperlink"/>
          </w:rPr>
          <w:t>Toolkit</w:t>
        </w:r>
      </w:hyperlink>
      <w:r>
        <w:t xml:space="preserve"> (December 2021)</w:t>
      </w:r>
    </w:p>
    <w:p w14:paraId="5BF50006" w14:textId="77777777" w:rsidR="00B37102" w:rsidRDefault="00B37102" w:rsidP="00B37102">
      <w:pPr>
        <w:pStyle w:val="ListParagraph"/>
        <w:numPr>
          <w:ilvl w:val="0"/>
          <w:numId w:val="31"/>
        </w:numPr>
      </w:pPr>
      <w:r>
        <w:t xml:space="preserve">Launch of </w:t>
      </w:r>
      <w:r w:rsidR="0066225A">
        <w:t xml:space="preserve">the </w:t>
      </w:r>
      <w:hyperlink r:id="rId11" w:history="1">
        <w:r w:rsidRPr="0052428B">
          <w:rPr>
            <w:rStyle w:val="Hyperlink"/>
          </w:rPr>
          <w:t>Commonwealth Evaluation Community of Practice</w:t>
        </w:r>
      </w:hyperlink>
      <w:r>
        <w:t xml:space="preserve"> (September 2022)</w:t>
      </w:r>
    </w:p>
    <w:p w14:paraId="610EC0B1" w14:textId="77777777" w:rsidR="00B37102" w:rsidRDefault="00B37102" w:rsidP="0066225A">
      <w:pPr>
        <w:pStyle w:val="ListParagraph"/>
        <w:numPr>
          <w:ilvl w:val="0"/>
          <w:numId w:val="31"/>
        </w:numPr>
        <w:ind w:right="-427"/>
      </w:pPr>
      <w:r>
        <w:t xml:space="preserve">New evaluation requirements in </w:t>
      </w:r>
      <w:r w:rsidR="0066225A">
        <w:t xml:space="preserve">the </w:t>
      </w:r>
      <w:hyperlink r:id="rId12" w:history="1">
        <w:r w:rsidRPr="0052428B">
          <w:rPr>
            <w:rStyle w:val="Hyperlink"/>
          </w:rPr>
          <w:t>Budget Pr</w:t>
        </w:r>
        <w:r w:rsidR="0052428B" w:rsidRPr="0052428B">
          <w:rPr>
            <w:rStyle w:val="Hyperlink"/>
          </w:rPr>
          <w:t>o</w:t>
        </w:r>
        <w:r w:rsidRPr="0052428B">
          <w:rPr>
            <w:rStyle w:val="Hyperlink"/>
          </w:rPr>
          <w:t>cess Operational Rules</w:t>
        </w:r>
      </w:hyperlink>
      <w:r>
        <w:t xml:space="preserve"> (</w:t>
      </w:r>
      <w:r w:rsidR="00BC5DC0">
        <w:t>December</w:t>
      </w:r>
      <w:r>
        <w:t xml:space="preserve"> 2022) </w:t>
      </w:r>
    </w:p>
    <w:p w14:paraId="0E033054" w14:textId="77777777" w:rsidR="00C508E3" w:rsidRDefault="00B37102" w:rsidP="00B37102">
      <w:pPr>
        <w:pStyle w:val="ListParagraph"/>
        <w:numPr>
          <w:ilvl w:val="0"/>
          <w:numId w:val="31"/>
        </w:numPr>
      </w:pPr>
      <w:r>
        <w:t xml:space="preserve">Establishment of the </w:t>
      </w:r>
      <w:hyperlink r:id="rId13" w:history="1">
        <w:r w:rsidRPr="0052428B">
          <w:rPr>
            <w:rStyle w:val="Hyperlink"/>
          </w:rPr>
          <w:t>Australian Centre for Evaluation</w:t>
        </w:r>
      </w:hyperlink>
      <w:r>
        <w:t xml:space="preserve"> </w:t>
      </w:r>
      <w:r w:rsidR="005006BE">
        <w:t>(</w:t>
      </w:r>
      <w:r>
        <w:t>July 2023)</w:t>
      </w:r>
    </w:p>
    <w:p w14:paraId="2B61BAD1" w14:textId="4B65FF2A" w:rsidR="00B37102" w:rsidRDefault="00C508E3" w:rsidP="00C508E3">
      <w:pPr>
        <w:pStyle w:val="ListParagraph"/>
        <w:numPr>
          <w:ilvl w:val="0"/>
          <w:numId w:val="31"/>
        </w:numPr>
        <w:ind w:right="-427"/>
      </w:pPr>
      <w:r>
        <w:t>Embedding evaluation in Commissioner’s Direction on Stewardship (</w:t>
      </w:r>
      <w:r w:rsidR="00A1521C">
        <w:t>2024</w:t>
      </w:r>
      <w:r>
        <w:t>)</w:t>
      </w:r>
      <w:r>
        <w:rPr>
          <w:rStyle w:val="FootnoteReference"/>
        </w:rPr>
        <w:footnoteReference w:id="2"/>
      </w:r>
    </w:p>
    <w:p w14:paraId="5F48B585" w14:textId="77777777" w:rsidR="00A83395" w:rsidRDefault="00D72ADA" w:rsidP="003C5305">
      <w:r>
        <w:t>In addition, a</w:t>
      </w:r>
      <w:r w:rsidR="00A83395">
        <w:t xml:space="preserve"> number of </w:t>
      </w:r>
      <w:r w:rsidR="001608D6">
        <w:t xml:space="preserve">Commonwealth </w:t>
      </w:r>
      <w:r w:rsidR="00880B60">
        <w:t>entities</w:t>
      </w:r>
      <w:r w:rsidR="00A83395">
        <w:t xml:space="preserve"> have taken their own steps to improve evaluation practices</w:t>
      </w:r>
      <w:r w:rsidR="00C508E3">
        <w:t>, capabilities</w:t>
      </w:r>
      <w:r w:rsidR="005C5D16">
        <w:t>,</w:t>
      </w:r>
      <w:r w:rsidR="00C508E3">
        <w:t xml:space="preserve"> and culture within their organisation</w:t>
      </w:r>
      <w:r w:rsidR="00A83395">
        <w:t xml:space="preserve">. This includes, for example: establishing a </w:t>
      </w:r>
      <w:r w:rsidR="001608D6">
        <w:t>dedicated</w:t>
      </w:r>
      <w:r w:rsidR="00A83395">
        <w:t xml:space="preserve"> evaluation unit, developing an </w:t>
      </w:r>
      <w:r w:rsidR="001608D6">
        <w:t>enterprise-level</w:t>
      </w:r>
      <w:r w:rsidR="00A83395">
        <w:t xml:space="preserve"> evaluation strategy and/or forward work plan, or introducing an evaluation oversight committee. </w:t>
      </w:r>
    </w:p>
    <w:p w14:paraId="0368A81B" w14:textId="77777777" w:rsidR="00D825A8" w:rsidRDefault="00F56700" w:rsidP="003C5305">
      <w:r>
        <w:t>Moving forward</w:t>
      </w:r>
      <w:r w:rsidR="0066225A">
        <w:t xml:space="preserve">, </w:t>
      </w:r>
      <w:r w:rsidR="00684DD2">
        <w:t xml:space="preserve">a collaborative, continuous and adaptive approach </w:t>
      </w:r>
      <w:r w:rsidR="005006BE">
        <w:t xml:space="preserve">will </w:t>
      </w:r>
      <w:r w:rsidR="00701AD6">
        <w:t xml:space="preserve">continue to </w:t>
      </w:r>
      <w:r w:rsidR="00E54DAA">
        <w:t>underpin the design and delivery</w:t>
      </w:r>
      <w:r w:rsidR="00684DD2">
        <w:t xml:space="preserve"> of the </w:t>
      </w:r>
      <w:r>
        <w:t xml:space="preserve">evaluation aspects of the </w:t>
      </w:r>
      <w:r w:rsidR="00684DD2">
        <w:t>APS Reform Plan.</w:t>
      </w:r>
      <w:r w:rsidR="00195436">
        <w:t xml:space="preserve"> </w:t>
      </w:r>
      <w:r w:rsidR="00D825A8">
        <w:t>B</w:t>
      </w:r>
      <w:r w:rsidR="00195436">
        <w:t>oth centralised and devolved initiatives</w:t>
      </w:r>
      <w:r w:rsidR="0011049B">
        <w:t>, implemented in a coordinated and sequenced way,</w:t>
      </w:r>
      <w:r w:rsidR="00195436">
        <w:t xml:space="preserve"> are critical for </w:t>
      </w:r>
      <w:r w:rsidR="0011049B">
        <w:t>success</w:t>
      </w:r>
      <w:r w:rsidR="00195436">
        <w:t xml:space="preserve">. </w:t>
      </w:r>
    </w:p>
    <w:p w14:paraId="6105BFCA" w14:textId="5E9EA9A1" w:rsidR="003C5305" w:rsidRDefault="00DD4C39" w:rsidP="003C5305">
      <w:r>
        <w:t>The Australian Centre for Evalu</w:t>
      </w:r>
      <w:r w:rsidR="00A83395">
        <w:t>a</w:t>
      </w:r>
      <w:r>
        <w:t xml:space="preserve">tion (ACE) will work collaboratively with evaluation units from across the APS </w:t>
      </w:r>
      <w:r w:rsidR="00195436">
        <w:t>(</w:t>
      </w:r>
      <w:r w:rsidR="009F708F">
        <w:t>and beyond</w:t>
      </w:r>
      <w:r w:rsidR="00195436">
        <w:t>)</w:t>
      </w:r>
      <w:r w:rsidR="009F708F">
        <w:t xml:space="preserve"> </w:t>
      </w:r>
      <w:r>
        <w:t>to leverage opportunit</w:t>
      </w:r>
      <w:r w:rsidR="009F708F">
        <w:t>ies</w:t>
      </w:r>
      <w:r>
        <w:t xml:space="preserve"> to develop system-wide approaches</w:t>
      </w:r>
      <w:r w:rsidR="003A176F">
        <w:t xml:space="preserve"> and </w:t>
      </w:r>
      <w:r w:rsidR="0058718C">
        <w:t>targeted</w:t>
      </w:r>
      <w:r w:rsidR="003A176F">
        <w:t xml:space="preserve"> tools</w:t>
      </w:r>
      <w:r>
        <w:t>, while also ensuring there is flexibility and autonomy for individual entities to tailor and customise approaches to choose what works best for them.</w:t>
      </w:r>
    </w:p>
    <w:p w14:paraId="349B9A20" w14:textId="77777777" w:rsidR="00C01C5D" w:rsidRDefault="00C01C5D" w:rsidP="007C09D6">
      <w:pPr>
        <w:pStyle w:val="Heading2"/>
        <w:spacing w:before="240"/>
      </w:pPr>
      <w:r>
        <w:lastRenderedPageBreak/>
        <w:t>Purpose</w:t>
      </w:r>
    </w:p>
    <w:p w14:paraId="1559F0ED" w14:textId="223A4FFE" w:rsidR="004A7A3F" w:rsidRDefault="00C01C5D" w:rsidP="00ED5572">
      <w:pPr>
        <w:ind w:right="-852"/>
      </w:pPr>
      <w:r w:rsidRPr="00C15E49">
        <w:t xml:space="preserve">The </w:t>
      </w:r>
      <w:r w:rsidR="00ED5572">
        <w:t xml:space="preserve">Commonwealth </w:t>
      </w:r>
      <w:r>
        <w:t>Evaluation Reference Group</w:t>
      </w:r>
      <w:r w:rsidR="009F708F">
        <w:t>’s</w:t>
      </w:r>
      <w:r>
        <w:t xml:space="preserve"> (ERG) </w:t>
      </w:r>
      <w:r w:rsidR="00BC5DC0">
        <w:t xml:space="preserve">primary purpose is to </w:t>
      </w:r>
      <w:r w:rsidR="001408DF">
        <w:t>provide cross-government leadership and coordination to embed a culture of evaluation in the Australian Government.</w:t>
      </w:r>
      <w:r w:rsidR="009D718A">
        <w:t xml:space="preserve"> </w:t>
      </w:r>
      <w:bookmarkStart w:id="0" w:name="_Hlk152136468"/>
    </w:p>
    <w:p w14:paraId="50748D20" w14:textId="704154AA" w:rsidR="009D718A" w:rsidRDefault="009D718A" w:rsidP="001D5C98">
      <w:pPr>
        <w:ind w:right="-427"/>
      </w:pPr>
      <w:r>
        <w:t>T</w:t>
      </w:r>
      <w:r w:rsidR="001408DF">
        <w:t>he ERG will</w:t>
      </w:r>
      <w:r>
        <w:t>:</w:t>
      </w:r>
    </w:p>
    <w:p w14:paraId="2256D3C0" w14:textId="77777777" w:rsidR="009D718A" w:rsidRDefault="009D718A" w:rsidP="009D718A">
      <w:pPr>
        <w:pStyle w:val="Bullet"/>
        <w:ind w:right="-427"/>
      </w:pPr>
      <w:r>
        <w:t>work with the ACE to shape, prioritise, and implement staged APS evaluation reform initiatives that deliver on the scale and ambition of the APS Reform Plan.</w:t>
      </w:r>
    </w:p>
    <w:p w14:paraId="78063F65" w14:textId="77777777" w:rsidR="009D718A" w:rsidRDefault="009D718A" w:rsidP="001D5C98">
      <w:pPr>
        <w:pStyle w:val="Bullet"/>
        <w:ind w:right="-427"/>
      </w:pPr>
      <w:r>
        <w:t>provide strategic advice and guidance to maximise alignment between whole-of-government reform initiatives and the tailored needs and objectives of individual entities.</w:t>
      </w:r>
    </w:p>
    <w:bookmarkEnd w:id="0"/>
    <w:p w14:paraId="22BAECF2" w14:textId="77777777" w:rsidR="009D718A" w:rsidRDefault="009D718A" w:rsidP="009D718A">
      <w:pPr>
        <w:pStyle w:val="Heading2"/>
        <w:spacing w:before="240"/>
      </w:pPr>
      <w:r>
        <w:t>Membership</w:t>
      </w:r>
    </w:p>
    <w:p w14:paraId="11AC2444" w14:textId="1EE72B78" w:rsidR="004476FB" w:rsidRDefault="009F708F" w:rsidP="00B2039F">
      <w:pPr>
        <w:ind w:right="-285"/>
      </w:pPr>
      <w:r>
        <w:t xml:space="preserve">The ERG </w:t>
      </w:r>
      <w:r w:rsidR="0018740A">
        <w:t xml:space="preserve">consists of </w:t>
      </w:r>
      <w:r w:rsidR="00D16B88">
        <w:t xml:space="preserve">two </w:t>
      </w:r>
      <w:r w:rsidR="0018740A">
        <w:t xml:space="preserve">levels of </w:t>
      </w:r>
      <w:r w:rsidR="00740243">
        <w:t>membership</w:t>
      </w:r>
      <w:r w:rsidR="00E51067">
        <w:t xml:space="preserve"> – senior leaders and technical experts </w:t>
      </w:r>
      <w:r w:rsidR="003971CB">
        <w:t>–</w:t>
      </w:r>
      <w:r w:rsidR="00E51067">
        <w:t xml:space="preserve"> </w:t>
      </w:r>
      <w:r w:rsidR="00740243">
        <w:t>with representatives</w:t>
      </w:r>
      <w:r w:rsidR="00FF73B3">
        <w:t xml:space="preserve"> from </w:t>
      </w:r>
      <w:r w:rsidR="00A667D1">
        <w:t xml:space="preserve">a range of </w:t>
      </w:r>
      <w:r w:rsidR="009059E2">
        <w:t>department</w:t>
      </w:r>
      <w:r w:rsidR="00E07D3B">
        <w:t>s</w:t>
      </w:r>
      <w:r w:rsidR="009059E2">
        <w:t xml:space="preserve"> and agencies </w:t>
      </w:r>
      <w:r w:rsidR="000C43E1">
        <w:t xml:space="preserve">who </w:t>
      </w:r>
      <w:r w:rsidR="00D816B4">
        <w:t xml:space="preserve">can </w:t>
      </w:r>
      <w:r w:rsidR="00B53935">
        <w:t xml:space="preserve">shape and implement evaluation practice through multiple channels. </w:t>
      </w:r>
    </w:p>
    <w:p w14:paraId="7820BF13" w14:textId="3CA8EC07" w:rsidR="00880B60" w:rsidRDefault="00610778" w:rsidP="00B2039F">
      <w:pPr>
        <w:ind w:right="-710"/>
      </w:pPr>
      <w:r>
        <w:t>Together</w:t>
      </w:r>
      <w:r w:rsidR="005B39BA">
        <w:t>,</w:t>
      </w:r>
      <w:r>
        <w:t xml:space="preserve"> </w:t>
      </w:r>
      <w:r w:rsidR="007524B4">
        <w:t>the ERG</w:t>
      </w:r>
      <w:r w:rsidR="005C37BB">
        <w:t xml:space="preserve"> </w:t>
      </w:r>
      <w:r w:rsidR="004B27DA">
        <w:t>comprise</w:t>
      </w:r>
      <w:r w:rsidR="00B61345">
        <w:t>s</w:t>
      </w:r>
      <w:r w:rsidR="0011049B">
        <w:t xml:space="preserve"> a dedicated group of trusted advisers</w:t>
      </w:r>
      <w:r w:rsidR="0009415B">
        <w:t xml:space="preserve"> who have the authority, expertise</w:t>
      </w:r>
      <w:r w:rsidR="00F76A56">
        <w:t>,</w:t>
      </w:r>
      <w:r w:rsidR="0009415B">
        <w:t xml:space="preserve"> and influence to enhance evaluation practices, capabilities</w:t>
      </w:r>
      <w:r w:rsidR="00F76A56">
        <w:t>,</w:t>
      </w:r>
      <w:r w:rsidR="0009415B">
        <w:t xml:space="preserve"> and culture within their organisation. </w:t>
      </w:r>
    </w:p>
    <w:p w14:paraId="1B4F40D4" w14:textId="25B657BC" w:rsidR="00B14115" w:rsidRDefault="00B14115" w:rsidP="00B14115">
      <w:r>
        <w:t xml:space="preserve">Membership includes individuals who hold leadership roles (e.g., are responsible for managing dedicated in-house evaluation units) or have technical expertise in evaluation. </w:t>
      </w:r>
    </w:p>
    <w:p w14:paraId="4A76C17C" w14:textId="77777777" w:rsidR="001D5C98" w:rsidRDefault="00FF5A16" w:rsidP="00C01C5D">
      <w:r>
        <w:t xml:space="preserve">ERG members will act as change champions within their organisation, leading by example to raise awareness about the importance </w:t>
      </w:r>
      <w:r w:rsidR="001D5C98">
        <w:t xml:space="preserve">of evaluation, </w:t>
      </w:r>
      <w:r>
        <w:t>motivat</w:t>
      </w:r>
      <w:r w:rsidR="001D5C98">
        <w:t>ing</w:t>
      </w:r>
      <w:r>
        <w:t xml:space="preserve"> and encourag</w:t>
      </w:r>
      <w:r w:rsidR="001D5C98">
        <w:t>ing</w:t>
      </w:r>
      <w:r>
        <w:t xml:space="preserve"> colleagues to embrace change</w:t>
      </w:r>
      <w:r w:rsidR="001D5C98">
        <w:t>,</w:t>
      </w:r>
      <w:r>
        <w:t xml:space="preserve"> and hel</w:t>
      </w:r>
      <w:r w:rsidR="001D5C98">
        <w:t>ping</w:t>
      </w:r>
      <w:r>
        <w:t xml:space="preserve"> to embed a culture of evaluation and learning across the </w:t>
      </w:r>
      <w:r w:rsidR="001D5C98">
        <w:t>APS.</w:t>
      </w:r>
    </w:p>
    <w:p w14:paraId="48E97BED" w14:textId="77777777" w:rsidR="005B6C32" w:rsidRDefault="00F26170" w:rsidP="007C09D6">
      <w:pPr>
        <w:pStyle w:val="Heading2"/>
        <w:spacing w:before="240"/>
      </w:pPr>
      <w:r>
        <w:t>Areas of Focus</w:t>
      </w:r>
    </w:p>
    <w:p w14:paraId="404410AF" w14:textId="77777777" w:rsidR="005B6C32" w:rsidRDefault="005B6C32" w:rsidP="005B6C32">
      <w:r>
        <w:t xml:space="preserve">The </w:t>
      </w:r>
      <w:r w:rsidR="00F26170">
        <w:t>key areas of focus in the next stage of APS evaluation reforms include</w:t>
      </w:r>
      <w:r>
        <w:t>:</w:t>
      </w:r>
    </w:p>
    <w:p w14:paraId="69A093D8" w14:textId="46CF3039" w:rsidR="005B6C32" w:rsidRDefault="00CE678A" w:rsidP="0051006A">
      <w:pPr>
        <w:pStyle w:val="ListParagraph"/>
        <w:numPr>
          <w:ilvl w:val="0"/>
          <w:numId w:val="19"/>
        </w:numPr>
        <w:spacing w:before="0" w:after="160" w:line="259" w:lineRule="auto"/>
      </w:pPr>
      <w:r>
        <w:t xml:space="preserve">Providing leadership </w:t>
      </w:r>
      <w:r w:rsidR="0051006A">
        <w:t xml:space="preserve">to embed </w:t>
      </w:r>
      <w:r w:rsidR="005B6C32">
        <w:t>the Commonwealth Evaluation Policy</w:t>
      </w:r>
      <w:r w:rsidR="00A811BC">
        <w:t xml:space="preserve"> and Toolkit</w:t>
      </w:r>
    </w:p>
    <w:p w14:paraId="5054A66D" w14:textId="77777777" w:rsidR="00F26170" w:rsidRDefault="00F26170" w:rsidP="00F26170">
      <w:pPr>
        <w:pStyle w:val="ListParagraph"/>
        <w:numPr>
          <w:ilvl w:val="0"/>
          <w:numId w:val="19"/>
        </w:numPr>
        <w:spacing w:before="0" w:after="160" w:line="259" w:lineRule="auto"/>
      </w:pPr>
      <w:r>
        <w:t>Champ</w:t>
      </w:r>
      <w:r w:rsidR="00184BF1">
        <w:t>i</w:t>
      </w:r>
      <w:r>
        <w:t>oning high-quality impact evaluations</w:t>
      </w:r>
    </w:p>
    <w:p w14:paraId="5A817F15" w14:textId="77777777" w:rsidR="005B6C32" w:rsidRDefault="005B6C32" w:rsidP="005B6C32">
      <w:pPr>
        <w:pStyle w:val="ListParagraph"/>
        <w:numPr>
          <w:ilvl w:val="0"/>
          <w:numId w:val="19"/>
        </w:numPr>
        <w:spacing w:before="0" w:after="160" w:line="259" w:lineRule="auto"/>
      </w:pPr>
      <w:r>
        <w:t>Promoting better evaluation planning and use in Budget and Cabinet processes</w:t>
      </w:r>
    </w:p>
    <w:p w14:paraId="34F54084" w14:textId="77777777" w:rsidR="00F26170" w:rsidRDefault="005B6C32" w:rsidP="00A811BC">
      <w:pPr>
        <w:pStyle w:val="ListParagraph"/>
        <w:numPr>
          <w:ilvl w:val="0"/>
          <w:numId w:val="19"/>
        </w:numPr>
        <w:spacing w:before="0" w:after="160" w:line="259" w:lineRule="auto"/>
      </w:pPr>
      <w:r>
        <w:t xml:space="preserve">Overseeing evaluation capability building across the </w:t>
      </w:r>
      <w:r w:rsidR="00F26170">
        <w:t>APS</w:t>
      </w:r>
      <w:r w:rsidR="00A811BC">
        <w:t>.</w:t>
      </w:r>
    </w:p>
    <w:p w14:paraId="3FB8D368" w14:textId="77777777" w:rsidR="00F26170" w:rsidRDefault="00F26170" w:rsidP="00F26170">
      <w:pPr>
        <w:pStyle w:val="Heading2"/>
        <w:spacing w:before="240"/>
      </w:pPr>
      <w:r>
        <w:t>Priorities</w:t>
      </w:r>
    </w:p>
    <w:p w14:paraId="30931340" w14:textId="77777777" w:rsidR="004B27DA" w:rsidRDefault="00F26170" w:rsidP="00B32F96">
      <w:pPr>
        <w:ind w:right="-710"/>
      </w:pPr>
      <w:r>
        <w:t xml:space="preserve">The </w:t>
      </w:r>
      <w:r w:rsidR="00B32F96">
        <w:t xml:space="preserve">ERG’s </w:t>
      </w:r>
      <w:r>
        <w:t xml:space="preserve">priorities </w:t>
      </w:r>
      <w:r w:rsidR="004B27DA">
        <w:t xml:space="preserve">will be agreed in consultation with members. </w:t>
      </w:r>
      <w:r w:rsidR="00AE67AA">
        <w:t>An i</w:t>
      </w:r>
      <w:r w:rsidR="006D2215">
        <w:t xml:space="preserve">ndicative </w:t>
      </w:r>
      <w:r w:rsidR="00AE67AA">
        <w:t>schedule of activities</w:t>
      </w:r>
      <w:r w:rsidR="004B27DA">
        <w:t xml:space="preserve"> will guide </w:t>
      </w:r>
      <w:r w:rsidR="00761850">
        <w:t xml:space="preserve">the </w:t>
      </w:r>
      <w:r w:rsidR="004B27DA">
        <w:t>ERG</w:t>
      </w:r>
      <w:r w:rsidR="00761850">
        <w:t>’s engagement</w:t>
      </w:r>
      <w:r w:rsidR="00AE67AA">
        <w:t>. P</w:t>
      </w:r>
      <w:r w:rsidR="00761850">
        <w:t>roject</w:t>
      </w:r>
      <w:r w:rsidR="006D2215">
        <w:t xml:space="preserve"> plan</w:t>
      </w:r>
      <w:r w:rsidR="00761850">
        <w:t>s</w:t>
      </w:r>
      <w:r w:rsidR="006D2215">
        <w:t xml:space="preserve"> </w:t>
      </w:r>
      <w:r w:rsidR="00500070">
        <w:t>(</w:t>
      </w:r>
      <w:r w:rsidR="00AE67AA">
        <w:t>and teams</w:t>
      </w:r>
      <w:r w:rsidR="00500070">
        <w:t>)</w:t>
      </w:r>
      <w:r w:rsidR="00AE67AA">
        <w:t xml:space="preserve"> </w:t>
      </w:r>
      <w:r w:rsidR="000F09D9">
        <w:t xml:space="preserve">will be </w:t>
      </w:r>
      <w:r w:rsidR="00500070">
        <w:t>agreed with</w:t>
      </w:r>
      <w:r w:rsidR="00AE67AA">
        <w:t xml:space="preserve"> members</w:t>
      </w:r>
      <w:r w:rsidR="00CD10E8">
        <w:t>,</w:t>
      </w:r>
      <w:r w:rsidR="000F09D9">
        <w:t xml:space="preserve"> as appropriate</w:t>
      </w:r>
      <w:r w:rsidR="00761850">
        <w:t>.</w:t>
      </w:r>
    </w:p>
    <w:p w14:paraId="15564942" w14:textId="77777777" w:rsidR="00C01C5D" w:rsidRDefault="00C01C5D" w:rsidP="007C09D6">
      <w:pPr>
        <w:pStyle w:val="Heading2"/>
        <w:spacing w:before="240"/>
      </w:pPr>
      <w:r>
        <w:t>Structure</w:t>
      </w:r>
    </w:p>
    <w:p w14:paraId="08DCAF97" w14:textId="136DB209" w:rsidR="0039317B" w:rsidRDefault="00687F4A" w:rsidP="00110493">
      <w:pPr>
        <w:ind w:right="-427"/>
      </w:pPr>
      <w:r>
        <w:t>The ERG consist</w:t>
      </w:r>
      <w:r w:rsidR="00D333F0">
        <w:t>s</w:t>
      </w:r>
      <w:r>
        <w:t xml:space="preserve"> of </w:t>
      </w:r>
      <w:r w:rsidR="00077C1B">
        <w:t xml:space="preserve">two </w:t>
      </w:r>
      <w:r w:rsidR="00582301">
        <w:t>level</w:t>
      </w:r>
      <w:r w:rsidR="00110493">
        <w:t>s</w:t>
      </w:r>
      <w:r w:rsidR="00A10F7A">
        <w:t xml:space="preserve"> of membership</w:t>
      </w:r>
      <w:r w:rsidR="00CD10E8">
        <w:t>:</w:t>
      </w:r>
      <w:r>
        <w:t xml:space="preserve"> senior leaders</w:t>
      </w:r>
      <w:r w:rsidR="00077C1B">
        <w:t xml:space="preserve"> and </w:t>
      </w:r>
      <w:r w:rsidR="00972D54">
        <w:t>technical experts</w:t>
      </w:r>
      <w:r w:rsidR="00110493">
        <w:t xml:space="preserve">. </w:t>
      </w:r>
      <w:r w:rsidR="006D5E42">
        <w:t>Project teams will also be established to work on agreed priorities.</w:t>
      </w:r>
    </w:p>
    <w:p w14:paraId="5757C642" w14:textId="5383C695" w:rsidR="006D5E42" w:rsidRDefault="0039317B" w:rsidP="00110493">
      <w:pPr>
        <w:ind w:right="-427"/>
      </w:pPr>
      <w:r>
        <w:t>The purpose of the different membership levels, and the relationship between the ERG and other whole-of-government engagement mechanisms related to evaluation</w:t>
      </w:r>
      <w:r w:rsidR="00243FE9">
        <w:t xml:space="preserve">, are detailed at </w:t>
      </w:r>
      <w:r w:rsidR="001356F9" w:rsidRPr="00CE678A">
        <w:rPr>
          <w:b/>
          <w:bCs/>
        </w:rPr>
        <w:t>Attachment A</w:t>
      </w:r>
      <w:r w:rsidR="001356F9">
        <w:t xml:space="preserve">. </w:t>
      </w:r>
    </w:p>
    <w:p w14:paraId="7A8F3F57" w14:textId="2DA50692" w:rsidR="00D5170D" w:rsidRDefault="001356F9" w:rsidP="00D513CF">
      <w:pPr>
        <w:rPr>
          <w:b/>
          <w:bCs/>
        </w:rPr>
      </w:pPr>
      <w:r>
        <w:t>Participating entities are listed at</w:t>
      </w:r>
      <w:r w:rsidR="00243FE9" w:rsidRPr="00243FE9">
        <w:rPr>
          <w:b/>
          <w:bCs/>
        </w:rPr>
        <w:t xml:space="preserve"> </w:t>
      </w:r>
      <w:r w:rsidR="00243FE9" w:rsidRPr="00D513CF">
        <w:rPr>
          <w:b/>
          <w:bCs/>
        </w:rPr>
        <w:t>Attachment B</w:t>
      </w:r>
      <w:r w:rsidR="00243FE9">
        <w:rPr>
          <w:b/>
          <w:bCs/>
        </w:rPr>
        <w:t>.</w:t>
      </w:r>
    </w:p>
    <w:p w14:paraId="63C59A78" w14:textId="400B40A0" w:rsidR="00F52E01" w:rsidRDefault="00D5170D" w:rsidP="00F52E01">
      <w:r>
        <w:t>A current</w:t>
      </w:r>
      <w:r>
        <w:rPr>
          <w:b/>
          <w:bCs/>
        </w:rPr>
        <w:t xml:space="preserve"> Member List </w:t>
      </w:r>
      <w:r w:rsidR="00243FE9">
        <w:t>is</w:t>
      </w:r>
      <w:r w:rsidR="00F52E01">
        <w:t xml:space="preserve"> maintained by the ACE and is available </w:t>
      </w:r>
      <w:r w:rsidR="00243FE9">
        <w:t xml:space="preserve">to </w:t>
      </w:r>
      <w:r w:rsidR="00584D39">
        <w:t xml:space="preserve">ERG </w:t>
      </w:r>
      <w:r w:rsidR="00243FE9">
        <w:t xml:space="preserve">members </w:t>
      </w:r>
      <w:r w:rsidR="00F52E01">
        <w:t>on request.</w:t>
      </w:r>
    </w:p>
    <w:p w14:paraId="01517B2E" w14:textId="77777777" w:rsidR="003048B1" w:rsidRDefault="003048B1" w:rsidP="003048B1">
      <w:pPr>
        <w:pStyle w:val="Heading2"/>
        <w:spacing w:before="240"/>
      </w:pPr>
      <w:r>
        <w:lastRenderedPageBreak/>
        <w:t>Authority</w:t>
      </w:r>
    </w:p>
    <w:p w14:paraId="6B94C184" w14:textId="44D5706C" w:rsidR="00C01C5D" w:rsidRDefault="00C01C5D" w:rsidP="00C01C5D">
      <w:r>
        <w:t xml:space="preserve">The </w:t>
      </w:r>
      <w:r w:rsidR="006D4099">
        <w:t>ERG</w:t>
      </w:r>
      <w:r>
        <w:t xml:space="preserve"> will </w:t>
      </w:r>
      <w:r w:rsidR="00D513CF">
        <w:t xml:space="preserve">primarily </w:t>
      </w:r>
      <w:r>
        <w:t>have an advisory role, helping to develop and refine the ACE’s approach and activities.</w:t>
      </w:r>
    </w:p>
    <w:p w14:paraId="44D0D6EB" w14:textId="77777777" w:rsidR="00D513CF" w:rsidRDefault="00D513CF" w:rsidP="00C01C5D">
      <w:r>
        <w:t xml:space="preserve">Member contributions to </w:t>
      </w:r>
      <w:r w:rsidR="0017429E">
        <w:t>project output</w:t>
      </w:r>
      <w:r>
        <w:t xml:space="preserve">s will be agreed </w:t>
      </w:r>
      <w:r w:rsidR="0017429E">
        <w:t xml:space="preserve">during the scoping phase for each individual project. </w:t>
      </w:r>
    </w:p>
    <w:p w14:paraId="1AD1D9DA" w14:textId="77777777" w:rsidR="00C01C5D" w:rsidRDefault="00C01C5D" w:rsidP="007C09D6">
      <w:pPr>
        <w:pStyle w:val="Heading2"/>
        <w:spacing w:before="240"/>
      </w:pPr>
      <w:r>
        <w:t>Meeting arrangements</w:t>
      </w:r>
    </w:p>
    <w:p w14:paraId="7F9F49EC" w14:textId="35C32423" w:rsidR="0017429E" w:rsidRDefault="006D4099" w:rsidP="00A811BC">
      <w:pPr>
        <w:ind w:right="-852"/>
      </w:pPr>
      <w:r>
        <w:t>ERG</w:t>
      </w:r>
      <w:r w:rsidR="00C01C5D" w:rsidRPr="00AF7BDB">
        <w:t xml:space="preserve"> </w:t>
      </w:r>
      <w:r w:rsidR="00C01C5D">
        <w:t xml:space="preserve">meetings will be scheduled </w:t>
      </w:r>
      <w:r w:rsidR="00CE678A">
        <w:t>quarterly</w:t>
      </w:r>
      <w:r w:rsidR="00500070">
        <w:t>,</w:t>
      </w:r>
      <w:r w:rsidR="00CE678A">
        <w:t xml:space="preserve"> or </w:t>
      </w:r>
      <w:r w:rsidR="00D72ADA">
        <w:t>as needed</w:t>
      </w:r>
      <w:r w:rsidR="00500070">
        <w:t>,</w:t>
      </w:r>
      <w:r w:rsidR="00D72ADA">
        <w:t xml:space="preserve"> </w:t>
      </w:r>
      <w:r w:rsidR="00C01C5D">
        <w:t>to coincide with key milestones</w:t>
      </w:r>
      <w:r w:rsidR="005B6C32">
        <w:t>.</w:t>
      </w:r>
      <w:r w:rsidR="00A811BC">
        <w:t xml:space="preserve"> </w:t>
      </w:r>
    </w:p>
    <w:p w14:paraId="1CE3D8C0" w14:textId="07F24001" w:rsidR="005B6C32" w:rsidRDefault="005B6C32" w:rsidP="00A811BC">
      <w:pPr>
        <w:ind w:right="-852"/>
      </w:pPr>
      <w:r>
        <w:t xml:space="preserve">Meetings will involve one or </w:t>
      </w:r>
      <w:r w:rsidR="002023A6">
        <w:t xml:space="preserve">both </w:t>
      </w:r>
      <w:r w:rsidR="00500070">
        <w:t xml:space="preserve">membership </w:t>
      </w:r>
      <w:r>
        <w:t>tier</w:t>
      </w:r>
      <w:r w:rsidR="00A811BC">
        <w:t>,</w:t>
      </w:r>
      <w:r>
        <w:t xml:space="preserve"> as appropriate</w:t>
      </w:r>
      <w:r w:rsidR="00D72ADA">
        <w:t xml:space="preserve"> based on the agenda</w:t>
      </w:r>
      <w:r w:rsidR="00C01C5D">
        <w:t xml:space="preserve">. </w:t>
      </w:r>
    </w:p>
    <w:p w14:paraId="6BFEF485" w14:textId="77777777" w:rsidR="00C01C5D" w:rsidRDefault="00C01C5D" w:rsidP="007C09D6">
      <w:pPr>
        <w:pStyle w:val="Heading2"/>
        <w:spacing w:before="240"/>
      </w:pPr>
      <w:r>
        <w:t>Reporting</w:t>
      </w:r>
    </w:p>
    <w:p w14:paraId="2EF78A0E" w14:textId="77777777" w:rsidR="00171787" w:rsidRDefault="00C01C5D" w:rsidP="00687F4A">
      <w:r w:rsidRPr="000B4B89">
        <w:t xml:space="preserve">Minutes of meetings will be </w:t>
      </w:r>
      <w:r>
        <w:t>maintained and distributed to Reference Group members by ACE.</w:t>
      </w:r>
    </w:p>
    <w:p w14:paraId="6977F8C0" w14:textId="77777777" w:rsidR="00171787" w:rsidRDefault="00171787" w:rsidP="00171787">
      <w:pPr>
        <w:pStyle w:val="Heading2"/>
        <w:spacing w:before="240"/>
      </w:pPr>
      <w:r>
        <w:t>Term</w:t>
      </w:r>
    </w:p>
    <w:p w14:paraId="3A8ECA66" w14:textId="77777777" w:rsidR="00171787" w:rsidRDefault="00171787" w:rsidP="00687F4A">
      <w:r>
        <w:t xml:space="preserve">The ERG was established in December 2020 to help implement recommendation 26 of the Independent Review of the APS. </w:t>
      </w:r>
      <w:r w:rsidR="0017429E">
        <w:t>R</w:t>
      </w:r>
      <w:r w:rsidR="002969BB">
        <w:t xml:space="preserve">evised </w:t>
      </w:r>
      <w:r>
        <w:t>terms of reference</w:t>
      </w:r>
      <w:r w:rsidR="002969BB">
        <w:t xml:space="preserve"> and membership,</w:t>
      </w:r>
      <w:r>
        <w:t xml:space="preserve"> refreshed in December 2023</w:t>
      </w:r>
      <w:r w:rsidR="002969BB">
        <w:t>,</w:t>
      </w:r>
      <w:r>
        <w:t xml:space="preserve"> are ongoing</w:t>
      </w:r>
      <w:r w:rsidR="002969BB">
        <w:t xml:space="preserve"> and will be reviewed as required</w:t>
      </w:r>
      <w:r>
        <w:t>.</w:t>
      </w:r>
    </w:p>
    <w:p w14:paraId="6A22EDE9" w14:textId="77777777" w:rsidR="003048B1" w:rsidRDefault="00DE792A" w:rsidP="003048B1">
      <w:pPr>
        <w:pStyle w:val="Heading3"/>
        <w:spacing w:after="240"/>
      </w:pPr>
      <w:r>
        <w:br w:type="page"/>
      </w:r>
      <w:r w:rsidR="003048B1" w:rsidRPr="007C09D6">
        <w:rPr>
          <w:u w:val="single"/>
        </w:rPr>
        <w:lastRenderedPageBreak/>
        <w:t>Attachment A</w:t>
      </w:r>
      <w:r w:rsidR="003048B1">
        <w:t xml:space="preserve"> – ERG Structure and Other Engagement Mechanisms</w:t>
      </w:r>
    </w:p>
    <w:p w14:paraId="4F042FEC" w14:textId="59B7FE68" w:rsidR="002049D9" w:rsidRPr="002049D9" w:rsidRDefault="002049D9" w:rsidP="00B2039F">
      <w:pPr>
        <w:pStyle w:val="Heading2"/>
        <w:spacing w:before="240"/>
      </w:pPr>
      <w:r>
        <w:t xml:space="preserve">ERG </w:t>
      </w:r>
      <w:r w:rsidR="003048B1">
        <w:t xml:space="preserve">Structure – </w:t>
      </w:r>
      <w:r>
        <w:t>Membership Levels</w:t>
      </w:r>
      <w:r w:rsidR="003048B1">
        <w:t xml:space="preserve"> and Project</w:t>
      </w:r>
      <w:r w:rsidR="00B2039F">
        <w:t xml:space="preserve"> Teams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59"/>
      </w:tblGrid>
      <w:tr w:rsidR="00972D54" w14:paraId="5F0E1CBC" w14:textId="77777777" w:rsidTr="00B2039F">
        <w:tc>
          <w:tcPr>
            <w:tcW w:w="2235" w:type="dxa"/>
            <w:shd w:val="clear" w:color="auto" w:fill="auto"/>
          </w:tcPr>
          <w:p w14:paraId="1BAC6C72" w14:textId="77777777" w:rsidR="00972D54" w:rsidRPr="00B2039F" w:rsidRDefault="00972D54" w:rsidP="00972D54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Tier 1: Senior leaders</w:t>
            </w:r>
          </w:p>
        </w:tc>
        <w:tc>
          <w:tcPr>
            <w:tcW w:w="6259" w:type="dxa"/>
            <w:shd w:val="clear" w:color="auto" w:fill="auto"/>
          </w:tcPr>
          <w:p w14:paraId="7E346950" w14:textId="12F5892F" w:rsidR="00972D54" w:rsidRPr="00B2039F" w:rsidRDefault="00786A8D" w:rsidP="00395C25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>
              <w:rPr>
                <w:sz w:val="20"/>
              </w:rPr>
              <w:t>T</w:t>
            </w:r>
            <w:r w:rsidR="00972D54" w:rsidRPr="00B2039F">
              <w:rPr>
                <w:sz w:val="20"/>
              </w:rPr>
              <w:t xml:space="preserve">ypically SES Bands 1 or 2 who </w:t>
            </w:r>
            <w:r w:rsidR="00F56700" w:rsidRPr="00B2039F">
              <w:rPr>
                <w:sz w:val="20"/>
              </w:rPr>
              <w:t xml:space="preserve">are responsible for the </w:t>
            </w:r>
            <w:r w:rsidR="00972D54" w:rsidRPr="00B2039F">
              <w:rPr>
                <w:sz w:val="20"/>
              </w:rPr>
              <w:t xml:space="preserve">oversight </w:t>
            </w:r>
            <w:r w:rsidR="00F56700" w:rsidRPr="00B2039F">
              <w:rPr>
                <w:sz w:val="20"/>
              </w:rPr>
              <w:t>and management of dedicated</w:t>
            </w:r>
            <w:r w:rsidR="00972D54" w:rsidRPr="00B2039F">
              <w:rPr>
                <w:sz w:val="20"/>
              </w:rPr>
              <w:t xml:space="preserve"> evaluation </w:t>
            </w:r>
            <w:r w:rsidR="002969BB" w:rsidRPr="00B2039F">
              <w:rPr>
                <w:sz w:val="20"/>
              </w:rPr>
              <w:t>units</w:t>
            </w:r>
            <w:r w:rsidR="00972D54" w:rsidRPr="00B2039F">
              <w:rPr>
                <w:sz w:val="20"/>
              </w:rPr>
              <w:t xml:space="preserve"> in a Commonwealth entity. </w:t>
            </w:r>
          </w:p>
          <w:p w14:paraId="3BB90CC3" w14:textId="4AF7F486" w:rsidR="00972D54" w:rsidRPr="00B2039F" w:rsidRDefault="00F56700" w:rsidP="00395C25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 w:rsidRPr="00B2039F">
              <w:rPr>
                <w:sz w:val="20"/>
              </w:rPr>
              <w:t>Senior leaders</w:t>
            </w:r>
            <w:r w:rsidR="00972D54" w:rsidRPr="00B2039F">
              <w:rPr>
                <w:sz w:val="20"/>
              </w:rPr>
              <w:t xml:space="preserve"> will </w:t>
            </w:r>
            <w:r w:rsidR="00FE7A5C" w:rsidRPr="00B2039F">
              <w:rPr>
                <w:sz w:val="20"/>
              </w:rPr>
              <w:t xml:space="preserve">help </w:t>
            </w:r>
            <w:r w:rsidR="00972D54" w:rsidRPr="00B2039F">
              <w:rPr>
                <w:sz w:val="20"/>
              </w:rPr>
              <w:t xml:space="preserve">shape and endorse strategic directions for future evaluation reforms and, as appropriate, commit resources </w:t>
            </w:r>
            <w:r w:rsidRPr="00B2039F">
              <w:rPr>
                <w:sz w:val="20"/>
              </w:rPr>
              <w:t xml:space="preserve">to contribute to </w:t>
            </w:r>
            <w:r w:rsidR="00972D54" w:rsidRPr="00B2039F">
              <w:rPr>
                <w:sz w:val="20"/>
              </w:rPr>
              <w:t>ERG projects</w:t>
            </w:r>
            <w:r w:rsidR="00FE7A5C" w:rsidRPr="00B2039F">
              <w:rPr>
                <w:sz w:val="20"/>
              </w:rPr>
              <w:t xml:space="preserve"> that support whole-of-government evaluation </w:t>
            </w:r>
            <w:r w:rsidR="002969BB" w:rsidRPr="00B2039F">
              <w:rPr>
                <w:sz w:val="20"/>
              </w:rPr>
              <w:t xml:space="preserve">reforms, </w:t>
            </w:r>
            <w:r w:rsidR="00FE7A5C" w:rsidRPr="00B2039F">
              <w:rPr>
                <w:sz w:val="20"/>
              </w:rPr>
              <w:t>resources</w:t>
            </w:r>
            <w:r w:rsidR="004F7E97" w:rsidRPr="00B2039F">
              <w:rPr>
                <w:sz w:val="20"/>
              </w:rPr>
              <w:t>,</w:t>
            </w:r>
            <w:r w:rsidR="00FE7A5C" w:rsidRPr="00B2039F">
              <w:rPr>
                <w:sz w:val="20"/>
              </w:rPr>
              <w:t xml:space="preserve"> and targeted tools</w:t>
            </w:r>
            <w:r w:rsidR="00972D54" w:rsidRPr="00B2039F">
              <w:rPr>
                <w:sz w:val="20"/>
              </w:rPr>
              <w:t>.</w:t>
            </w:r>
          </w:p>
          <w:p w14:paraId="452B617E" w14:textId="77777777" w:rsidR="00972D54" w:rsidRPr="00B2039F" w:rsidRDefault="00972D54" w:rsidP="00972D54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Engagement</w:t>
            </w:r>
          </w:p>
          <w:p w14:paraId="2C47F1A5" w14:textId="21BBB98C" w:rsidR="00972D54" w:rsidRPr="00B2039F" w:rsidRDefault="00972D54" w:rsidP="00972D54">
            <w:pPr>
              <w:rPr>
                <w:b/>
                <w:bCs/>
                <w:sz w:val="20"/>
              </w:rPr>
            </w:pPr>
            <w:r w:rsidRPr="00B2039F">
              <w:rPr>
                <w:sz w:val="20"/>
              </w:rPr>
              <w:t xml:space="preserve">Meetings and engagement </w:t>
            </w:r>
            <w:r w:rsidR="002969BB" w:rsidRPr="00B2039F">
              <w:rPr>
                <w:sz w:val="20"/>
              </w:rPr>
              <w:t xml:space="preserve">quarterly, or </w:t>
            </w:r>
            <w:r w:rsidRPr="00B2039F">
              <w:rPr>
                <w:sz w:val="20"/>
              </w:rPr>
              <w:t>as required.</w:t>
            </w:r>
          </w:p>
        </w:tc>
      </w:tr>
      <w:tr w:rsidR="004F7E97" w14:paraId="484E3579" w14:textId="77777777" w:rsidTr="00B2039F">
        <w:tc>
          <w:tcPr>
            <w:tcW w:w="2235" w:type="dxa"/>
            <w:shd w:val="clear" w:color="auto" w:fill="auto"/>
          </w:tcPr>
          <w:p w14:paraId="7D317B0F" w14:textId="65F16B95" w:rsidR="004F7E97" w:rsidRPr="00B2039F" w:rsidRDefault="004F7E97" w:rsidP="004F7E97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Tier 2: Technical experts</w:t>
            </w:r>
          </w:p>
        </w:tc>
        <w:tc>
          <w:tcPr>
            <w:tcW w:w="6259" w:type="dxa"/>
            <w:shd w:val="clear" w:color="auto" w:fill="auto"/>
          </w:tcPr>
          <w:p w14:paraId="4E1336A8" w14:textId="638DD502" w:rsidR="004F7E97" w:rsidRPr="00B2039F" w:rsidRDefault="000F0A64" w:rsidP="004F7E97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>
              <w:rPr>
                <w:sz w:val="20"/>
              </w:rPr>
              <w:t>T</w:t>
            </w:r>
            <w:r w:rsidR="004F7E97" w:rsidRPr="00B2039F">
              <w:rPr>
                <w:sz w:val="20"/>
              </w:rPr>
              <w:t xml:space="preserve">ypically EL2 </w:t>
            </w:r>
            <w:r>
              <w:rPr>
                <w:sz w:val="20"/>
              </w:rPr>
              <w:t xml:space="preserve">or EL1 </w:t>
            </w:r>
            <w:r w:rsidR="004F7E97" w:rsidRPr="00B2039F">
              <w:rPr>
                <w:sz w:val="20"/>
              </w:rPr>
              <w:t xml:space="preserve">officers with </w:t>
            </w:r>
            <w:r w:rsidR="00E7528D">
              <w:rPr>
                <w:sz w:val="20"/>
              </w:rPr>
              <w:t xml:space="preserve">significant </w:t>
            </w:r>
            <w:r w:rsidR="004F7E97" w:rsidRPr="00B2039F">
              <w:rPr>
                <w:sz w:val="20"/>
              </w:rPr>
              <w:t>expertise in evaluation and/or direct responsibility for managing dedicated evaluation teams or providing evaluation support services to line areas.</w:t>
            </w:r>
          </w:p>
          <w:p w14:paraId="5224B7C0" w14:textId="5FE9D9FD" w:rsidR="004F7E97" w:rsidRPr="00B2039F" w:rsidRDefault="00F65580" w:rsidP="004F7E97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>
              <w:rPr>
                <w:sz w:val="20"/>
              </w:rPr>
              <w:t>Technical experts</w:t>
            </w:r>
            <w:r w:rsidR="004F7E97" w:rsidRPr="00B2039F">
              <w:rPr>
                <w:sz w:val="20"/>
              </w:rPr>
              <w:t xml:space="preserve"> will be a key advisory group to test, develop and validate ideas, and help implement priority initiatives.</w:t>
            </w:r>
          </w:p>
          <w:p w14:paraId="65AA3017" w14:textId="77777777" w:rsidR="004F7E97" w:rsidRPr="00B2039F" w:rsidRDefault="004F7E97" w:rsidP="004F7E97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Engagement</w:t>
            </w:r>
          </w:p>
          <w:p w14:paraId="6E4AD805" w14:textId="4D03DF69" w:rsidR="004F7E97" w:rsidRPr="00B2039F" w:rsidRDefault="004F7E97" w:rsidP="004F7E97">
            <w:pPr>
              <w:rPr>
                <w:b/>
                <w:bCs/>
                <w:sz w:val="20"/>
              </w:rPr>
            </w:pPr>
            <w:r w:rsidRPr="00B2039F">
              <w:rPr>
                <w:sz w:val="20"/>
              </w:rPr>
              <w:t>Meetings and engagement as required.</w:t>
            </w:r>
          </w:p>
        </w:tc>
      </w:tr>
      <w:tr w:rsidR="00972D54" w14:paraId="53AFE39C" w14:textId="77777777" w:rsidTr="00B2039F">
        <w:tc>
          <w:tcPr>
            <w:tcW w:w="2235" w:type="dxa"/>
            <w:shd w:val="clear" w:color="auto" w:fill="auto"/>
          </w:tcPr>
          <w:p w14:paraId="1ABA388E" w14:textId="46D82AE1" w:rsidR="00972D54" w:rsidRPr="00B2039F" w:rsidRDefault="00D21B4A" w:rsidP="00972D54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ERG</w:t>
            </w:r>
            <w:r w:rsidR="00972D54" w:rsidRPr="00B2039F">
              <w:rPr>
                <w:b/>
                <w:bCs/>
                <w:sz w:val="20"/>
              </w:rPr>
              <w:t xml:space="preserve"> Project teams</w:t>
            </w:r>
          </w:p>
        </w:tc>
        <w:tc>
          <w:tcPr>
            <w:tcW w:w="6259" w:type="dxa"/>
            <w:shd w:val="clear" w:color="auto" w:fill="auto"/>
          </w:tcPr>
          <w:p w14:paraId="42625109" w14:textId="77777777" w:rsidR="00972D54" w:rsidRPr="00B2039F" w:rsidRDefault="00972D54" w:rsidP="00395C25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 w:rsidRPr="00B2039F">
              <w:rPr>
                <w:sz w:val="20"/>
              </w:rPr>
              <w:t>Sequencing and scope of ERG projects will be developed by the ACE, in consultation with Senior Leaders</w:t>
            </w:r>
            <w:r w:rsidR="000B74A2" w:rsidRPr="00B2039F">
              <w:rPr>
                <w:sz w:val="20"/>
              </w:rPr>
              <w:t xml:space="preserve"> and </w:t>
            </w:r>
            <w:r w:rsidRPr="00B2039F">
              <w:rPr>
                <w:sz w:val="20"/>
              </w:rPr>
              <w:t>Technical Experts.</w:t>
            </w:r>
          </w:p>
          <w:p w14:paraId="51E65967" w14:textId="2E3EC500" w:rsidR="00605AC3" w:rsidRPr="00B2039F" w:rsidRDefault="00605AC3" w:rsidP="00395C25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 w:rsidRPr="00B2039F">
              <w:rPr>
                <w:sz w:val="20"/>
              </w:rPr>
              <w:t xml:space="preserve">ERG Senior Leaders </w:t>
            </w:r>
            <w:r w:rsidR="008F0142">
              <w:rPr>
                <w:sz w:val="20"/>
              </w:rPr>
              <w:t>will</w:t>
            </w:r>
            <w:r w:rsidRPr="00B2039F">
              <w:rPr>
                <w:sz w:val="20"/>
              </w:rPr>
              <w:t xml:space="preserve"> determine preferred allocation </w:t>
            </w:r>
            <w:r w:rsidR="005611E6" w:rsidRPr="00B2039F">
              <w:rPr>
                <w:sz w:val="20"/>
              </w:rPr>
              <w:t>of resources</w:t>
            </w:r>
            <w:r w:rsidR="00EA0C76" w:rsidRPr="00B2039F">
              <w:rPr>
                <w:sz w:val="20"/>
              </w:rPr>
              <w:t xml:space="preserve"> to </w:t>
            </w:r>
            <w:r w:rsidR="00DD1B99" w:rsidRPr="00B2039F">
              <w:rPr>
                <w:sz w:val="20"/>
              </w:rPr>
              <w:t xml:space="preserve">specific </w:t>
            </w:r>
            <w:r w:rsidR="00EA0C76" w:rsidRPr="00B2039F">
              <w:rPr>
                <w:sz w:val="20"/>
              </w:rPr>
              <w:t>projects based on timing</w:t>
            </w:r>
            <w:r w:rsidR="00DD1B99" w:rsidRPr="00B2039F">
              <w:rPr>
                <w:sz w:val="20"/>
              </w:rPr>
              <w:t>,</w:t>
            </w:r>
            <w:r w:rsidR="00EA0C76" w:rsidRPr="00B2039F">
              <w:rPr>
                <w:sz w:val="20"/>
              </w:rPr>
              <w:t xml:space="preserve"> </w:t>
            </w:r>
            <w:r w:rsidR="009544D8">
              <w:rPr>
                <w:sz w:val="20"/>
              </w:rPr>
              <w:t xml:space="preserve">capacity, and </w:t>
            </w:r>
            <w:r w:rsidR="00EA0C76" w:rsidRPr="00B2039F">
              <w:rPr>
                <w:sz w:val="20"/>
              </w:rPr>
              <w:t xml:space="preserve">alignment with </w:t>
            </w:r>
            <w:r w:rsidR="00DD1B99" w:rsidRPr="00B2039F">
              <w:rPr>
                <w:sz w:val="20"/>
              </w:rPr>
              <w:t xml:space="preserve">entity-specific </w:t>
            </w:r>
            <w:r w:rsidR="00CA138A" w:rsidRPr="00B2039F">
              <w:rPr>
                <w:sz w:val="20"/>
              </w:rPr>
              <w:t>priorities</w:t>
            </w:r>
            <w:r w:rsidR="009544D8">
              <w:rPr>
                <w:sz w:val="20"/>
              </w:rPr>
              <w:t xml:space="preserve"> and expertise</w:t>
            </w:r>
            <w:r w:rsidR="00DD1B99" w:rsidRPr="00B2039F">
              <w:rPr>
                <w:sz w:val="20"/>
              </w:rPr>
              <w:t>.</w:t>
            </w:r>
          </w:p>
          <w:p w14:paraId="2DC1AFBE" w14:textId="77777777" w:rsidR="00972D54" w:rsidRPr="00B2039F" w:rsidRDefault="00972D54" w:rsidP="00972D54">
            <w:pPr>
              <w:rPr>
                <w:b/>
                <w:bCs/>
                <w:sz w:val="20"/>
              </w:rPr>
            </w:pPr>
            <w:r w:rsidRPr="00B2039F">
              <w:rPr>
                <w:b/>
                <w:bCs/>
                <w:sz w:val="20"/>
              </w:rPr>
              <w:t>Engagement</w:t>
            </w:r>
          </w:p>
          <w:p w14:paraId="3920C51B" w14:textId="302FCA00" w:rsidR="00627A80" w:rsidRPr="003B694F" w:rsidRDefault="00627A80" w:rsidP="00627A80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 w:rsidRPr="003B694F">
              <w:rPr>
                <w:sz w:val="20"/>
              </w:rPr>
              <w:t xml:space="preserve">Project plans </w:t>
            </w:r>
            <w:r w:rsidR="003433F1">
              <w:rPr>
                <w:sz w:val="20"/>
              </w:rPr>
              <w:t xml:space="preserve">to be </w:t>
            </w:r>
            <w:r w:rsidRPr="003B694F">
              <w:rPr>
                <w:sz w:val="20"/>
              </w:rPr>
              <w:t xml:space="preserve">validated </w:t>
            </w:r>
            <w:r>
              <w:rPr>
                <w:sz w:val="20"/>
              </w:rPr>
              <w:t>by</w:t>
            </w:r>
            <w:r w:rsidRPr="003B694F">
              <w:rPr>
                <w:sz w:val="20"/>
              </w:rPr>
              <w:t xml:space="preserve"> ERG Senior Leaders prior to commencement, with updates provided throughout implementation.</w:t>
            </w:r>
          </w:p>
          <w:p w14:paraId="16E4697F" w14:textId="202104EE" w:rsidR="00972D54" w:rsidRPr="00B2039F" w:rsidRDefault="00D65A77" w:rsidP="00395C25">
            <w:pPr>
              <w:pStyle w:val="Bullet"/>
              <w:tabs>
                <w:tab w:val="clear" w:pos="520"/>
              </w:tabs>
              <w:ind w:left="170" w:hanging="170"/>
              <w:rPr>
                <w:sz w:val="20"/>
              </w:rPr>
            </w:pPr>
            <w:r w:rsidRPr="00B2039F">
              <w:rPr>
                <w:sz w:val="20"/>
              </w:rPr>
              <w:t xml:space="preserve">Meetings and engagement </w:t>
            </w:r>
            <w:r w:rsidR="00CA138A" w:rsidRPr="00B2039F">
              <w:rPr>
                <w:sz w:val="20"/>
              </w:rPr>
              <w:t xml:space="preserve">with project teams </w:t>
            </w:r>
            <w:r w:rsidR="00E0117D" w:rsidRPr="00B2039F">
              <w:rPr>
                <w:sz w:val="20"/>
              </w:rPr>
              <w:t xml:space="preserve">conducted in </w:t>
            </w:r>
            <w:r w:rsidRPr="00B2039F">
              <w:rPr>
                <w:sz w:val="20"/>
              </w:rPr>
              <w:t xml:space="preserve">accordance with agreed project </w:t>
            </w:r>
            <w:r w:rsidR="0023199E" w:rsidRPr="00B2039F">
              <w:rPr>
                <w:sz w:val="20"/>
              </w:rPr>
              <w:t>parameters</w:t>
            </w:r>
            <w:r w:rsidRPr="00B2039F">
              <w:rPr>
                <w:sz w:val="20"/>
              </w:rPr>
              <w:t>.</w:t>
            </w:r>
          </w:p>
        </w:tc>
      </w:tr>
    </w:tbl>
    <w:p w14:paraId="0049A707" w14:textId="77777777" w:rsidR="00A621E7" w:rsidRDefault="00A621E7" w:rsidP="007C09D6">
      <w:pPr>
        <w:spacing w:before="0" w:after="160" w:line="259" w:lineRule="auto"/>
      </w:pPr>
    </w:p>
    <w:p w14:paraId="1F3EF2DF" w14:textId="77777777" w:rsidR="00A621E7" w:rsidRDefault="00A621E7" w:rsidP="007C09D6">
      <w:pPr>
        <w:spacing w:before="0" w:after="160" w:line="259" w:lineRule="auto"/>
      </w:pPr>
    </w:p>
    <w:p w14:paraId="5702E67D" w14:textId="347FAD41" w:rsidR="00A621E7" w:rsidRDefault="00747AD1" w:rsidP="000120EE">
      <w:pPr>
        <w:pStyle w:val="Heading2"/>
        <w:spacing w:before="240"/>
        <w:ind w:right="-710"/>
      </w:pPr>
      <w:r>
        <w:br w:type="page"/>
      </w:r>
      <w:r w:rsidR="003048B1">
        <w:lastRenderedPageBreak/>
        <w:t>Relationship between ERG and other engagement mechanisms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103"/>
        <w:gridCol w:w="2409"/>
      </w:tblGrid>
      <w:tr w:rsidR="00CA2A89" w14:paraId="39F0FD7D" w14:textId="77777777" w:rsidTr="00B2039F">
        <w:tc>
          <w:tcPr>
            <w:tcW w:w="2235" w:type="dxa"/>
            <w:shd w:val="clear" w:color="auto" w:fill="auto"/>
          </w:tcPr>
          <w:p w14:paraId="4D73885A" w14:textId="28F9D1FF" w:rsidR="00CA2A89" w:rsidRPr="00395C25" w:rsidRDefault="00CA2A89" w:rsidP="003048B1">
            <w:pPr>
              <w:rPr>
                <w:b/>
                <w:bCs/>
              </w:rPr>
            </w:pPr>
            <w:r>
              <w:rPr>
                <w:b/>
                <w:bCs/>
              </w:rPr>
              <w:t>Engagement mechanism</w:t>
            </w:r>
          </w:p>
        </w:tc>
        <w:tc>
          <w:tcPr>
            <w:tcW w:w="5103" w:type="dxa"/>
            <w:shd w:val="clear" w:color="auto" w:fill="auto"/>
          </w:tcPr>
          <w:p w14:paraId="6442BBC3" w14:textId="5465F762" w:rsidR="00CA2A89" w:rsidRDefault="00121740" w:rsidP="00B2039F">
            <w:r>
              <w:rPr>
                <w:b/>
                <w:bCs/>
              </w:rPr>
              <w:t xml:space="preserve">Purpose and </w:t>
            </w:r>
            <w:r w:rsidR="00CA2A89">
              <w:rPr>
                <w:b/>
                <w:bCs/>
              </w:rPr>
              <w:t>M</w:t>
            </w:r>
            <w:r>
              <w:rPr>
                <w:b/>
                <w:bCs/>
              </w:rPr>
              <w:t>embership</w:t>
            </w:r>
          </w:p>
        </w:tc>
        <w:tc>
          <w:tcPr>
            <w:tcW w:w="2409" w:type="dxa"/>
          </w:tcPr>
          <w:p w14:paraId="6F2A0439" w14:textId="21769167" w:rsidR="00CA2A89" w:rsidRDefault="00747AD1" w:rsidP="00B2039F">
            <w:r>
              <w:rPr>
                <w:b/>
                <w:bCs/>
              </w:rPr>
              <w:t>Frequency</w:t>
            </w:r>
          </w:p>
        </w:tc>
      </w:tr>
      <w:tr w:rsidR="00CA2A89" w14:paraId="3A833036" w14:textId="0643E4F0" w:rsidTr="00B2039F">
        <w:tc>
          <w:tcPr>
            <w:tcW w:w="2235" w:type="dxa"/>
            <w:shd w:val="clear" w:color="auto" w:fill="auto"/>
          </w:tcPr>
          <w:p w14:paraId="1FED0A34" w14:textId="51F25009" w:rsidR="00CA2A89" w:rsidRPr="00395C25" w:rsidRDefault="00A84AE2" w:rsidP="003B6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Commonwealth </w:t>
            </w:r>
            <w:r w:rsidR="00121740">
              <w:rPr>
                <w:b/>
                <w:bCs/>
              </w:rPr>
              <w:t>Evaluation Reference Group</w:t>
            </w:r>
            <w:r w:rsidR="00D71C84">
              <w:rPr>
                <w:b/>
                <w:bCs/>
              </w:rPr>
              <w:t xml:space="preserve"> (ERG)</w:t>
            </w:r>
          </w:p>
        </w:tc>
        <w:tc>
          <w:tcPr>
            <w:tcW w:w="5103" w:type="dxa"/>
            <w:shd w:val="clear" w:color="auto" w:fill="auto"/>
          </w:tcPr>
          <w:p w14:paraId="07DDCD12" w14:textId="36F98448" w:rsidR="0007564B" w:rsidRPr="00395C25" w:rsidRDefault="0007564B" w:rsidP="0007564B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  <w:p w14:paraId="08693A6F" w14:textId="177A93CF" w:rsidR="00D71C84" w:rsidRDefault="00724DB2" w:rsidP="00B2039F">
            <w:pPr>
              <w:pStyle w:val="Bullet"/>
              <w:tabs>
                <w:tab w:val="clear" w:pos="520"/>
              </w:tabs>
              <w:ind w:left="170" w:hanging="170"/>
            </w:pPr>
            <w:r>
              <w:t>P</w:t>
            </w:r>
            <w:r w:rsidR="00D71C84">
              <w:t>rovide cross-government leadership</w:t>
            </w:r>
            <w:r w:rsidR="006D0ADD">
              <w:t>, strategic oversight</w:t>
            </w:r>
            <w:r w:rsidR="00B100D8">
              <w:t>,</w:t>
            </w:r>
            <w:r w:rsidR="00D71C84">
              <w:t xml:space="preserve"> and coordination to embed a culture of evaluation in the Australian Government. </w:t>
            </w:r>
          </w:p>
          <w:p w14:paraId="62FE3152" w14:textId="20166301" w:rsidR="00D71C84" w:rsidRDefault="006D0ADD" w:rsidP="00B2039F">
            <w:pPr>
              <w:pStyle w:val="Bullet"/>
              <w:tabs>
                <w:tab w:val="clear" w:pos="520"/>
              </w:tabs>
              <w:ind w:left="170" w:hanging="170"/>
            </w:pPr>
            <w:r>
              <w:t>W</w:t>
            </w:r>
            <w:r w:rsidR="00D71C84">
              <w:t>ork with the ACE to shape, prioritise, and implement staged APS evaluation reform initiatives</w:t>
            </w:r>
          </w:p>
          <w:p w14:paraId="04692032" w14:textId="6B65F604" w:rsidR="00CA2A89" w:rsidRDefault="00F665E5" w:rsidP="00A353DE">
            <w:pPr>
              <w:pStyle w:val="Bullet"/>
              <w:tabs>
                <w:tab w:val="clear" w:pos="520"/>
              </w:tabs>
              <w:ind w:left="170" w:hanging="170"/>
            </w:pPr>
            <w:r>
              <w:t>M</w:t>
            </w:r>
            <w:r w:rsidR="00D71C84">
              <w:t>aximise alignment between whole-of-government reform initiatives and the tailored needs and objectives of individual entities.</w:t>
            </w:r>
          </w:p>
          <w:p w14:paraId="5004C43A" w14:textId="575FDA6C" w:rsidR="00CA2A89" w:rsidRPr="00395C25" w:rsidRDefault="00121740" w:rsidP="003B694F">
            <w:pPr>
              <w:rPr>
                <w:b/>
                <w:bCs/>
              </w:rPr>
            </w:pPr>
            <w:r>
              <w:rPr>
                <w:b/>
                <w:bCs/>
              </w:rPr>
              <w:t>Membership</w:t>
            </w:r>
          </w:p>
          <w:p w14:paraId="61E8C966" w14:textId="7A3C67E6" w:rsidR="00E27BF2" w:rsidRPr="00395C25" w:rsidRDefault="00121740" w:rsidP="00B2039F">
            <w:pPr>
              <w:pStyle w:val="Bullet"/>
              <w:tabs>
                <w:tab w:val="clear" w:pos="520"/>
              </w:tabs>
              <w:ind w:left="170" w:hanging="170"/>
              <w:rPr>
                <w:b/>
                <w:bCs/>
              </w:rPr>
            </w:pPr>
            <w:r>
              <w:t xml:space="preserve">Senior leaders </w:t>
            </w:r>
            <w:r w:rsidR="004B6EAB">
              <w:t xml:space="preserve">and technical experts </w:t>
            </w:r>
            <w:r w:rsidR="00645DB8">
              <w:t>who have the authority, expertise, and influence to enhance evaluation practices, capabilities, and culture within their organisation</w:t>
            </w:r>
            <w:r w:rsidR="00F665E5">
              <w:t>.</w:t>
            </w:r>
          </w:p>
        </w:tc>
        <w:tc>
          <w:tcPr>
            <w:tcW w:w="2409" w:type="dxa"/>
          </w:tcPr>
          <w:p w14:paraId="50E54EA0" w14:textId="5C8E2307" w:rsidR="004B6EAB" w:rsidRDefault="0007564B" w:rsidP="00B2039F">
            <w:pPr>
              <w:pStyle w:val="Bullet"/>
              <w:tabs>
                <w:tab w:val="clear" w:pos="520"/>
              </w:tabs>
              <w:ind w:left="170" w:hanging="170"/>
            </w:pPr>
            <w:r>
              <w:t>Quarterly</w:t>
            </w:r>
            <w:r w:rsidR="00622274">
              <w:t xml:space="preserve"> meetings</w:t>
            </w:r>
            <w:r>
              <w:t xml:space="preserve">, or </w:t>
            </w:r>
            <w:r w:rsidR="00A84AE2">
              <w:t xml:space="preserve">on an </w:t>
            </w:r>
            <w:r>
              <w:t>as needed</w:t>
            </w:r>
            <w:r w:rsidR="004B6EAB">
              <w:t xml:space="preserve"> </w:t>
            </w:r>
            <w:r w:rsidR="00A84AE2">
              <w:t>basis</w:t>
            </w:r>
          </w:p>
          <w:p w14:paraId="34EF84BC" w14:textId="041D9822" w:rsidR="00AB2118" w:rsidRDefault="00AB2118" w:rsidP="00BE758B">
            <w:pPr>
              <w:pStyle w:val="Bullet"/>
              <w:tabs>
                <w:tab w:val="clear" w:pos="520"/>
              </w:tabs>
              <w:ind w:left="170" w:hanging="170"/>
            </w:pPr>
            <w:r>
              <w:t xml:space="preserve">Out of session consultation </w:t>
            </w:r>
            <w:r w:rsidR="00A84AE2">
              <w:t xml:space="preserve">as </w:t>
            </w:r>
            <w:r w:rsidR="00D71C84">
              <w:t>required</w:t>
            </w:r>
          </w:p>
          <w:p w14:paraId="75B283AE" w14:textId="1A172922" w:rsidR="00CA2A89" w:rsidRDefault="00A84AE2" w:rsidP="00BE758B">
            <w:pPr>
              <w:pStyle w:val="Bullet"/>
              <w:tabs>
                <w:tab w:val="clear" w:pos="520"/>
              </w:tabs>
              <w:ind w:left="170" w:hanging="170"/>
            </w:pPr>
            <w:r>
              <w:t>Targeted e</w:t>
            </w:r>
            <w:r w:rsidR="004B6EAB">
              <w:t>ngagement on projects</w:t>
            </w:r>
            <w:r w:rsidR="00BE758B">
              <w:t xml:space="preserve"> in accordance with agreed project plans</w:t>
            </w:r>
          </w:p>
        </w:tc>
      </w:tr>
      <w:tr w:rsidR="00CA2A89" w14:paraId="070A0E93" w14:textId="50B86260" w:rsidTr="00B2039F">
        <w:tc>
          <w:tcPr>
            <w:tcW w:w="2235" w:type="dxa"/>
            <w:shd w:val="clear" w:color="auto" w:fill="auto"/>
          </w:tcPr>
          <w:p w14:paraId="55DD5F82" w14:textId="7D58052D" w:rsidR="00CA2A89" w:rsidRPr="00395C25" w:rsidRDefault="00DE7563" w:rsidP="003B694F">
            <w:pPr>
              <w:rPr>
                <w:b/>
                <w:bCs/>
              </w:rPr>
            </w:pPr>
            <w:r>
              <w:rPr>
                <w:b/>
                <w:bCs/>
              </w:rPr>
              <w:t>Commonwealth Evaluation Units Forum</w:t>
            </w:r>
            <w:r w:rsidR="007E1160">
              <w:rPr>
                <w:b/>
                <w:bCs/>
              </w:rPr>
              <w:t>s</w:t>
            </w:r>
            <w:r w:rsidR="00475405">
              <w:rPr>
                <w:b/>
                <w:bCs/>
              </w:rPr>
              <w:t xml:space="preserve"> and Special Events</w:t>
            </w:r>
          </w:p>
        </w:tc>
        <w:tc>
          <w:tcPr>
            <w:tcW w:w="5103" w:type="dxa"/>
            <w:shd w:val="clear" w:color="auto" w:fill="auto"/>
          </w:tcPr>
          <w:p w14:paraId="60FF0912" w14:textId="77777777" w:rsidR="00DE7563" w:rsidRPr="00395C25" w:rsidRDefault="00DE7563" w:rsidP="00DE7563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  <w:p w14:paraId="689A1A54" w14:textId="36F165CA" w:rsidR="00DE7563" w:rsidRDefault="00057F04" w:rsidP="00A829E4">
            <w:pPr>
              <w:pStyle w:val="Bullet"/>
              <w:tabs>
                <w:tab w:val="clear" w:pos="520"/>
              </w:tabs>
              <w:ind w:left="170" w:hanging="170"/>
            </w:pPr>
            <w:r>
              <w:t>S</w:t>
            </w:r>
            <w:r w:rsidR="00FE5F1C">
              <w:t>hare</w:t>
            </w:r>
            <w:r w:rsidR="00654F47">
              <w:t xml:space="preserve"> </w:t>
            </w:r>
            <w:r w:rsidR="00FE5F1C">
              <w:t xml:space="preserve">information about </w:t>
            </w:r>
            <w:r w:rsidR="00A829E4">
              <w:t xml:space="preserve">the implementation of staged </w:t>
            </w:r>
            <w:r w:rsidR="00FE5F1C">
              <w:t>evaluation reform initiatives</w:t>
            </w:r>
            <w:r w:rsidR="00E73BEE">
              <w:t xml:space="preserve"> in the APS</w:t>
            </w:r>
            <w:r w:rsidR="00A829E4">
              <w:t>.</w:t>
            </w:r>
          </w:p>
          <w:p w14:paraId="7AF0FD8D" w14:textId="77777777" w:rsidR="00DE7563" w:rsidRPr="00395C25" w:rsidRDefault="00DE7563" w:rsidP="00DE7563">
            <w:pPr>
              <w:rPr>
                <w:b/>
                <w:bCs/>
              </w:rPr>
            </w:pPr>
            <w:r>
              <w:rPr>
                <w:b/>
                <w:bCs/>
              </w:rPr>
              <w:t>Membership</w:t>
            </w:r>
          </w:p>
          <w:p w14:paraId="011112C7" w14:textId="075D7D59" w:rsidR="00CA2A89" w:rsidRPr="00395C25" w:rsidRDefault="00591AC0" w:rsidP="00B2039F">
            <w:pPr>
              <w:pStyle w:val="Bullet"/>
              <w:tabs>
                <w:tab w:val="clear" w:pos="520"/>
              </w:tabs>
              <w:ind w:left="170" w:hanging="170"/>
              <w:rPr>
                <w:b/>
                <w:bCs/>
              </w:rPr>
            </w:pPr>
            <w:r>
              <w:t xml:space="preserve">All staff working in </w:t>
            </w:r>
            <w:r w:rsidR="00FE5F1C">
              <w:t xml:space="preserve">dedicated </w:t>
            </w:r>
            <w:r>
              <w:t xml:space="preserve">in-house evaluation units across the </w:t>
            </w:r>
            <w:r w:rsidR="00622274">
              <w:t>Australian Government</w:t>
            </w:r>
            <w:r w:rsidR="00D671DE">
              <w:t xml:space="preserve"> and beyond</w:t>
            </w:r>
            <w:r>
              <w:t>.</w:t>
            </w:r>
          </w:p>
        </w:tc>
        <w:tc>
          <w:tcPr>
            <w:tcW w:w="2409" w:type="dxa"/>
          </w:tcPr>
          <w:p w14:paraId="4CA2E51A" w14:textId="7D8617AB" w:rsidR="00CA2A89" w:rsidRPr="00734F71" w:rsidRDefault="009816EB" w:rsidP="00FE5F1C">
            <w:pPr>
              <w:pStyle w:val="Bullet"/>
              <w:tabs>
                <w:tab w:val="clear" w:pos="520"/>
              </w:tabs>
              <w:ind w:left="170" w:hanging="170"/>
            </w:pPr>
            <w:r>
              <w:t xml:space="preserve">1 – </w:t>
            </w:r>
            <w:r w:rsidR="00591AC0">
              <w:t xml:space="preserve">2 </w:t>
            </w:r>
            <w:r>
              <w:t>events</w:t>
            </w:r>
            <w:r w:rsidR="00591AC0">
              <w:t xml:space="preserve"> </w:t>
            </w:r>
            <w:r>
              <w:br/>
            </w:r>
            <w:r w:rsidR="00591AC0">
              <w:t>per annum</w:t>
            </w:r>
          </w:p>
        </w:tc>
      </w:tr>
      <w:tr w:rsidR="00CA2A89" w14:paraId="292AC86A" w14:textId="132B8C1C" w:rsidTr="00B2039F">
        <w:tc>
          <w:tcPr>
            <w:tcW w:w="2235" w:type="dxa"/>
            <w:shd w:val="clear" w:color="auto" w:fill="auto"/>
          </w:tcPr>
          <w:p w14:paraId="27DDCC4F" w14:textId="59A43D61" w:rsidR="00CA2A89" w:rsidRPr="00395C25" w:rsidRDefault="00591AC0" w:rsidP="003B694F">
            <w:pPr>
              <w:rPr>
                <w:b/>
                <w:bCs/>
              </w:rPr>
            </w:pPr>
            <w:r>
              <w:rPr>
                <w:b/>
                <w:bCs/>
              </w:rPr>
              <w:t>Commonwealth Evaluation Community of Practice</w:t>
            </w:r>
            <w:r w:rsidR="008F721F">
              <w:rPr>
                <w:b/>
                <w:bCs/>
              </w:rPr>
              <w:t xml:space="preserve"> (CoP)</w:t>
            </w:r>
          </w:p>
        </w:tc>
        <w:tc>
          <w:tcPr>
            <w:tcW w:w="5103" w:type="dxa"/>
            <w:shd w:val="clear" w:color="auto" w:fill="auto"/>
          </w:tcPr>
          <w:p w14:paraId="2A8AD57F" w14:textId="77777777" w:rsidR="00591AC0" w:rsidRPr="00395C25" w:rsidRDefault="00591AC0" w:rsidP="00591AC0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  <w:p w14:paraId="57A589D6" w14:textId="66ACDD3C" w:rsidR="00CC7B8F" w:rsidRPr="00B2039F" w:rsidRDefault="00D550BE" w:rsidP="00B2039F">
            <w:pPr>
              <w:pStyle w:val="Bullet"/>
              <w:tabs>
                <w:tab w:val="clear" w:pos="520"/>
              </w:tabs>
              <w:ind w:left="170" w:hanging="170"/>
            </w:pPr>
            <w:r>
              <w:t>P</w:t>
            </w:r>
            <w:r w:rsidR="00CC7B8F" w:rsidRPr="00B2039F">
              <w:t>rofessional network designed to bring together people to work collaboratively to learn, share and build the evaluation capability of its members.</w:t>
            </w:r>
          </w:p>
          <w:p w14:paraId="4CA66743" w14:textId="77777777" w:rsidR="00591AC0" w:rsidRPr="00395C25" w:rsidRDefault="00591AC0" w:rsidP="00591AC0">
            <w:pPr>
              <w:rPr>
                <w:b/>
                <w:bCs/>
              </w:rPr>
            </w:pPr>
            <w:r>
              <w:rPr>
                <w:b/>
                <w:bCs/>
              </w:rPr>
              <w:t>Membership</w:t>
            </w:r>
          </w:p>
          <w:p w14:paraId="37C55A6D" w14:textId="01A4A4A7" w:rsidR="00B97B75" w:rsidRDefault="00D71C84" w:rsidP="00591AC0">
            <w:pPr>
              <w:pStyle w:val="Bullet"/>
              <w:tabs>
                <w:tab w:val="clear" w:pos="520"/>
              </w:tabs>
              <w:ind w:left="170" w:hanging="170"/>
            </w:pPr>
            <w:r>
              <w:t>O</w:t>
            </w:r>
            <w:r w:rsidR="00B97B75" w:rsidRPr="00B2039F">
              <w:t>pen to all Commonwealth officials with a role or an interest in evaluation</w:t>
            </w:r>
            <w:r w:rsidR="00181B3E">
              <w:t xml:space="preserve"> (i.e., membership is not limited to staff working in dedicated evaluation roles/units)</w:t>
            </w:r>
            <w:r w:rsidR="00B97B75" w:rsidRPr="00B2039F">
              <w:t>.</w:t>
            </w:r>
          </w:p>
        </w:tc>
        <w:tc>
          <w:tcPr>
            <w:tcW w:w="2409" w:type="dxa"/>
          </w:tcPr>
          <w:p w14:paraId="1D8F1463" w14:textId="12BA7AA8" w:rsidR="00DB3026" w:rsidRDefault="00E21DA4" w:rsidP="00314C20">
            <w:pPr>
              <w:pStyle w:val="Bullet"/>
              <w:tabs>
                <w:tab w:val="clear" w:pos="520"/>
              </w:tabs>
              <w:ind w:left="170" w:hanging="170"/>
            </w:pPr>
            <w:r>
              <w:t>C</w:t>
            </w:r>
            <w:r w:rsidR="00314C20">
              <w:t>ommunity events</w:t>
            </w:r>
            <w:r w:rsidR="00133924">
              <w:t xml:space="preserve"> </w:t>
            </w:r>
            <w:r w:rsidR="00DB3026">
              <w:t xml:space="preserve">– online, hybrid and face-to-face </w:t>
            </w:r>
            <w:r w:rsidR="002469E2">
              <w:t>–</w:t>
            </w:r>
            <w:r w:rsidR="005315DE">
              <w:t xml:space="preserve"> </w:t>
            </w:r>
            <w:r w:rsidR="002469E2">
              <w:t xml:space="preserve">including programs delivered in an </w:t>
            </w:r>
            <w:r w:rsidR="0088456C">
              <w:t>intensive format and special events</w:t>
            </w:r>
          </w:p>
          <w:p w14:paraId="4903B8E5" w14:textId="76A306B8" w:rsidR="00314C20" w:rsidRDefault="00314C20" w:rsidP="00314C20">
            <w:pPr>
              <w:pStyle w:val="Bullet"/>
              <w:tabs>
                <w:tab w:val="clear" w:pos="520"/>
              </w:tabs>
              <w:ind w:left="170" w:hanging="170"/>
            </w:pPr>
            <w:r>
              <w:t>Online discussion fora</w:t>
            </w:r>
          </w:p>
          <w:p w14:paraId="08AAC1F3" w14:textId="1EF6F2DD" w:rsidR="00314C20" w:rsidRDefault="006939EA" w:rsidP="00314C20">
            <w:pPr>
              <w:pStyle w:val="Bullet"/>
              <w:tabs>
                <w:tab w:val="clear" w:pos="520"/>
              </w:tabs>
              <w:ind w:left="170" w:hanging="170"/>
            </w:pPr>
            <w:r>
              <w:t>Online collaborative workspace</w:t>
            </w:r>
          </w:p>
        </w:tc>
      </w:tr>
    </w:tbl>
    <w:p w14:paraId="69574E04" w14:textId="77777777" w:rsidR="000120EE" w:rsidRDefault="000120EE" w:rsidP="000120EE">
      <w:pPr>
        <w:spacing w:before="0" w:after="160" w:line="259" w:lineRule="auto"/>
      </w:pPr>
    </w:p>
    <w:p w14:paraId="56266292" w14:textId="77777777" w:rsidR="000120EE" w:rsidRPr="000120EE" w:rsidRDefault="000120EE" w:rsidP="00B2039F"/>
    <w:p w14:paraId="44E35CC5" w14:textId="6DF1CB68" w:rsidR="00C01C5D" w:rsidRDefault="00DE792A" w:rsidP="00B2039F">
      <w:pPr>
        <w:pStyle w:val="Heading3"/>
        <w:spacing w:after="240"/>
      </w:pPr>
      <w:r>
        <w:br w:type="page"/>
      </w:r>
      <w:r w:rsidRPr="006757C2">
        <w:rPr>
          <w:u w:val="single"/>
        </w:rPr>
        <w:lastRenderedPageBreak/>
        <w:t>Attachment B</w:t>
      </w:r>
      <w:r w:rsidRPr="00B2039F">
        <w:rPr>
          <w:u w:val="single"/>
        </w:rPr>
        <w:t xml:space="preserve"> – Membership</w:t>
      </w:r>
    </w:p>
    <w:p w14:paraId="616ACEC7" w14:textId="77777777" w:rsidR="006757C2" w:rsidRDefault="006757C2" w:rsidP="006757C2">
      <w:r>
        <w:t>Membership of t</w:t>
      </w:r>
      <w:r w:rsidRPr="001E3835">
        <w:t xml:space="preserve">he </w:t>
      </w:r>
      <w:r>
        <w:t>Reference Group</w:t>
      </w:r>
      <w:r w:rsidRPr="001E3835">
        <w:t xml:space="preserve"> </w:t>
      </w:r>
      <w:r>
        <w:t>will comprise of representatives of the following entities:</w:t>
      </w:r>
    </w:p>
    <w:p w14:paraId="212ED995" w14:textId="40A935BB" w:rsidR="00093F83" w:rsidRDefault="00093F83" w:rsidP="00B2039F">
      <w:pPr>
        <w:pStyle w:val="ListParagraph"/>
        <w:spacing w:before="0" w:after="160" w:line="259" w:lineRule="auto"/>
        <w:ind w:left="0"/>
      </w:pPr>
    </w:p>
    <w:p w14:paraId="7404AFD2" w14:textId="63DF33B9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Australian Centre for Evaluation (Department of the Treasury)</w:t>
      </w:r>
      <w:r w:rsidR="00E84843">
        <w:t xml:space="preserve"> – Chair</w:t>
      </w:r>
    </w:p>
    <w:p w14:paraId="2E151F45" w14:textId="089DFB9A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Attorney General’s Department</w:t>
      </w:r>
    </w:p>
    <w:p w14:paraId="4768C8AA" w14:textId="21C47D08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Australian Bureau of Statistics</w:t>
      </w:r>
    </w:p>
    <w:p w14:paraId="1C7AB0B9" w14:textId="57633650" w:rsidR="00465B9B" w:rsidRDefault="00465B9B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Australian Institute of Family Studies</w:t>
      </w:r>
    </w:p>
    <w:p w14:paraId="61E5EC62" w14:textId="1BFE96D8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Australian Taxation Office</w:t>
      </w:r>
    </w:p>
    <w:p w14:paraId="3C4225B2" w14:textId="1B5FD51E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Agriculture, Fisheries and Forestry</w:t>
      </w:r>
    </w:p>
    <w:p w14:paraId="169D01AB" w14:textId="68FF981B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Defence</w:t>
      </w:r>
    </w:p>
    <w:p w14:paraId="571E6EA5" w14:textId="3B4C7B30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Education</w:t>
      </w:r>
    </w:p>
    <w:p w14:paraId="7CC043AF" w14:textId="4A0C7EFE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Employment and Workplace Relations</w:t>
      </w:r>
    </w:p>
    <w:p w14:paraId="2E235ED5" w14:textId="0601DF19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Foreign Affairs</w:t>
      </w:r>
    </w:p>
    <w:p w14:paraId="15323281" w14:textId="17FC0517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Health and Aged Care</w:t>
      </w:r>
    </w:p>
    <w:p w14:paraId="3B032577" w14:textId="41812682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Home Affairs</w:t>
      </w:r>
    </w:p>
    <w:p w14:paraId="4374412E" w14:textId="7FCA2DBF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  <w:ind w:right="-852"/>
      </w:pPr>
      <w:r>
        <w:t xml:space="preserve">Department of Infrastructure, </w:t>
      </w:r>
      <w:r w:rsidR="00E84843">
        <w:t xml:space="preserve">Transport, </w:t>
      </w:r>
      <w:r w:rsidR="00F219B1">
        <w:t xml:space="preserve">Regional Development, </w:t>
      </w:r>
      <w:r w:rsidR="00E84843">
        <w:t>Communications and</w:t>
      </w:r>
      <w:r w:rsidR="00F219B1">
        <w:t xml:space="preserve"> </w:t>
      </w:r>
      <w:r w:rsidR="00E84843">
        <w:t>the Arts</w:t>
      </w:r>
    </w:p>
    <w:p w14:paraId="2910D589" w14:textId="04438833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Industry, Science and Resources</w:t>
      </w:r>
    </w:p>
    <w:p w14:paraId="1E73D5A8" w14:textId="6F86C35F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Social Services</w:t>
      </w:r>
    </w:p>
    <w:p w14:paraId="5D046E80" w14:textId="23761DB7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Department of Veterans’ Affairs</w:t>
      </w:r>
    </w:p>
    <w:p w14:paraId="19EFFB00" w14:textId="23F53D71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Indigenous Business Australia</w:t>
      </w:r>
    </w:p>
    <w:p w14:paraId="2122E752" w14:textId="391DBDB8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National Emergency Management Agency</w:t>
      </w:r>
    </w:p>
    <w:p w14:paraId="513ABC76" w14:textId="543BB81E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National Indigenous Australian’s Agency</w:t>
      </w:r>
    </w:p>
    <w:p w14:paraId="555CD4C8" w14:textId="77777777" w:rsidR="00093F83" w:rsidRDefault="00093F83" w:rsidP="00B2039F">
      <w:pPr>
        <w:pStyle w:val="ListParagraph"/>
        <w:numPr>
          <w:ilvl w:val="0"/>
          <w:numId w:val="27"/>
        </w:numPr>
        <w:spacing w:before="0" w:after="160" w:line="259" w:lineRule="auto"/>
      </w:pPr>
      <w:r>
        <w:t>Services Australia</w:t>
      </w:r>
    </w:p>
    <w:p w14:paraId="058EFCAA" w14:textId="77777777" w:rsidR="00DE792A" w:rsidRDefault="006757C2" w:rsidP="006757C2">
      <w:pPr>
        <w:spacing w:before="0" w:after="160" w:line="259" w:lineRule="auto"/>
      </w:pPr>
      <w:r>
        <w:t xml:space="preserve">Membership of the Reference Group is subject to change </w:t>
      </w:r>
      <w:r w:rsidR="00797CE1">
        <w:t>over time</w:t>
      </w:r>
      <w:r>
        <w:t>.</w:t>
      </w:r>
    </w:p>
    <w:p w14:paraId="597FADEB" w14:textId="54853554" w:rsidR="00F56700" w:rsidRDefault="00F56700" w:rsidP="00B2039F">
      <w:pPr>
        <w:spacing w:before="0" w:after="160" w:line="259" w:lineRule="auto"/>
        <w:ind w:right="-852"/>
      </w:pPr>
      <w:r>
        <w:t xml:space="preserve">A detailed </w:t>
      </w:r>
      <w:r w:rsidR="00920F9F">
        <w:t>Member List</w:t>
      </w:r>
      <w:r>
        <w:t xml:space="preserve"> </w:t>
      </w:r>
      <w:r w:rsidR="00D72ADA">
        <w:t xml:space="preserve">for the Reference Group </w:t>
      </w:r>
      <w:r>
        <w:t xml:space="preserve">is </w:t>
      </w:r>
      <w:r w:rsidR="000E5543">
        <w:t>maintained by the ACE</w:t>
      </w:r>
      <w:r>
        <w:t>.</w:t>
      </w:r>
    </w:p>
    <w:p w14:paraId="123FF800" w14:textId="77777777" w:rsidR="00791D5E" w:rsidRDefault="00791D5E" w:rsidP="006757C2">
      <w:pPr>
        <w:spacing w:before="0" w:after="160" w:line="259" w:lineRule="auto"/>
      </w:pPr>
    </w:p>
    <w:sectPr w:rsidR="00791D5E" w:rsidSect="00291F1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701" w:bottom="1701" w:left="1701" w:header="567" w:footer="425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2ADC" w14:textId="77777777" w:rsidR="009A05ED" w:rsidRDefault="009A05ED" w:rsidP="00886BC4">
      <w:r>
        <w:separator/>
      </w:r>
    </w:p>
    <w:p w14:paraId="5DE31003" w14:textId="77777777" w:rsidR="009A05ED" w:rsidRDefault="009A05ED"/>
  </w:endnote>
  <w:endnote w:type="continuationSeparator" w:id="0">
    <w:p w14:paraId="36725972" w14:textId="77777777" w:rsidR="009A05ED" w:rsidRDefault="009A05ED" w:rsidP="00886BC4">
      <w:r>
        <w:continuationSeparator/>
      </w:r>
    </w:p>
    <w:p w14:paraId="5BDE4C58" w14:textId="77777777" w:rsidR="009A05ED" w:rsidRDefault="009A05ED"/>
  </w:endnote>
  <w:endnote w:type="continuationNotice" w:id="1">
    <w:p w14:paraId="46EFCD1A" w14:textId="77777777" w:rsidR="009A05ED" w:rsidRDefault="009A0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9919" w14:textId="2219D036" w:rsidR="00A15DB7" w:rsidRPr="00291F10" w:rsidRDefault="006D4099" w:rsidP="00291F10">
    <w:pPr>
      <w:pStyle w:val="Footer"/>
      <w:tabs>
        <w:tab w:val="clear" w:pos="4320"/>
        <w:tab w:val="clear" w:pos="8640"/>
        <w:tab w:val="center" w:pos="7938"/>
      </w:tabs>
      <w:ind w:left="102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B699F" wp14:editId="5CBD09A0">
          <wp:simplePos x="0" y="0"/>
          <wp:positionH relativeFrom="page">
            <wp:posOffset>10795</wp:posOffset>
          </wp:positionH>
          <wp:positionV relativeFrom="page">
            <wp:posOffset>9864725</wp:posOffset>
          </wp:positionV>
          <wp:extent cx="7524115" cy="8242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F10" w:rsidRPr="00395C25">
      <w:rPr>
        <w:rStyle w:val="ui-provider"/>
        <w:color w:val="FFFFFF"/>
      </w:rPr>
      <w:t>evaluation.treasury.gov.au</w:t>
    </w:r>
    <w:r w:rsidR="00291F10">
      <w:tab/>
    </w:r>
    <w:r w:rsidR="00291F10" w:rsidRPr="00395C25">
      <w:rPr>
        <w:color w:val="FFFFFF"/>
      </w:rPr>
      <w:t xml:space="preserve">Last updated: </w:t>
    </w:r>
    <w:r w:rsidR="00532F44">
      <w:rPr>
        <w:color w:val="FFFFFF"/>
      </w:rPr>
      <w:t>1</w:t>
    </w:r>
    <w:r w:rsidR="00B12C14">
      <w:rPr>
        <w:color w:val="FFFFFF"/>
      </w:rPr>
      <w:t>1 June 2024</w:t>
    </w:r>
    <w:r w:rsidR="00291F10" w:rsidRPr="00395C25">
      <w:rPr>
        <w:color w:val="FFFFFF"/>
      </w:rPr>
      <w:t xml:space="preserve"> |  </w:t>
    </w:r>
    <w:r w:rsidR="00291F10" w:rsidRPr="00A32C73">
      <w:rPr>
        <w:rStyle w:val="Strong"/>
      </w:rPr>
      <w:fldChar w:fldCharType="begin"/>
    </w:r>
    <w:r w:rsidR="00291F10" w:rsidRPr="00A32C73">
      <w:rPr>
        <w:rStyle w:val="Strong"/>
      </w:rPr>
      <w:instrText xml:space="preserve"> PAGE   \* MERGEFORMAT </w:instrText>
    </w:r>
    <w:r w:rsidR="00291F10" w:rsidRPr="00A32C73">
      <w:rPr>
        <w:rStyle w:val="Strong"/>
      </w:rPr>
      <w:fldChar w:fldCharType="separate"/>
    </w:r>
    <w:r w:rsidR="00291F10">
      <w:rPr>
        <w:rStyle w:val="Strong"/>
      </w:rPr>
      <w:t>1</w:t>
    </w:r>
    <w:r w:rsidR="00291F10" w:rsidRPr="00A32C73">
      <w:rPr>
        <w:rStyle w:val="Stron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C5E6" w14:textId="0E746380" w:rsidR="00300C95" w:rsidRPr="00A32C73" w:rsidRDefault="006D4099" w:rsidP="00291F10">
    <w:pPr>
      <w:pStyle w:val="Footer"/>
      <w:tabs>
        <w:tab w:val="clear" w:pos="4320"/>
        <w:tab w:val="clear" w:pos="8640"/>
        <w:tab w:val="center" w:pos="7938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46893" wp14:editId="56E1D65D">
          <wp:simplePos x="0" y="0"/>
          <wp:positionH relativeFrom="page">
            <wp:posOffset>21590</wp:posOffset>
          </wp:positionH>
          <wp:positionV relativeFrom="page">
            <wp:posOffset>9864725</wp:posOffset>
          </wp:positionV>
          <wp:extent cx="7524115" cy="82423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C73" w:rsidRPr="00395C25">
      <w:rPr>
        <w:rStyle w:val="ui-provider"/>
        <w:color w:val="FFFFFF"/>
      </w:rPr>
      <w:t>evaluation.treasury.gov.au</w:t>
    </w:r>
    <w:r w:rsidR="00A32C73">
      <w:tab/>
    </w:r>
    <w:r w:rsidR="00A32C73" w:rsidRPr="00395C25">
      <w:rPr>
        <w:color w:val="FFFFFF"/>
      </w:rPr>
      <w:t xml:space="preserve">Last updated: </w:t>
    </w:r>
    <w:r w:rsidR="00532F44">
      <w:rPr>
        <w:color w:val="FFFFFF"/>
      </w:rPr>
      <w:t>1</w:t>
    </w:r>
    <w:r w:rsidR="00B12C14">
      <w:rPr>
        <w:color w:val="FFFFFF"/>
      </w:rPr>
      <w:t>1 June 2024</w:t>
    </w:r>
    <w:r w:rsidR="00A32C73" w:rsidRPr="00395C25">
      <w:rPr>
        <w:color w:val="FFFFFF"/>
      </w:rPr>
      <w:t xml:space="preserve"> |  </w:t>
    </w:r>
    <w:r w:rsidR="00A32C73" w:rsidRPr="00A32C73">
      <w:rPr>
        <w:rStyle w:val="Strong"/>
      </w:rPr>
      <w:fldChar w:fldCharType="begin"/>
    </w:r>
    <w:r w:rsidR="00A32C73" w:rsidRPr="00A32C73">
      <w:rPr>
        <w:rStyle w:val="Strong"/>
      </w:rPr>
      <w:instrText xml:space="preserve"> PAGE   \* MERGEFORMAT </w:instrText>
    </w:r>
    <w:r w:rsidR="00A32C73" w:rsidRPr="00A32C73">
      <w:rPr>
        <w:rStyle w:val="Strong"/>
      </w:rPr>
      <w:fldChar w:fldCharType="separate"/>
    </w:r>
    <w:r w:rsidR="00A32C73" w:rsidRPr="00A32C73">
      <w:rPr>
        <w:rStyle w:val="Strong"/>
      </w:rPr>
      <w:t>2</w:t>
    </w:r>
    <w:r w:rsidR="00A32C73" w:rsidRPr="00A32C73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31FE" w14:textId="77777777" w:rsidR="009A05ED" w:rsidRDefault="009A05ED" w:rsidP="00886BC4">
      <w:r>
        <w:separator/>
      </w:r>
    </w:p>
    <w:p w14:paraId="7296DB4D" w14:textId="77777777" w:rsidR="009A05ED" w:rsidRDefault="009A05ED"/>
  </w:footnote>
  <w:footnote w:type="continuationSeparator" w:id="0">
    <w:p w14:paraId="51DD44A6" w14:textId="77777777" w:rsidR="009A05ED" w:rsidRDefault="009A05ED" w:rsidP="00886BC4">
      <w:r>
        <w:continuationSeparator/>
      </w:r>
    </w:p>
    <w:p w14:paraId="309F7CC2" w14:textId="77777777" w:rsidR="009A05ED" w:rsidRDefault="009A05ED"/>
  </w:footnote>
  <w:footnote w:type="continuationNotice" w:id="1">
    <w:p w14:paraId="1D91019B" w14:textId="77777777" w:rsidR="009A05ED" w:rsidRDefault="009A05ED"/>
  </w:footnote>
  <w:footnote w:id="2">
    <w:p w14:paraId="4DCCC4F7" w14:textId="29157939" w:rsidR="00C508E3" w:rsidRDefault="00C508E3" w:rsidP="00C508E3">
      <w:pPr>
        <w:pStyle w:val="FootnoteText"/>
        <w:ind w:right="-710"/>
      </w:pPr>
      <w:r>
        <w:rPr>
          <w:rStyle w:val="FootnoteReference"/>
        </w:rPr>
        <w:footnoteRef/>
      </w:r>
      <w:r>
        <w:t xml:space="preserve"> Pending amendments to </w:t>
      </w:r>
      <w:r w:rsidR="00377853">
        <w:t xml:space="preserve">the </w:t>
      </w:r>
      <w:r w:rsidRPr="00D56E7D">
        <w:rPr>
          <w:i/>
          <w:iCs/>
        </w:rPr>
        <w:t>P</w:t>
      </w:r>
      <w:r w:rsidR="00377853" w:rsidRPr="00D56E7D">
        <w:rPr>
          <w:i/>
          <w:iCs/>
        </w:rPr>
        <w:t xml:space="preserve">ublic </w:t>
      </w:r>
      <w:r w:rsidRPr="00D56E7D">
        <w:rPr>
          <w:i/>
          <w:iCs/>
        </w:rPr>
        <w:t>S</w:t>
      </w:r>
      <w:r w:rsidR="00377853" w:rsidRPr="00D56E7D">
        <w:rPr>
          <w:i/>
          <w:iCs/>
        </w:rPr>
        <w:t>ervice</w:t>
      </w:r>
      <w:r w:rsidRPr="00D56E7D">
        <w:rPr>
          <w:i/>
          <w:iCs/>
        </w:rPr>
        <w:t xml:space="preserve"> Act </w:t>
      </w:r>
      <w:r w:rsidR="00D56E7D" w:rsidRPr="00D56E7D">
        <w:rPr>
          <w:i/>
          <w:iCs/>
        </w:rPr>
        <w:t>1999</w:t>
      </w:r>
      <w:r w:rsidR="00D56E7D">
        <w:t xml:space="preserve"> </w:t>
      </w:r>
      <w:r w:rsidR="005E6277">
        <w:t>taking effect</w:t>
      </w:r>
      <w:r w:rsidR="00CC24EE">
        <w:t xml:space="preserve"> (assent</w:t>
      </w:r>
      <w:r w:rsidR="00F150D5">
        <w:t>ed</w:t>
      </w:r>
      <w:r w:rsidR="0035226F">
        <w:t xml:space="preserve"> on</w:t>
      </w:r>
      <w:r w:rsidR="00CC24EE">
        <w:t xml:space="preserve"> 11 June 2024)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1759" w14:textId="1CB3C790" w:rsidR="003F12A5" w:rsidRPr="007F53C0" w:rsidRDefault="003F12A5" w:rsidP="007F53C0">
    <w:pPr>
      <w:pStyle w:val="Header"/>
      <w:rPr>
        <w:noProof/>
      </w:rPr>
    </w:pPr>
    <w:r>
      <w:t xml:space="preserve">ERG </w:t>
    </w:r>
    <w:r>
      <w:rPr>
        <w:noProof/>
      </w:rPr>
      <w:t>Terms of Reference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22FB" w14:textId="6D5777C3" w:rsidR="00300C95" w:rsidRDefault="006D4099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0" wp14:anchorId="734FC423" wp14:editId="278D288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85" cy="2811780"/>
          <wp:effectExtent l="0" t="0" r="0" b="0"/>
          <wp:wrapNone/>
          <wp:docPr id="4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281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226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EE2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A9F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CE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603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6A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8EF74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70863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1C6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0A2F6B80"/>
    <w:multiLevelType w:val="multilevel"/>
    <w:tmpl w:val="2B02617A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416526"/>
    <w:multiLevelType w:val="hybridMultilevel"/>
    <w:tmpl w:val="2B50FE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91BB5"/>
    <w:multiLevelType w:val="hybridMultilevel"/>
    <w:tmpl w:val="827AFB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A1AEE"/>
    <w:multiLevelType w:val="hybridMultilevel"/>
    <w:tmpl w:val="8C8680AA"/>
    <w:lvl w:ilvl="0" w:tplc="71A43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A49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5C1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78F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54A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780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58F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CA7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B8A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7F25183"/>
    <w:multiLevelType w:val="hybridMultilevel"/>
    <w:tmpl w:val="C9CC1206"/>
    <w:lvl w:ilvl="0" w:tplc="D39C8C82">
      <w:start w:val="1"/>
      <w:numFmt w:val="decimal"/>
      <w:lvlText w:val="%1."/>
      <w:lvlJc w:val="left"/>
      <w:pPr>
        <w:ind w:left="1440" w:hanging="360"/>
      </w:pPr>
    </w:lvl>
    <w:lvl w:ilvl="1" w:tplc="EC96EA56">
      <w:start w:val="1"/>
      <w:numFmt w:val="decimal"/>
      <w:lvlText w:val="%2."/>
      <w:lvlJc w:val="left"/>
      <w:pPr>
        <w:ind w:left="1440" w:hanging="360"/>
      </w:pPr>
    </w:lvl>
    <w:lvl w:ilvl="2" w:tplc="6F98B5D4">
      <w:start w:val="1"/>
      <w:numFmt w:val="decimal"/>
      <w:lvlText w:val="%3."/>
      <w:lvlJc w:val="left"/>
      <w:pPr>
        <w:ind w:left="1440" w:hanging="360"/>
      </w:pPr>
    </w:lvl>
    <w:lvl w:ilvl="3" w:tplc="17E27DE2">
      <w:start w:val="1"/>
      <w:numFmt w:val="decimal"/>
      <w:lvlText w:val="%4."/>
      <w:lvlJc w:val="left"/>
      <w:pPr>
        <w:ind w:left="1440" w:hanging="360"/>
      </w:pPr>
    </w:lvl>
    <w:lvl w:ilvl="4" w:tplc="BFAE0A12">
      <w:start w:val="1"/>
      <w:numFmt w:val="decimal"/>
      <w:lvlText w:val="%5."/>
      <w:lvlJc w:val="left"/>
      <w:pPr>
        <w:ind w:left="1440" w:hanging="360"/>
      </w:pPr>
    </w:lvl>
    <w:lvl w:ilvl="5" w:tplc="CE7E5A8E">
      <w:start w:val="1"/>
      <w:numFmt w:val="decimal"/>
      <w:lvlText w:val="%6."/>
      <w:lvlJc w:val="left"/>
      <w:pPr>
        <w:ind w:left="1440" w:hanging="360"/>
      </w:pPr>
    </w:lvl>
    <w:lvl w:ilvl="6" w:tplc="57DC2058">
      <w:start w:val="1"/>
      <w:numFmt w:val="decimal"/>
      <w:lvlText w:val="%7."/>
      <w:lvlJc w:val="left"/>
      <w:pPr>
        <w:ind w:left="1440" w:hanging="360"/>
      </w:pPr>
    </w:lvl>
    <w:lvl w:ilvl="7" w:tplc="4F6099C6">
      <w:start w:val="1"/>
      <w:numFmt w:val="decimal"/>
      <w:lvlText w:val="%8."/>
      <w:lvlJc w:val="left"/>
      <w:pPr>
        <w:ind w:left="1440" w:hanging="360"/>
      </w:pPr>
    </w:lvl>
    <w:lvl w:ilvl="8" w:tplc="C1B869F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296002F7"/>
    <w:multiLevelType w:val="hybridMultilevel"/>
    <w:tmpl w:val="FBA6C866"/>
    <w:lvl w:ilvl="0" w:tplc="9E409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F22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85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064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A82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462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CE9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9A8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263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0" w15:restartNumberingAfterBreak="0">
    <w:nsid w:val="347B0960"/>
    <w:multiLevelType w:val="multilevel"/>
    <w:tmpl w:val="2B02617A"/>
    <w:numStyleLink w:val="Numberedlist"/>
  </w:abstractNum>
  <w:abstractNum w:abstractNumId="21" w15:restartNumberingAfterBreak="0">
    <w:nsid w:val="36477FC4"/>
    <w:multiLevelType w:val="hybridMultilevel"/>
    <w:tmpl w:val="AF500662"/>
    <w:lvl w:ilvl="0" w:tplc="486CC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C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7A6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696B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E09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2EB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985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CAC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2E4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E895BE7"/>
    <w:multiLevelType w:val="hybridMultilevel"/>
    <w:tmpl w:val="D130A5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D67AB2"/>
    <w:multiLevelType w:val="hybridMultilevel"/>
    <w:tmpl w:val="C15ED74A"/>
    <w:lvl w:ilvl="0" w:tplc="E4FC4CC0">
      <w:start w:val="1"/>
      <w:numFmt w:val="decimal"/>
      <w:lvlText w:val="%1."/>
      <w:lvlJc w:val="left"/>
      <w:pPr>
        <w:ind w:left="720" w:hanging="360"/>
      </w:pPr>
    </w:lvl>
    <w:lvl w:ilvl="1" w:tplc="E10AF8E4">
      <w:start w:val="1"/>
      <w:numFmt w:val="decimal"/>
      <w:lvlText w:val="%2."/>
      <w:lvlJc w:val="left"/>
      <w:pPr>
        <w:ind w:left="720" w:hanging="360"/>
      </w:pPr>
    </w:lvl>
    <w:lvl w:ilvl="2" w:tplc="101EAEDE">
      <w:start w:val="1"/>
      <w:numFmt w:val="decimal"/>
      <w:lvlText w:val="%3."/>
      <w:lvlJc w:val="left"/>
      <w:pPr>
        <w:ind w:left="720" w:hanging="360"/>
      </w:pPr>
    </w:lvl>
    <w:lvl w:ilvl="3" w:tplc="0D92F00A">
      <w:start w:val="1"/>
      <w:numFmt w:val="decimal"/>
      <w:lvlText w:val="%4."/>
      <w:lvlJc w:val="left"/>
      <w:pPr>
        <w:ind w:left="720" w:hanging="360"/>
      </w:pPr>
    </w:lvl>
    <w:lvl w:ilvl="4" w:tplc="567EA94A">
      <w:start w:val="1"/>
      <w:numFmt w:val="decimal"/>
      <w:lvlText w:val="%5."/>
      <w:lvlJc w:val="left"/>
      <w:pPr>
        <w:ind w:left="720" w:hanging="360"/>
      </w:pPr>
    </w:lvl>
    <w:lvl w:ilvl="5" w:tplc="17521E7E">
      <w:start w:val="1"/>
      <w:numFmt w:val="decimal"/>
      <w:lvlText w:val="%6."/>
      <w:lvlJc w:val="left"/>
      <w:pPr>
        <w:ind w:left="720" w:hanging="360"/>
      </w:pPr>
    </w:lvl>
    <w:lvl w:ilvl="6" w:tplc="3DB0034E">
      <w:start w:val="1"/>
      <w:numFmt w:val="decimal"/>
      <w:lvlText w:val="%7."/>
      <w:lvlJc w:val="left"/>
      <w:pPr>
        <w:ind w:left="720" w:hanging="360"/>
      </w:pPr>
    </w:lvl>
    <w:lvl w:ilvl="7" w:tplc="258492AA">
      <w:start w:val="1"/>
      <w:numFmt w:val="decimal"/>
      <w:lvlText w:val="%8."/>
      <w:lvlJc w:val="left"/>
      <w:pPr>
        <w:ind w:left="720" w:hanging="360"/>
      </w:pPr>
    </w:lvl>
    <w:lvl w:ilvl="8" w:tplc="E668E56C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4A3B1104"/>
    <w:multiLevelType w:val="hybridMultilevel"/>
    <w:tmpl w:val="7AB028AE"/>
    <w:lvl w:ilvl="0" w:tplc="C9F8BDE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6A22"/>
    <w:multiLevelType w:val="hybridMultilevel"/>
    <w:tmpl w:val="CAAEF2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CDD714E"/>
    <w:multiLevelType w:val="hybridMultilevel"/>
    <w:tmpl w:val="86C009E6"/>
    <w:lvl w:ilvl="0" w:tplc="D21634B4">
      <w:numFmt w:val="bullet"/>
      <w:lvlText w:val="-"/>
      <w:lvlJc w:val="left"/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C534B"/>
    <w:multiLevelType w:val="hybridMultilevel"/>
    <w:tmpl w:val="35928CDC"/>
    <w:lvl w:ilvl="0" w:tplc="D21634B4">
      <w:numFmt w:val="bullet"/>
      <w:lvlText w:val="-"/>
      <w:lvlJc w:val="left"/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9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30"/>
  </w:num>
  <w:num w:numId="3">
    <w:abstractNumId w:val="28"/>
  </w:num>
  <w:num w:numId="4">
    <w:abstractNumId w:val="29"/>
  </w:num>
  <w:num w:numId="5">
    <w:abstractNumId w:val="17"/>
  </w:num>
  <w:num w:numId="6">
    <w:abstractNumId w:val="7"/>
  </w:num>
  <w:num w:numId="7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26"/>
  </w:num>
  <w:num w:numId="2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1"/>
  </w:num>
  <w:num w:numId="29">
    <w:abstractNumId w:val="20"/>
  </w:num>
  <w:num w:numId="30">
    <w:abstractNumId w:val="27"/>
  </w:num>
  <w:num w:numId="31">
    <w:abstractNumId w:val="24"/>
  </w:num>
  <w:num w:numId="32">
    <w:abstractNumId w:val="14"/>
  </w:num>
  <w:num w:numId="33">
    <w:abstractNumId w:val="22"/>
  </w:num>
  <w:num w:numId="34">
    <w:abstractNumId w:val="16"/>
  </w:num>
  <w:num w:numId="35">
    <w:abstractNumId w:val="23"/>
  </w:num>
  <w:num w:numId="36">
    <w:abstractNumId w:val="21"/>
  </w:num>
  <w:num w:numId="37">
    <w:abstractNumId w:val="15"/>
  </w:num>
  <w:num w:numId="38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3E7BC1"/>
    <w:rsid w:val="00004FA6"/>
    <w:rsid w:val="000120EE"/>
    <w:rsid w:val="00016670"/>
    <w:rsid w:val="00016B6C"/>
    <w:rsid w:val="0002151A"/>
    <w:rsid w:val="00023BA1"/>
    <w:rsid w:val="00033942"/>
    <w:rsid w:val="000421F9"/>
    <w:rsid w:val="00045C24"/>
    <w:rsid w:val="0005383C"/>
    <w:rsid w:val="00057F04"/>
    <w:rsid w:val="00060C76"/>
    <w:rsid w:val="00062CBB"/>
    <w:rsid w:val="00067E65"/>
    <w:rsid w:val="000753CE"/>
    <w:rsid w:val="0007564B"/>
    <w:rsid w:val="00077C1B"/>
    <w:rsid w:val="00093F83"/>
    <w:rsid w:val="0009415B"/>
    <w:rsid w:val="000A4D2D"/>
    <w:rsid w:val="000B1EC3"/>
    <w:rsid w:val="000B2C0C"/>
    <w:rsid w:val="000B3C90"/>
    <w:rsid w:val="000B74A2"/>
    <w:rsid w:val="000C02C9"/>
    <w:rsid w:val="000C43E1"/>
    <w:rsid w:val="000D2F73"/>
    <w:rsid w:val="000D33F2"/>
    <w:rsid w:val="000D73AD"/>
    <w:rsid w:val="000D7D2F"/>
    <w:rsid w:val="000E324C"/>
    <w:rsid w:val="000E5543"/>
    <w:rsid w:val="000E65AC"/>
    <w:rsid w:val="000F09D9"/>
    <w:rsid w:val="000F0A64"/>
    <w:rsid w:val="000F2493"/>
    <w:rsid w:val="000F2562"/>
    <w:rsid w:val="000F33C9"/>
    <w:rsid w:val="00102238"/>
    <w:rsid w:val="00105EBE"/>
    <w:rsid w:val="00106ADE"/>
    <w:rsid w:val="00110493"/>
    <w:rsid w:val="0011049B"/>
    <w:rsid w:val="001145FD"/>
    <w:rsid w:val="00115B2E"/>
    <w:rsid w:val="0011628E"/>
    <w:rsid w:val="00116CCC"/>
    <w:rsid w:val="00117DDD"/>
    <w:rsid w:val="00121740"/>
    <w:rsid w:val="00133924"/>
    <w:rsid w:val="001356F9"/>
    <w:rsid w:val="001363E7"/>
    <w:rsid w:val="001376CC"/>
    <w:rsid w:val="00140697"/>
    <w:rsid w:val="001408DF"/>
    <w:rsid w:val="0014178A"/>
    <w:rsid w:val="0014317A"/>
    <w:rsid w:val="00144B84"/>
    <w:rsid w:val="001608D6"/>
    <w:rsid w:val="00166A45"/>
    <w:rsid w:val="00171787"/>
    <w:rsid w:val="0017429E"/>
    <w:rsid w:val="00174954"/>
    <w:rsid w:val="00181B3E"/>
    <w:rsid w:val="0018236F"/>
    <w:rsid w:val="00182E9E"/>
    <w:rsid w:val="00183F40"/>
    <w:rsid w:val="00184BAF"/>
    <w:rsid w:val="00184BF1"/>
    <w:rsid w:val="0018740A"/>
    <w:rsid w:val="00187E23"/>
    <w:rsid w:val="00190D7B"/>
    <w:rsid w:val="00192367"/>
    <w:rsid w:val="001929D8"/>
    <w:rsid w:val="00195436"/>
    <w:rsid w:val="00197414"/>
    <w:rsid w:val="001A5155"/>
    <w:rsid w:val="001A5DCC"/>
    <w:rsid w:val="001B3A29"/>
    <w:rsid w:val="001B540E"/>
    <w:rsid w:val="001B68C0"/>
    <w:rsid w:val="001C2EB2"/>
    <w:rsid w:val="001C5117"/>
    <w:rsid w:val="001C78AE"/>
    <w:rsid w:val="001D45A4"/>
    <w:rsid w:val="001D5C98"/>
    <w:rsid w:val="001D7A8E"/>
    <w:rsid w:val="001E5623"/>
    <w:rsid w:val="001E6DC2"/>
    <w:rsid w:val="001E7840"/>
    <w:rsid w:val="001E7CF5"/>
    <w:rsid w:val="001F3D53"/>
    <w:rsid w:val="001F50DA"/>
    <w:rsid w:val="002023A6"/>
    <w:rsid w:val="00203245"/>
    <w:rsid w:val="002049D9"/>
    <w:rsid w:val="00205F44"/>
    <w:rsid w:val="002105F8"/>
    <w:rsid w:val="00215EE7"/>
    <w:rsid w:val="00223D87"/>
    <w:rsid w:val="002268AB"/>
    <w:rsid w:val="00226F00"/>
    <w:rsid w:val="0022749C"/>
    <w:rsid w:val="00227C77"/>
    <w:rsid w:val="0023199E"/>
    <w:rsid w:val="00233887"/>
    <w:rsid w:val="00233A88"/>
    <w:rsid w:val="00240790"/>
    <w:rsid w:val="00241B9A"/>
    <w:rsid w:val="0024226F"/>
    <w:rsid w:val="00243FE9"/>
    <w:rsid w:val="00245342"/>
    <w:rsid w:val="002462BD"/>
    <w:rsid w:val="002469E2"/>
    <w:rsid w:val="00260712"/>
    <w:rsid w:val="002614CC"/>
    <w:rsid w:val="00261C8F"/>
    <w:rsid w:val="00263339"/>
    <w:rsid w:val="0026561C"/>
    <w:rsid w:val="002743C1"/>
    <w:rsid w:val="002809F6"/>
    <w:rsid w:val="00283303"/>
    <w:rsid w:val="00287F32"/>
    <w:rsid w:val="0029134D"/>
    <w:rsid w:val="00291F10"/>
    <w:rsid w:val="002969BB"/>
    <w:rsid w:val="002978C8"/>
    <w:rsid w:val="002A0B32"/>
    <w:rsid w:val="002A4B83"/>
    <w:rsid w:val="002A6430"/>
    <w:rsid w:val="002A79C5"/>
    <w:rsid w:val="002B1693"/>
    <w:rsid w:val="002C2504"/>
    <w:rsid w:val="002C26D9"/>
    <w:rsid w:val="002D49D1"/>
    <w:rsid w:val="002F417B"/>
    <w:rsid w:val="002F6ADC"/>
    <w:rsid w:val="00300C95"/>
    <w:rsid w:val="00304244"/>
    <w:rsid w:val="003048B1"/>
    <w:rsid w:val="003054A8"/>
    <w:rsid w:val="00306770"/>
    <w:rsid w:val="00307DA3"/>
    <w:rsid w:val="00314C20"/>
    <w:rsid w:val="00327D31"/>
    <w:rsid w:val="003305CA"/>
    <w:rsid w:val="0034064A"/>
    <w:rsid w:val="003433F1"/>
    <w:rsid w:val="0034564D"/>
    <w:rsid w:val="0035226F"/>
    <w:rsid w:val="00353390"/>
    <w:rsid w:val="00357842"/>
    <w:rsid w:val="00372AC1"/>
    <w:rsid w:val="00377853"/>
    <w:rsid w:val="003802F4"/>
    <w:rsid w:val="003831AB"/>
    <w:rsid w:val="0038700A"/>
    <w:rsid w:val="00390C06"/>
    <w:rsid w:val="0039317B"/>
    <w:rsid w:val="00395C25"/>
    <w:rsid w:val="003971CB"/>
    <w:rsid w:val="003A176F"/>
    <w:rsid w:val="003A60DC"/>
    <w:rsid w:val="003A63D1"/>
    <w:rsid w:val="003C047D"/>
    <w:rsid w:val="003C4F86"/>
    <w:rsid w:val="003C5305"/>
    <w:rsid w:val="003C789B"/>
    <w:rsid w:val="003D0BC9"/>
    <w:rsid w:val="003E26C5"/>
    <w:rsid w:val="003E7BC1"/>
    <w:rsid w:val="003F12A5"/>
    <w:rsid w:val="003F2E2F"/>
    <w:rsid w:val="003F424B"/>
    <w:rsid w:val="00407EF8"/>
    <w:rsid w:val="00425E05"/>
    <w:rsid w:val="00433702"/>
    <w:rsid w:val="00442C7E"/>
    <w:rsid w:val="004476FB"/>
    <w:rsid w:val="00450CCE"/>
    <w:rsid w:val="004542B7"/>
    <w:rsid w:val="004546DC"/>
    <w:rsid w:val="00462156"/>
    <w:rsid w:val="00463D4E"/>
    <w:rsid w:val="00465B9B"/>
    <w:rsid w:val="00470BA0"/>
    <w:rsid w:val="0047507F"/>
    <w:rsid w:val="00475405"/>
    <w:rsid w:val="00477439"/>
    <w:rsid w:val="00484623"/>
    <w:rsid w:val="00485A3D"/>
    <w:rsid w:val="00486B7C"/>
    <w:rsid w:val="00487B03"/>
    <w:rsid w:val="00490C62"/>
    <w:rsid w:val="00496135"/>
    <w:rsid w:val="0049673E"/>
    <w:rsid w:val="00496C34"/>
    <w:rsid w:val="004A2AFD"/>
    <w:rsid w:val="004A37EA"/>
    <w:rsid w:val="004A4424"/>
    <w:rsid w:val="004A7A3F"/>
    <w:rsid w:val="004B08DC"/>
    <w:rsid w:val="004B1F82"/>
    <w:rsid w:val="004B27DA"/>
    <w:rsid w:val="004B56B0"/>
    <w:rsid w:val="004B6EAB"/>
    <w:rsid w:val="004C36B6"/>
    <w:rsid w:val="004C5917"/>
    <w:rsid w:val="004C5E48"/>
    <w:rsid w:val="004D0778"/>
    <w:rsid w:val="004D75F6"/>
    <w:rsid w:val="004E10BB"/>
    <w:rsid w:val="004E23EB"/>
    <w:rsid w:val="004E424B"/>
    <w:rsid w:val="004E71FE"/>
    <w:rsid w:val="004F24D0"/>
    <w:rsid w:val="004F7E97"/>
    <w:rsid w:val="00500070"/>
    <w:rsid w:val="005006BE"/>
    <w:rsid w:val="00502E10"/>
    <w:rsid w:val="00505009"/>
    <w:rsid w:val="00506900"/>
    <w:rsid w:val="00506BF4"/>
    <w:rsid w:val="00507097"/>
    <w:rsid w:val="0051006A"/>
    <w:rsid w:val="00510357"/>
    <w:rsid w:val="0051600D"/>
    <w:rsid w:val="00516FB2"/>
    <w:rsid w:val="0052428B"/>
    <w:rsid w:val="00524DCE"/>
    <w:rsid w:val="00525050"/>
    <w:rsid w:val="0053110F"/>
    <w:rsid w:val="005315DE"/>
    <w:rsid w:val="00532F44"/>
    <w:rsid w:val="00533FEF"/>
    <w:rsid w:val="00535C81"/>
    <w:rsid w:val="005419BE"/>
    <w:rsid w:val="005444B3"/>
    <w:rsid w:val="00544CC6"/>
    <w:rsid w:val="00546D8E"/>
    <w:rsid w:val="00546FDD"/>
    <w:rsid w:val="00550511"/>
    <w:rsid w:val="00551340"/>
    <w:rsid w:val="005606FD"/>
    <w:rsid w:val="005611E6"/>
    <w:rsid w:val="00565A52"/>
    <w:rsid w:val="00566AD8"/>
    <w:rsid w:val="00570B86"/>
    <w:rsid w:val="005732EB"/>
    <w:rsid w:val="005803BF"/>
    <w:rsid w:val="00581C26"/>
    <w:rsid w:val="00582301"/>
    <w:rsid w:val="00582FAD"/>
    <w:rsid w:val="00584D39"/>
    <w:rsid w:val="00585F7E"/>
    <w:rsid w:val="0058718C"/>
    <w:rsid w:val="00591AC0"/>
    <w:rsid w:val="0059441F"/>
    <w:rsid w:val="00594ABF"/>
    <w:rsid w:val="005A11E6"/>
    <w:rsid w:val="005A2484"/>
    <w:rsid w:val="005A6A61"/>
    <w:rsid w:val="005B0968"/>
    <w:rsid w:val="005B207E"/>
    <w:rsid w:val="005B2484"/>
    <w:rsid w:val="005B3871"/>
    <w:rsid w:val="005B39BA"/>
    <w:rsid w:val="005B659D"/>
    <w:rsid w:val="005B6B98"/>
    <w:rsid w:val="005B6C32"/>
    <w:rsid w:val="005C1326"/>
    <w:rsid w:val="005C3527"/>
    <w:rsid w:val="005C37BB"/>
    <w:rsid w:val="005C4B02"/>
    <w:rsid w:val="005C5D16"/>
    <w:rsid w:val="005E125F"/>
    <w:rsid w:val="005E6277"/>
    <w:rsid w:val="005E62D6"/>
    <w:rsid w:val="005F0FBF"/>
    <w:rsid w:val="006014A0"/>
    <w:rsid w:val="00605AC3"/>
    <w:rsid w:val="00610778"/>
    <w:rsid w:val="00614971"/>
    <w:rsid w:val="006154E9"/>
    <w:rsid w:val="00622274"/>
    <w:rsid w:val="00627218"/>
    <w:rsid w:val="00627A80"/>
    <w:rsid w:val="006328DB"/>
    <w:rsid w:val="006355D1"/>
    <w:rsid w:val="00635DD4"/>
    <w:rsid w:val="00637692"/>
    <w:rsid w:val="00645DB8"/>
    <w:rsid w:val="0064704A"/>
    <w:rsid w:val="00654F47"/>
    <w:rsid w:val="0066225A"/>
    <w:rsid w:val="006757C2"/>
    <w:rsid w:val="0068027E"/>
    <w:rsid w:val="006806D2"/>
    <w:rsid w:val="00684DD2"/>
    <w:rsid w:val="00687F4A"/>
    <w:rsid w:val="006916AD"/>
    <w:rsid w:val="006939EA"/>
    <w:rsid w:val="00693E02"/>
    <w:rsid w:val="00694046"/>
    <w:rsid w:val="00694B4F"/>
    <w:rsid w:val="00694DE6"/>
    <w:rsid w:val="006A118D"/>
    <w:rsid w:val="006A3972"/>
    <w:rsid w:val="006A42FF"/>
    <w:rsid w:val="006A712D"/>
    <w:rsid w:val="006D0ADD"/>
    <w:rsid w:val="006D2215"/>
    <w:rsid w:val="006D27A6"/>
    <w:rsid w:val="006D3EE7"/>
    <w:rsid w:val="006D4099"/>
    <w:rsid w:val="006D5E42"/>
    <w:rsid w:val="006D6960"/>
    <w:rsid w:val="006E101D"/>
    <w:rsid w:val="006E6F8C"/>
    <w:rsid w:val="006E76BE"/>
    <w:rsid w:val="006F0918"/>
    <w:rsid w:val="006F56A2"/>
    <w:rsid w:val="006F6E04"/>
    <w:rsid w:val="00701AD6"/>
    <w:rsid w:val="00705AD6"/>
    <w:rsid w:val="00706F90"/>
    <w:rsid w:val="007145F1"/>
    <w:rsid w:val="00717216"/>
    <w:rsid w:val="00722F56"/>
    <w:rsid w:val="00724DB2"/>
    <w:rsid w:val="00725A34"/>
    <w:rsid w:val="007343B8"/>
    <w:rsid w:val="00736715"/>
    <w:rsid w:val="00740243"/>
    <w:rsid w:val="00747AD1"/>
    <w:rsid w:val="00747D72"/>
    <w:rsid w:val="00751E60"/>
    <w:rsid w:val="007524B4"/>
    <w:rsid w:val="00753737"/>
    <w:rsid w:val="007600FA"/>
    <w:rsid w:val="007605F9"/>
    <w:rsid w:val="0076093D"/>
    <w:rsid w:val="00760E63"/>
    <w:rsid w:val="00761850"/>
    <w:rsid w:val="00761DA0"/>
    <w:rsid w:val="007622D7"/>
    <w:rsid w:val="00763E89"/>
    <w:rsid w:val="00772E22"/>
    <w:rsid w:val="0078035B"/>
    <w:rsid w:val="007825F2"/>
    <w:rsid w:val="00784A3C"/>
    <w:rsid w:val="00786A8D"/>
    <w:rsid w:val="00791D5E"/>
    <w:rsid w:val="00793BD7"/>
    <w:rsid w:val="0079466D"/>
    <w:rsid w:val="00795912"/>
    <w:rsid w:val="00797CE1"/>
    <w:rsid w:val="007A4195"/>
    <w:rsid w:val="007A6E4D"/>
    <w:rsid w:val="007B0301"/>
    <w:rsid w:val="007B6953"/>
    <w:rsid w:val="007B7784"/>
    <w:rsid w:val="007C09D6"/>
    <w:rsid w:val="007C1094"/>
    <w:rsid w:val="007C3CD0"/>
    <w:rsid w:val="007D28F1"/>
    <w:rsid w:val="007D4EB7"/>
    <w:rsid w:val="007D6F47"/>
    <w:rsid w:val="007D72AF"/>
    <w:rsid w:val="007E013D"/>
    <w:rsid w:val="007E0975"/>
    <w:rsid w:val="007E1160"/>
    <w:rsid w:val="007E36E4"/>
    <w:rsid w:val="007E5E07"/>
    <w:rsid w:val="007E7046"/>
    <w:rsid w:val="007F53C0"/>
    <w:rsid w:val="007F61E3"/>
    <w:rsid w:val="00803C03"/>
    <w:rsid w:val="00807531"/>
    <w:rsid w:val="00812864"/>
    <w:rsid w:val="008139FB"/>
    <w:rsid w:val="00824C20"/>
    <w:rsid w:val="00831D8A"/>
    <w:rsid w:val="00847719"/>
    <w:rsid w:val="00853A95"/>
    <w:rsid w:val="00855279"/>
    <w:rsid w:val="00856A94"/>
    <w:rsid w:val="008616B9"/>
    <w:rsid w:val="00880B60"/>
    <w:rsid w:val="0088159C"/>
    <w:rsid w:val="0088211A"/>
    <w:rsid w:val="0088456C"/>
    <w:rsid w:val="00884F56"/>
    <w:rsid w:val="008854F6"/>
    <w:rsid w:val="00886667"/>
    <w:rsid w:val="00886BC4"/>
    <w:rsid w:val="00896D61"/>
    <w:rsid w:val="008972E4"/>
    <w:rsid w:val="008A02F3"/>
    <w:rsid w:val="008A1C1D"/>
    <w:rsid w:val="008A41DB"/>
    <w:rsid w:val="008A48CA"/>
    <w:rsid w:val="008B2938"/>
    <w:rsid w:val="008B395C"/>
    <w:rsid w:val="008C19E7"/>
    <w:rsid w:val="008C5773"/>
    <w:rsid w:val="008D0560"/>
    <w:rsid w:val="008D0CA6"/>
    <w:rsid w:val="008D4CD0"/>
    <w:rsid w:val="008D5358"/>
    <w:rsid w:val="008E0180"/>
    <w:rsid w:val="008E04BD"/>
    <w:rsid w:val="008E35A5"/>
    <w:rsid w:val="008F0142"/>
    <w:rsid w:val="008F0B15"/>
    <w:rsid w:val="008F1AA6"/>
    <w:rsid w:val="008F2212"/>
    <w:rsid w:val="008F721F"/>
    <w:rsid w:val="008F73C8"/>
    <w:rsid w:val="008F7E69"/>
    <w:rsid w:val="00902FEF"/>
    <w:rsid w:val="00903786"/>
    <w:rsid w:val="00903AB2"/>
    <w:rsid w:val="009059E2"/>
    <w:rsid w:val="00905F29"/>
    <w:rsid w:val="0090719E"/>
    <w:rsid w:val="00907DD4"/>
    <w:rsid w:val="009109AA"/>
    <w:rsid w:val="00916019"/>
    <w:rsid w:val="00920F9F"/>
    <w:rsid w:val="0092380B"/>
    <w:rsid w:val="00926879"/>
    <w:rsid w:val="00931354"/>
    <w:rsid w:val="00933C8C"/>
    <w:rsid w:val="009367F6"/>
    <w:rsid w:val="0093741D"/>
    <w:rsid w:val="00942CB3"/>
    <w:rsid w:val="00944174"/>
    <w:rsid w:val="00951652"/>
    <w:rsid w:val="00952F2F"/>
    <w:rsid w:val="009544D8"/>
    <w:rsid w:val="00965C4B"/>
    <w:rsid w:val="00966F60"/>
    <w:rsid w:val="00972D54"/>
    <w:rsid w:val="009757BB"/>
    <w:rsid w:val="00976E68"/>
    <w:rsid w:val="0098151F"/>
    <w:rsid w:val="009816EB"/>
    <w:rsid w:val="00986A46"/>
    <w:rsid w:val="009906A6"/>
    <w:rsid w:val="00992ADC"/>
    <w:rsid w:val="009A05ED"/>
    <w:rsid w:val="009A5B4D"/>
    <w:rsid w:val="009A5EC9"/>
    <w:rsid w:val="009A6D32"/>
    <w:rsid w:val="009A71C4"/>
    <w:rsid w:val="009A7222"/>
    <w:rsid w:val="009A7424"/>
    <w:rsid w:val="009B15EC"/>
    <w:rsid w:val="009B1781"/>
    <w:rsid w:val="009B2546"/>
    <w:rsid w:val="009B464D"/>
    <w:rsid w:val="009C1F90"/>
    <w:rsid w:val="009C4634"/>
    <w:rsid w:val="009C66A3"/>
    <w:rsid w:val="009C7375"/>
    <w:rsid w:val="009D616A"/>
    <w:rsid w:val="009D718A"/>
    <w:rsid w:val="009E6061"/>
    <w:rsid w:val="009F708F"/>
    <w:rsid w:val="00A01086"/>
    <w:rsid w:val="00A05E57"/>
    <w:rsid w:val="00A1034B"/>
    <w:rsid w:val="00A10F7A"/>
    <w:rsid w:val="00A1120D"/>
    <w:rsid w:val="00A13CB3"/>
    <w:rsid w:val="00A13F0D"/>
    <w:rsid w:val="00A1521C"/>
    <w:rsid w:val="00A15DB7"/>
    <w:rsid w:val="00A17503"/>
    <w:rsid w:val="00A215B3"/>
    <w:rsid w:val="00A24D20"/>
    <w:rsid w:val="00A3068E"/>
    <w:rsid w:val="00A31B7C"/>
    <w:rsid w:val="00A32C4E"/>
    <w:rsid w:val="00A32C73"/>
    <w:rsid w:val="00A3452B"/>
    <w:rsid w:val="00A353DE"/>
    <w:rsid w:val="00A46A9A"/>
    <w:rsid w:val="00A50111"/>
    <w:rsid w:val="00A52C22"/>
    <w:rsid w:val="00A533E6"/>
    <w:rsid w:val="00A60022"/>
    <w:rsid w:val="00A621E7"/>
    <w:rsid w:val="00A6514E"/>
    <w:rsid w:val="00A667D1"/>
    <w:rsid w:val="00A74209"/>
    <w:rsid w:val="00A811BC"/>
    <w:rsid w:val="00A829E4"/>
    <w:rsid w:val="00A83395"/>
    <w:rsid w:val="00A8449C"/>
    <w:rsid w:val="00A84AE2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2118"/>
    <w:rsid w:val="00AB3D33"/>
    <w:rsid w:val="00AC1B27"/>
    <w:rsid w:val="00AC4C62"/>
    <w:rsid w:val="00AC60D4"/>
    <w:rsid w:val="00AE39EE"/>
    <w:rsid w:val="00AE53E5"/>
    <w:rsid w:val="00AE65AC"/>
    <w:rsid w:val="00AE67AA"/>
    <w:rsid w:val="00B01FAB"/>
    <w:rsid w:val="00B055BA"/>
    <w:rsid w:val="00B100D8"/>
    <w:rsid w:val="00B129C3"/>
    <w:rsid w:val="00B12C14"/>
    <w:rsid w:val="00B14115"/>
    <w:rsid w:val="00B15B56"/>
    <w:rsid w:val="00B15F19"/>
    <w:rsid w:val="00B17D5F"/>
    <w:rsid w:val="00B2039F"/>
    <w:rsid w:val="00B24C1C"/>
    <w:rsid w:val="00B32830"/>
    <w:rsid w:val="00B32F96"/>
    <w:rsid w:val="00B37102"/>
    <w:rsid w:val="00B40582"/>
    <w:rsid w:val="00B42FAF"/>
    <w:rsid w:val="00B50FEA"/>
    <w:rsid w:val="00B51175"/>
    <w:rsid w:val="00B53935"/>
    <w:rsid w:val="00B5397C"/>
    <w:rsid w:val="00B54FA9"/>
    <w:rsid w:val="00B57B0B"/>
    <w:rsid w:val="00B61345"/>
    <w:rsid w:val="00B64308"/>
    <w:rsid w:val="00B71F74"/>
    <w:rsid w:val="00B73C23"/>
    <w:rsid w:val="00B7570C"/>
    <w:rsid w:val="00B771FF"/>
    <w:rsid w:val="00B82C45"/>
    <w:rsid w:val="00B9476F"/>
    <w:rsid w:val="00B97B75"/>
    <w:rsid w:val="00BA054F"/>
    <w:rsid w:val="00BA123B"/>
    <w:rsid w:val="00BA3721"/>
    <w:rsid w:val="00BA5978"/>
    <w:rsid w:val="00BA7802"/>
    <w:rsid w:val="00BB059B"/>
    <w:rsid w:val="00BB4B21"/>
    <w:rsid w:val="00BC18BD"/>
    <w:rsid w:val="00BC47F7"/>
    <w:rsid w:val="00BC5DC0"/>
    <w:rsid w:val="00BC6017"/>
    <w:rsid w:val="00BC6F2B"/>
    <w:rsid w:val="00BC723B"/>
    <w:rsid w:val="00BD0B30"/>
    <w:rsid w:val="00BD3C26"/>
    <w:rsid w:val="00BD7EA0"/>
    <w:rsid w:val="00BE0925"/>
    <w:rsid w:val="00BE2210"/>
    <w:rsid w:val="00BE5AC7"/>
    <w:rsid w:val="00BE758B"/>
    <w:rsid w:val="00BF3E58"/>
    <w:rsid w:val="00BF4A8E"/>
    <w:rsid w:val="00BF51F3"/>
    <w:rsid w:val="00BF73E4"/>
    <w:rsid w:val="00BF75D8"/>
    <w:rsid w:val="00C013CF"/>
    <w:rsid w:val="00C01805"/>
    <w:rsid w:val="00C01C5D"/>
    <w:rsid w:val="00C03CAB"/>
    <w:rsid w:val="00C0628D"/>
    <w:rsid w:val="00C10600"/>
    <w:rsid w:val="00C23C8C"/>
    <w:rsid w:val="00C3042D"/>
    <w:rsid w:val="00C362B7"/>
    <w:rsid w:val="00C3693F"/>
    <w:rsid w:val="00C37A6A"/>
    <w:rsid w:val="00C436B8"/>
    <w:rsid w:val="00C443D7"/>
    <w:rsid w:val="00C508E3"/>
    <w:rsid w:val="00C53B9F"/>
    <w:rsid w:val="00C556A1"/>
    <w:rsid w:val="00C620FD"/>
    <w:rsid w:val="00C639E4"/>
    <w:rsid w:val="00C71CED"/>
    <w:rsid w:val="00C75043"/>
    <w:rsid w:val="00C778C6"/>
    <w:rsid w:val="00C80C62"/>
    <w:rsid w:val="00C82A8A"/>
    <w:rsid w:val="00C82FDA"/>
    <w:rsid w:val="00C85368"/>
    <w:rsid w:val="00C8634C"/>
    <w:rsid w:val="00C875B7"/>
    <w:rsid w:val="00C93A68"/>
    <w:rsid w:val="00CA138A"/>
    <w:rsid w:val="00CA168B"/>
    <w:rsid w:val="00CA2A89"/>
    <w:rsid w:val="00CA4694"/>
    <w:rsid w:val="00CB032B"/>
    <w:rsid w:val="00CB0554"/>
    <w:rsid w:val="00CB0B9E"/>
    <w:rsid w:val="00CC1136"/>
    <w:rsid w:val="00CC24EE"/>
    <w:rsid w:val="00CC5606"/>
    <w:rsid w:val="00CC7B8F"/>
    <w:rsid w:val="00CD02A5"/>
    <w:rsid w:val="00CD10E8"/>
    <w:rsid w:val="00CD7F0B"/>
    <w:rsid w:val="00CE678A"/>
    <w:rsid w:val="00CE7BDC"/>
    <w:rsid w:val="00CF1EA3"/>
    <w:rsid w:val="00CF5A2D"/>
    <w:rsid w:val="00D044DC"/>
    <w:rsid w:val="00D05A02"/>
    <w:rsid w:val="00D0725D"/>
    <w:rsid w:val="00D11F1F"/>
    <w:rsid w:val="00D11F38"/>
    <w:rsid w:val="00D11F49"/>
    <w:rsid w:val="00D14F10"/>
    <w:rsid w:val="00D16B88"/>
    <w:rsid w:val="00D17467"/>
    <w:rsid w:val="00D2150F"/>
    <w:rsid w:val="00D215DF"/>
    <w:rsid w:val="00D21B4A"/>
    <w:rsid w:val="00D31BED"/>
    <w:rsid w:val="00D333F0"/>
    <w:rsid w:val="00D3399F"/>
    <w:rsid w:val="00D33E3B"/>
    <w:rsid w:val="00D40B85"/>
    <w:rsid w:val="00D513CF"/>
    <w:rsid w:val="00D5170D"/>
    <w:rsid w:val="00D535AC"/>
    <w:rsid w:val="00D550BE"/>
    <w:rsid w:val="00D555C7"/>
    <w:rsid w:val="00D566F4"/>
    <w:rsid w:val="00D56E7D"/>
    <w:rsid w:val="00D57D33"/>
    <w:rsid w:val="00D605B9"/>
    <w:rsid w:val="00D60855"/>
    <w:rsid w:val="00D611E3"/>
    <w:rsid w:val="00D621F5"/>
    <w:rsid w:val="00D65A77"/>
    <w:rsid w:val="00D671DE"/>
    <w:rsid w:val="00D71C84"/>
    <w:rsid w:val="00D72ADA"/>
    <w:rsid w:val="00D816B4"/>
    <w:rsid w:val="00D81F86"/>
    <w:rsid w:val="00D825A8"/>
    <w:rsid w:val="00D87B12"/>
    <w:rsid w:val="00D94D0A"/>
    <w:rsid w:val="00D97215"/>
    <w:rsid w:val="00DA1490"/>
    <w:rsid w:val="00DA4C61"/>
    <w:rsid w:val="00DA69E1"/>
    <w:rsid w:val="00DB3026"/>
    <w:rsid w:val="00DC075C"/>
    <w:rsid w:val="00DC1BA2"/>
    <w:rsid w:val="00DC6FBB"/>
    <w:rsid w:val="00DD1B99"/>
    <w:rsid w:val="00DD4C39"/>
    <w:rsid w:val="00DD5D38"/>
    <w:rsid w:val="00DE05FE"/>
    <w:rsid w:val="00DE1FE0"/>
    <w:rsid w:val="00DE5EE8"/>
    <w:rsid w:val="00DE74EC"/>
    <w:rsid w:val="00DE7563"/>
    <w:rsid w:val="00DE792A"/>
    <w:rsid w:val="00DF0B01"/>
    <w:rsid w:val="00DF56B6"/>
    <w:rsid w:val="00DF5A46"/>
    <w:rsid w:val="00E0117D"/>
    <w:rsid w:val="00E02E59"/>
    <w:rsid w:val="00E04FFF"/>
    <w:rsid w:val="00E07D3B"/>
    <w:rsid w:val="00E104D2"/>
    <w:rsid w:val="00E10B5B"/>
    <w:rsid w:val="00E11105"/>
    <w:rsid w:val="00E16035"/>
    <w:rsid w:val="00E16939"/>
    <w:rsid w:val="00E1766A"/>
    <w:rsid w:val="00E21DA4"/>
    <w:rsid w:val="00E267E6"/>
    <w:rsid w:val="00E27BF2"/>
    <w:rsid w:val="00E33C57"/>
    <w:rsid w:val="00E34501"/>
    <w:rsid w:val="00E3550E"/>
    <w:rsid w:val="00E35B8F"/>
    <w:rsid w:val="00E37451"/>
    <w:rsid w:val="00E40078"/>
    <w:rsid w:val="00E4461B"/>
    <w:rsid w:val="00E4520C"/>
    <w:rsid w:val="00E51067"/>
    <w:rsid w:val="00E54DAA"/>
    <w:rsid w:val="00E550B6"/>
    <w:rsid w:val="00E62B01"/>
    <w:rsid w:val="00E64B67"/>
    <w:rsid w:val="00E669CD"/>
    <w:rsid w:val="00E70A2C"/>
    <w:rsid w:val="00E73BEE"/>
    <w:rsid w:val="00E7528D"/>
    <w:rsid w:val="00E808EB"/>
    <w:rsid w:val="00E81A92"/>
    <w:rsid w:val="00E83A1D"/>
    <w:rsid w:val="00E847A7"/>
    <w:rsid w:val="00E84843"/>
    <w:rsid w:val="00E85FF2"/>
    <w:rsid w:val="00E86CBA"/>
    <w:rsid w:val="00E879B6"/>
    <w:rsid w:val="00E90139"/>
    <w:rsid w:val="00E90E39"/>
    <w:rsid w:val="00E92AD2"/>
    <w:rsid w:val="00E93C25"/>
    <w:rsid w:val="00EA0C76"/>
    <w:rsid w:val="00EA5D8D"/>
    <w:rsid w:val="00EB1557"/>
    <w:rsid w:val="00EC2A56"/>
    <w:rsid w:val="00ED3522"/>
    <w:rsid w:val="00ED5572"/>
    <w:rsid w:val="00EE570F"/>
    <w:rsid w:val="00EE5F89"/>
    <w:rsid w:val="00EF1B2D"/>
    <w:rsid w:val="00F0196A"/>
    <w:rsid w:val="00F0244E"/>
    <w:rsid w:val="00F07B2D"/>
    <w:rsid w:val="00F150D5"/>
    <w:rsid w:val="00F172EE"/>
    <w:rsid w:val="00F21590"/>
    <w:rsid w:val="00F219B1"/>
    <w:rsid w:val="00F22FC2"/>
    <w:rsid w:val="00F248B6"/>
    <w:rsid w:val="00F26170"/>
    <w:rsid w:val="00F31637"/>
    <w:rsid w:val="00F33B9F"/>
    <w:rsid w:val="00F41932"/>
    <w:rsid w:val="00F44C22"/>
    <w:rsid w:val="00F4789A"/>
    <w:rsid w:val="00F51C00"/>
    <w:rsid w:val="00F51FDE"/>
    <w:rsid w:val="00F52E01"/>
    <w:rsid w:val="00F56700"/>
    <w:rsid w:val="00F60A64"/>
    <w:rsid w:val="00F61364"/>
    <w:rsid w:val="00F614C4"/>
    <w:rsid w:val="00F61E2F"/>
    <w:rsid w:val="00F65580"/>
    <w:rsid w:val="00F665E5"/>
    <w:rsid w:val="00F7256C"/>
    <w:rsid w:val="00F75A59"/>
    <w:rsid w:val="00F7650A"/>
    <w:rsid w:val="00F76A56"/>
    <w:rsid w:val="00F95DDF"/>
    <w:rsid w:val="00F96108"/>
    <w:rsid w:val="00FA0E7C"/>
    <w:rsid w:val="00FA51A8"/>
    <w:rsid w:val="00FA70A7"/>
    <w:rsid w:val="00FB10CF"/>
    <w:rsid w:val="00FB5337"/>
    <w:rsid w:val="00FB7AEB"/>
    <w:rsid w:val="00FC2874"/>
    <w:rsid w:val="00FC2E34"/>
    <w:rsid w:val="00FD06DF"/>
    <w:rsid w:val="00FD0B4D"/>
    <w:rsid w:val="00FE316C"/>
    <w:rsid w:val="00FE45BA"/>
    <w:rsid w:val="00FE5F1C"/>
    <w:rsid w:val="00FE7A5C"/>
    <w:rsid w:val="00FF4459"/>
    <w:rsid w:val="00FF5A1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AE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73"/>
    <w:pPr>
      <w:spacing w:before="120" w:after="120"/>
    </w:pPr>
    <w:rPr>
      <w:rFonts w:ascii="Calibri Light" w:eastAsia="Times New Roman" w:hAnsi="Calibri Light"/>
      <w:sz w:val="22"/>
    </w:rPr>
  </w:style>
  <w:style w:type="paragraph" w:styleId="Heading1">
    <w:name w:val="heading 1"/>
    <w:basedOn w:val="Normal"/>
    <w:next w:val="Normal"/>
    <w:link w:val="Heading1Char"/>
    <w:rsid w:val="00812864"/>
    <w:pPr>
      <w:keepNext/>
      <w:spacing w:before="560" w:line="460" w:lineRule="exact"/>
      <w:outlineLvl w:val="0"/>
    </w:pPr>
    <w:rPr>
      <w:rFonts w:ascii="Calibri" w:hAnsi="Calibri" w:cs="Arial"/>
      <w:b/>
      <w:color w:val="2C384A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510357"/>
    <w:pPr>
      <w:keepNext/>
      <w:spacing w:before="360" w:line="460" w:lineRule="exact"/>
      <w:outlineLvl w:val="1"/>
    </w:pPr>
    <w:rPr>
      <w:rFonts w:ascii="Calibri" w:hAnsi="Calibri" w:cs="Arial"/>
      <w:iCs/>
      <w:color w:val="5D779D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062CBB"/>
    <w:pPr>
      <w:keepNext/>
      <w:spacing w:before="320" w:after="0" w:line="276" w:lineRule="auto"/>
      <w:outlineLvl w:val="2"/>
    </w:pPr>
    <w:rPr>
      <w:rFonts w:ascii="Calibri" w:hAnsi="Calibri" w:cs="Arial"/>
      <w:b/>
      <w:color w:val="2C384A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D0BC9"/>
    <w:pPr>
      <w:keepNext/>
      <w:spacing w:before="280" w:after="0" w:line="276" w:lineRule="auto"/>
      <w:outlineLvl w:val="3"/>
    </w:pPr>
    <w:rPr>
      <w:rFonts w:cs="Arial"/>
      <w:color w:val="5D779D"/>
      <w:kern w:val="32"/>
      <w:sz w:val="24"/>
      <w:szCs w:val="26"/>
    </w:rPr>
  </w:style>
  <w:style w:type="paragraph" w:styleId="Heading5">
    <w:name w:val="heading 5"/>
    <w:basedOn w:val="Normal"/>
    <w:next w:val="Normal"/>
    <w:link w:val="Heading5Char"/>
    <w:rsid w:val="00062CBB"/>
    <w:pPr>
      <w:keepNext/>
      <w:spacing w:before="240" w:after="0" w:line="276" w:lineRule="auto"/>
      <w:outlineLvl w:val="4"/>
    </w:pPr>
    <w:rPr>
      <w:rFonts w:ascii="Calibri" w:hAnsi="Calibri" w:cs="Arial"/>
      <w:b/>
      <w:iCs/>
      <w:color w:val="2C384A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062CBB"/>
    <w:pPr>
      <w:keepNext/>
      <w:spacing w:after="0" w:line="276" w:lineRule="auto"/>
      <w:outlineLvl w:val="5"/>
    </w:pPr>
    <w:rPr>
      <w:rFonts w:cs="Arial"/>
      <w:color w:val="2C384A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="Calibri" w:eastAsia="SimHei" w:hAnsi="Calibri"/>
      <w:iCs/>
      <w:color w:val="161B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="Calibri" w:eastAsia="SimHei" w:hAnsi="Calibr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="Calibri" w:eastAsia="SimHei" w:hAnsi="Calibri"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12864"/>
    <w:pPr>
      <w:spacing w:before="660" w:after="1500"/>
    </w:pPr>
    <w:rPr>
      <w:rFonts w:ascii="Calibri" w:hAnsi="Calibri"/>
      <w:b/>
      <w:color w:val="FFFFFF"/>
      <w:spacing w:val="-14"/>
      <w:sz w:val="56"/>
      <w:szCs w:val="68"/>
    </w:rPr>
  </w:style>
  <w:style w:type="character" w:customStyle="1" w:styleId="Heading1Char">
    <w:name w:val="Heading 1 Char"/>
    <w:link w:val="Heading1"/>
    <w:rsid w:val="00812864"/>
    <w:rPr>
      <w:rFonts w:eastAsia="Times New Roman" w:cs="Arial"/>
      <w:b/>
      <w:color w:val="2C384A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rsid w:val="00510357"/>
    <w:rPr>
      <w:rFonts w:eastAsia="Times New Roman" w:cs="Arial"/>
      <w:iCs/>
      <w:color w:val="5D779D"/>
      <w:kern w:val="32"/>
      <w:sz w:val="36"/>
      <w:szCs w:val="28"/>
      <w:lang w:eastAsia="en-AU"/>
    </w:rPr>
  </w:style>
  <w:style w:type="character" w:customStyle="1" w:styleId="Heading3Char">
    <w:name w:val="Heading 3 Char"/>
    <w:link w:val="Heading3"/>
    <w:rsid w:val="00062CBB"/>
    <w:rPr>
      <w:rFonts w:eastAsia="Times New Roman" w:cs="Arial"/>
      <w:b/>
      <w:color w:val="2C384A"/>
      <w:kern w:val="32"/>
      <w:sz w:val="28"/>
      <w:szCs w:val="26"/>
      <w:lang w:eastAsia="en-AU"/>
    </w:rPr>
  </w:style>
  <w:style w:type="character" w:customStyle="1" w:styleId="Heading4Char">
    <w:name w:val="Heading 4 Char"/>
    <w:link w:val="Heading4"/>
    <w:rsid w:val="003D0BC9"/>
    <w:rPr>
      <w:rFonts w:ascii="Calibri Light" w:eastAsia="Times New Roman" w:hAnsi="Calibri Light" w:cs="Arial"/>
      <w:color w:val="5D779D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BD0B30"/>
    <w:pPr>
      <w:numPr>
        <w:ilvl w:val="1"/>
      </w:numPr>
      <w:spacing w:before="320" w:after="240"/>
    </w:pPr>
    <w:rPr>
      <w:rFonts w:ascii="Calibri" w:eastAsia="SimSun" w:hAnsi="Calibr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/>
      <w:u w:val="single"/>
    </w:rPr>
  </w:style>
  <w:style w:type="character" w:styleId="FollowedHyperlink">
    <w:name w:val="FollowedHyperlink"/>
    <w:semiHidden/>
    <w:unhideWhenUsed/>
    <w:rsid w:val="008F0B15"/>
    <w:rPr>
      <w:color w:val="844D9E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/>
      <w:sz w:val="22"/>
      <w:lang w:eastAsia="en-US"/>
    </w:rPr>
  </w:style>
  <w:style w:type="character" w:styleId="PlaceholderText">
    <w:name w:val="Placeholder Text"/>
    <w:uiPriority w:val="99"/>
    <w:semiHidden/>
    <w:rsid w:val="008F0B15"/>
    <w:rPr>
      <w:color w:val="808080"/>
    </w:rPr>
  </w:style>
  <w:style w:type="character" w:customStyle="1" w:styleId="Heading5Char">
    <w:name w:val="Heading 5 Char"/>
    <w:link w:val="Heading5"/>
    <w:rsid w:val="00062CBB"/>
    <w:rPr>
      <w:rFonts w:ascii="Calibri" w:eastAsia="Times New Roman" w:hAnsi="Calibri" w:cs="Arial"/>
      <w:b/>
      <w:iCs/>
      <w:color w:val="2C384A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550511"/>
    <w:pPr>
      <w:keepNext/>
    </w:pPr>
    <w:rPr>
      <w:b/>
      <w:color w:val="2C384A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="Calibri"/>
      <w:color w:val="0D0D0D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="Calibri"/>
      <w:color w:val="0D0D0D"/>
    </w:rPr>
  </w:style>
  <w:style w:type="character" w:customStyle="1" w:styleId="Heading9Char">
    <w:name w:val="Heading 9 Char"/>
    <w:link w:val="Heading9"/>
    <w:uiPriority w:val="9"/>
    <w:rsid w:val="00C23C8C"/>
    <w:rPr>
      <w:rFonts w:ascii="Calibri" w:eastAsia="SimHei" w:hAnsi="Calibri" w:cs="Times New Roman"/>
      <w:iCs/>
      <w:color w:val="272727"/>
      <w:sz w:val="21"/>
      <w:szCs w:val="21"/>
    </w:rPr>
  </w:style>
  <w:style w:type="character" w:customStyle="1" w:styleId="Heading8Char">
    <w:name w:val="Heading 8 Char"/>
    <w:link w:val="Heading8"/>
    <w:uiPriority w:val="9"/>
    <w:rsid w:val="00C23C8C"/>
    <w:rPr>
      <w:rFonts w:ascii="Calibri" w:eastAsia="SimHei" w:hAnsi="Calibri" w:cs="Times New Roman"/>
      <w:color w:val="272727"/>
      <w:sz w:val="21"/>
      <w:szCs w:val="21"/>
    </w:rPr>
  </w:style>
  <w:style w:type="character" w:customStyle="1" w:styleId="Heading6Char">
    <w:name w:val="Heading 6 Char"/>
    <w:link w:val="Heading6"/>
    <w:rsid w:val="00062CBB"/>
    <w:rPr>
      <w:rFonts w:ascii="Calibri Light" w:eastAsia="Times New Roman" w:hAnsi="Calibri Light" w:cs="Arial"/>
      <w:color w:val="2C384A"/>
      <w:kern w:val="32"/>
      <w:sz w:val="22"/>
      <w:szCs w:val="22"/>
      <w:lang w:eastAsia="en-AU"/>
    </w:rPr>
  </w:style>
  <w:style w:type="character" w:customStyle="1" w:styleId="Heading7Char">
    <w:name w:val="Heading 7 Char"/>
    <w:link w:val="Heading7"/>
    <w:uiPriority w:val="9"/>
    <w:semiHidden/>
    <w:rsid w:val="00C23C8C"/>
    <w:rPr>
      <w:rFonts w:ascii="Calibri" w:eastAsia="SimHei" w:hAnsi="Calibri" w:cs="Times New Roman"/>
      <w:iCs/>
      <w:color w:val="161B24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eastAsia="SimSun"/>
      <w:sz w:val="22"/>
      <w:szCs w:val="22"/>
      <w:lang w:val="en-US" w:eastAsia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FootnoteReference">
    <w:name w:val="footnote reference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eastAsia="SimSu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E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AE8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AE8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AE8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AE81"/>
      </w:tcPr>
    </w:tblStylePr>
    <w:tblStylePr w:type="band1Vert">
      <w:tblPr/>
      <w:tcPr>
        <w:shd w:val="clear" w:color="auto" w:fill="F9DECC"/>
      </w:tcPr>
    </w:tblStylePr>
    <w:tblStylePr w:type="band1Horz">
      <w:tblPr/>
      <w:tcPr>
        <w:shd w:val="clear" w:color="auto" w:fill="F9DECC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eastAsia="SimSun"/>
    </w:rPr>
    <w:tblPr>
      <w:tblStyleRowBandSize w:val="1"/>
      <w:tblStyleColBandSize w:val="1"/>
      <w:tblBorders>
        <w:top w:val="single" w:sz="4" w:space="0" w:color="F6CEB3"/>
        <w:left w:val="single" w:sz="4" w:space="0" w:color="F6CEB3"/>
        <w:bottom w:val="single" w:sz="4" w:space="0" w:color="F6CEB3"/>
        <w:right w:val="single" w:sz="4" w:space="0" w:color="F6CEB3"/>
        <w:insideH w:val="single" w:sz="4" w:space="0" w:color="F6CEB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AE81"/>
          <w:left w:val="single" w:sz="4" w:space="0" w:color="F0AE81"/>
          <w:bottom w:val="single" w:sz="4" w:space="0" w:color="F0AE81"/>
          <w:right w:val="single" w:sz="4" w:space="0" w:color="F0AE81"/>
          <w:insideH w:val="nil"/>
        </w:tcBorders>
        <w:shd w:val="clear" w:color="auto" w:fill="F0AE81"/>
      </w:tcPr>
    </w:tblStylePr>
    <w:tblStylePr w:type="lastRow">
      <w:rPr>
        <w:b/>
        <w:bCs/>
      </w:rPr>
      <w:tblPr/>
      <w:tcPr>
        <w:tcBorders>
          <w:top w:val="double" w:sz="4" w:space="0" w:color="F6CE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/>
      </w:tcPr>
    </w:tblStylePr>
    <w:tblStylePr w:type="band1Horz">
      <w:tblPr/>
      <w:tcPr>
        <w:shd w:val="clear" w:color="auto" w:fill="FCEEE5"/>
      </w:tcPr>
    </w:tblStylePr>
  </w:style>
  <w:style w:type="character" w:customStyle="1" w:styleId="NoSpacingChar">
    <w:name w:val="No Spacing Char"/>
    <w:link w:val="NoSpacing"/>
    <w:uiPriority w:val="1"/>
    <w:rsid w:val="008F0B15"/>
    <w:rPr>
      <w:rFonts w:ascii="Calibri" w:eastAsia="SimSun" w:hAnsi="Calibri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link w:val="Tabletext0"/>
    <w:rsid w:val="008F0B15"/>
    <w:rPr>
      <w:rFonts w:ascii="Univers 45 Light" w:eastAsia="Times New Roman" w:hAnsi="Univers 45 Light"/>
      <w:sz w:val="19"/>
    </w:rPr>
  </w:style>
  <w:style w:type="character" w:customStyle="1" w:styleId="ui-provider">
    <w:name w:val="ui-provider"/>
    <w:basedOn w:val="DefaultParagraphFont"/>
    <w:rsid w:val="009A5EC9"/>
  </w:style>
  <w:style w:type="character" w:styleId="Strong">
    <w:name w:val="Strong"/>
    <w:rsid w:val="00A32C73"/>
    <w:rPr>
      <w:b/>
      <w:bCs/>
      <w:color w:val="FFFFFF"/>
    </w:rPr>
  </w:style>
  <w:style w:type="paragraph" w:customStyle="1" w:styleId="NumberedList1">
    <w:name w:val="Numbered List 1"/>
    <w:basedOn w:val="Normal"/>
    <w:qFormat/>
    <w:rsid w:val="006757C2"/>
    <w:pPr>
      <w:numPr>
        <w:numId w:val="29"/>
      </w:numPr>
      <w:suppressAutoHyphens/>
      <w:spacing w:before="180" w:after="60" w:line="280" w:lineRule="atLeast"/>
    </w:pPr>
    <w:rPr>
      <w:rFonts w:ascii="Calibri" w:eastAsia="Calibri" w:hAnsi="Calibri"/>
      <w:szCs w:val="22"/>
      <w:lang w:eastAsia="en-US"/>
    </w:rPr>
  </w:style>
  <w:style w:type="numbering" w:customStyle="1" w:styleId="Numberedlist">
    <w:name w:val="Numbered list"/>
    <w:uiPriority w:val="99"/>
    <w:rsid w:val="006757C2"/>
    <w:pPr>
      <w:numPr>
        <w:numId w:val="28"/>
      </w:numPr>
    </w:pPr>
  </w:style>
  <w:style w:type="character" w:styleId="UnresolvedMention">
    <w:name w:val="Unresolved Mention"/>
    <w:uiPriority w:val="99"/>
    <w:semiHidden/>
    <w:unhideWhenUsed/>
    <w:rsid w:val="0014317A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25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34"/>
    <w:rPr>
      <w:sz w:val="20"/>
    </w:rPr>
  </w:style>
  <w:style w:type="character" w:customStyle="1" w:styleId="CommentTextChar">
    <w:name w:val="Comment Text Char"/>
    <w:link w:val="CommentText"/>
    <w:uiPriority w:val="99"/>
    <w:rsid w:val="00725A34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5A34"/>
    <w:rPr>
      <w:b/>
      <w:bCs/>
    </w:rPr>
  </w:style>
  <w:style w:type="character" w:customStyle="1" w:styleId="CommentSubjectChar">
    <w:name w:val="Comment Subject Char"/>
    <w:link w:val="CommentSubject"/>
    <w:semiHidden/>
    <w:rsid w:val="00725A34"/>
    <w:rPr>
      <w:rFonts w:ascii="Calibri Light" w:eastAsia="Times New Roman" w:hAnsi="Calibri Light"/>
      <w:b/>
      <w:bCs/>
      <w:lang w:eastAsia="en-AU"/>
    </w:rPr>
  </w:style>
  <w:style w:type="table" w:styleId="TableGridLight">
    <w:name w:val="Grid Table Light"/>
    <w:basedOn w:val="TableNormal"/>
    <w:uiPriority w:val="40"/>
    <w:rsid w:val="004E23E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review.gov.au/news/final-report-independent-review-released" TargetMode="External"/><Relationship Id="rId13" Type="http://schemas.openxmlformats.org/officeDocument/2006/relationships/hyperlink" Target="https://evaluation.treasury.gov.au/about/about-australian-centre-evalua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sreform.gov.au/about-aps-reform/our-focus-areas" TargetMode="External"/><Relationship Id="rId12" Type="http://schemas.openxmlformats.org/officeDocument/2006/relationships/hyperlink" Target="https://www.finance.gov.au/government/federal-budget/budget-proces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aluation.treasury.gov.au/learn-and-connect/community-pract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valuation.treasury.gov.au/toolkit/commonwealth-evaluation-toolk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valuation.treasury.gov.au/about/commonwealth-evaluation-polic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1468</Words>
  <Characters>9044</Characters>
  <Application>Microsoft Office Word</Application>
  <DocSecurity>0</DocSecurity>
  <Lines>220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Reference Group - Terms of Reference</vt:lpstr>
    </vt:vector>
  </TitlesOfParts>
  <Company/>
  <LinksUpToDate>false</LinksUpToDate>
  <CharactersWithSpaces>10369</CharactersWithSpaces>
  <SharedDoc>false</SharedDoc>
  <HLinks>
    <vt:vector size="42" baseType="variant">
      <vt:variant>
        <vt:i4>3735649</vt:i4>
      </vt:variant>
      <vt:variant>
        <vt:i4>18</vt:i4>
      </vt:variant>
      <vt:variant>
        <vt:i4>0</vt:i4>
      </vt:variant>
      <vt:variant>
        <vt:i4>5</vt:i4>
      </vt:variant>
      <vt:variant>
        <vt:lpwstr>https://evaluation.treasury.gov.au/about/about-australian-centre-evaluation</vt:lpwstr>
      </vt:variant>
      <vt:variant>
        <vt:lpwstr/>
      </vt:variant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https://www.finance.gov.au/government/federal-budget/budget-process</vt:lpwstr>
      </vt:variant>
      <vt:variant>
        <vt:lpwstr/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https://evaluation.treasury.gov.au/learn-and-connect/community-practice</vt:lpwstr>
      </vt:variant>
      <vt:variant>
        <vt:lpwstr/>
      </vt:variant>
      <vt:variant>
        <vt:i4>3473441</vt:i4>
      </vt:variant>
      <vt:variant>
        <vt:i4>9</vt:i4>
      </vt:variant>
      <vt:variant>
        <vt:i4>0</vt:i4>
      </vt:variant>
      <vt:variant>
        <vt:i4>5</vt:i4>
      </vt:variant>
      <vt:variant>
        <vt:lpwstr>https://evaluation.treasury.gov.au/toolkit/commonwealth-evaluation-toolkit</vt:lpwstr>
      </vt:variant>
      <vt:variant>
        <vt:lpwstr/>
      </vt:variant>
      <vt:variant>
        <vt:i4>3145776</vt:i4>
      </vt:variant>
      <vt:variant>
        <vt:i4>6</vt:i4>
      </vt:variant>
      <vt:variant>
        <vt:i4>0</vt:i4>
      </vt:variant>
      <vt:variant>
        <vt:i4>5</vt:i4>
      </vt:variant>
      <vt:variant>
        <vt:lpwstr>https://evaluation.treasury.gov.au/about/commonwealth-evaluation-policy</vt:lpwstr>
      </vt:variant>
      <vt:variant>
        <vt:lpwstr/>
      </vt:variant>
      <vt:variant>
        <vt:i4>7798897</vt:i4>
      </vt:variant>
      <vt:variant>
        <vt:i4>3</vt:i4>
      </vt:variant>
      <vt:variant>
        <vt:i4>0</vt:i4>
      </vt:variant>
      <vt:variant>
        <vt:i4>5</vt:i4>
      </vt:variant>
      <vt:variant>
        <vt:lpwstr>https://www.apsreview.gov.au/news/final-report-independent-review-released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https://www.apsreform.gov.au/about-aps-reform/our-focus-areas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Reference Group - Terms of Reference</dc:title>
  <dc:subject/>
  <dc:creator/>
  <cp:keywords/>
  <dc:description/>
  <cp:lastModifiedBy/>
  <cp:revision>1</cp:revision>
  <dcterms:created xsi:type="dcterms:W3CDTF">2024-06-24T04:29:00Z</dcterms:created>
  <dcterms:modified xsi:type="dcterms:W3CDTF">2024-06-24T04:29:00Z</dcterms:modified>
  <cp:category/>
</cp:coreProperties>
</file>