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CDE1" w14:textId="0822F971" w:rsidR="00986A46" w:rsidRDefault="00E53BDC" w:rsidP="00C4344F">
      <w:pPr>
        <w:pStyle w:val="Factsheettitle"/>
        <w:spacing w:after="0"/>
      </w:pPr>
      <w:r>
        <w:t>Commonwealth Evaluation</w:t>
      </w:r>
      <w:r w:rsidR="00191363">
        <w:br/>
      </w:r>
      <w:r w:rsidR="00C4344F">
        <w:t>Community of Practice</w:t>
      </w:r>
    </w:p>
    <w:p w14:paraId="24DFDFAD" w14:textId="6A7FA1AE" w:rsidR="007737C3" w:rsidRPr="00622611" w:rsidRDefault="00C4344F" w:rsidP="00EC75C2">
      <w:pPr>
        <w:pStyle w:val="Heading3"/>
        <w:spacing w:before="120" w:after="240"/>
        <w:rPr>
          <w:sz w:val="32"/>
          <w:szCs w:val="28"/>
        </w:rPr>
      </w:pPr>
      <w:r w:rsidRPr="00D6273E">
        <w:rPr>
          <w:sz w:val="32"/>
          <w:szCs w:val="28"/>
        </w:rPr>
        <w:t>Terms of Reference</w:t>
      </w:r>
    </w:p>
    <w:p w14:paraId="5920F97E" w14:textId="0133375F" w:rsidR="00D6273E" w:rsidRPr="007737C3" w:rsidRDefault="00D6273E" w:rsidP="00C55158">
      <w:pPr>
        <w:pStyle w:val="Heading2"/>
        <w:spacing w:before="120" w:after="60"/>
        <w:rPr>
          <w:sz w:val="28"/>
          <w:szCs w:val="22"/>
        </w:rPr>
      </w:pPr>
      <w:r w:rsidRPr="007737C3">
        <w:rPr>
          <w:sz w:val="28"/>
          <w:szCs w:val="22"/>
        </w:rPr>
        <w:t>Purpose</w:t>
      </w:r>
    </w:p>
    <w:p w14:paraId="72A8FADE" w14:textId="77777777" w:rsidR="004367FC" w:rsidRPr="00F068D2" w:rsidRDefault="004367FC" w:rsidP="00C33425">
      <w:r w:rsidRPr="00C33425">
        <w:t>The Commonwealth</w:t>
      </w:r>
      <w:r w:rsidRPr="00F068D2">
        <w:t xml:space="preserve"> Evaluation Community of Practice (CoP) aims to bring together people with a role or an interest in evaluation who have a desire to work collaboratively to learn, share and build the evaluation capability of its members. </w:t>
      </w:r>
    </w:p>
    <w:p w14:paraId="57AD13DA" w14:textId="7266E758" w:rsidR="004367FC" w:rsidRPr="00F068D2" w:rsidRDefault="004367FC" w:rsidP="00C33425">
      <w:pPr>
        <w:ind w:right="-286"/>
      </w:pPr>
      <w:r w:rsidRPr="00F068D2">
        <w:t xml:space="preserve">Building on the </w:t>
      </w:r>
      <w:hyperlink r:id="rId12" w:history="1">
        <w:r w:rsidRPr="00F068D2">
          <w:rPr>
            <w:rStyle w:val="Hyperlink"/>
            <w:rFonts w:cstheme="minorBidi"/>
          </w:rPr>
          <w:t>Commonwealth Evaluation Policy</w:t>
        </w:r>
      </w:hyperlink>
      <w:r w:rsidRPr="00F068D2">
        <w:t xml:space="preserve"> </w:t>
      </w:r>
      <w:r>
        <w:t xml:space="preserve">(the Policy) </w:t>
      </w:r>
      <w:r w:rsidRPr="00F068D2">
        <w:t xml:space="preserve">and the </w:t>
      </w:r>
      <w:hyperlink r:id="rId13" w:history="1">
        <w:r w:rsidRPr="00F068D2">
          <w:rPr>
            <w:rStyle w:val="Hyperlink"/>
            <w:rFonts w:cstheme="minorBidi"/>
          </w:rPr>
          <w:t>Evaluation Toolkit</w:t>
        </w:r>
      </w:hyperlink>
      <w:r w:rsidRPr="00F068D2">
        <w:t xml:space="preserve"> (Resource Management Guide 130), the CoP aims to help embed a culture of evaluation and learning from experience to underpin evidence-based policy and delivery. By connecting people from across the Commonwealth who are committed to sharing information, </w:t>
      </w:r>
      <w:proofErr w:type="gramStart"/>
      <w:r w:rsidRPr="00F068D2">
        <w:t>experiences</w:t>
      </w:r>
      <w:proofErr w:type="gramEnd"/>
      <w:r w:rsidRPr="00F068D2">
        <w:t xml:space="preserve"> and resources, and learning from each other, the CoP will help to support and promote better practice evaluation and performance management across the policy cycle.</w:t>
      </w:r>
    </w:p>
    <w:p w14:paraId="25DF801E" w14:textId="77777777" w:rsidR="004367FC" w:rsidRPr="00F068D2" w:rsidRDefault="004367FC" w:rsidP="004367FC">
      <w:pPr>
        <w:ind w:right="-286"/>
      </w:pPr>
      <w:r w:rsidRPr="00F068D2">
        <w:t>CoP events, communication and engagement will focus on:</w:t>
      </w:r>
    </w:p>
    <w:p w14:paraId="0A42C449" w14:textId="77777777" w:rsidR="004367FC" w:rsidRPr="00F068D2" w:rsidRDefault="004367FC" w:rsidP="004367FC">
      <w:pPr>
        <w:pStyle w:val="ListParagraph"/>
        <w:numPr>
          <w:ilvl w:val="0"/>
          <w:numId w:val="21"/>
        </w:numPr>
        <w:spacing w:before="0" w:after="160" w:line="259" w:lineRule="auto"/>
        <w:ind w:right="-286"/>
      </w:pPr>
      <w:r w:rsidRPr="00F068D2">
        <w:t>working together to embed a culture of evaluation and learning</w:t>
      </w:r>
    </w:p>
    <w:p w14:paraId="3E70DFA3" w14:textId="77777777" w:rsidR="004367FC" w:rsidRPr="00F068D2" w:rsidRDefault="004367FC" w:rsidP="004367FC">
      <w:pPr>
        <w:pStyle w:val="ListParagraph"/>
        <w:numPr>
          <w:ilvl w:val="0"/>
          <w:numId w:val="21"/>
        </w:numPr>
        <w:spacing w:before="0" w:after="160" w:line="259" w:lineRule="auto"/>
        <w:ind w:right="-286"/>
      </w:pPr>
      <w:r w:rsidRPr="00F068D2">
        <w:t>supporting evaluation capacity and capability building across the Commonwealth</w:t>
      </w:r>
    </w:p>
    <w:p w14:paraId="0B40561F" w14:textId="77777777" w:rsidR="004367FC" w:rsidRPr="00F068D2" w:rsidRDefault="004367FC" w:rsidP="004367FC">
      <w:pPr>
        <w:pStyle w:val="ListParagraph"/>
        <w:numPr>
          <w:ilvl w:val="0"/>
          <w:numId w:val="21"/>
        </w:numPr>
        <w:spacing w:before="0" w:after="160" w:line="259" w:lineRule="auto"/>
        <w:ind w:right="-286"/>
      </w:pPr>
      <w:r w:rsidRPr="00F068D2">
        <w:t>maturing evaluation practices across the Commonwealth</w:t>
      </w:r>
    </w:p>
    <w:p w14:paraId="3E3497F0" w14:textId="77777777" w:rsidR="004367FC" w:rsidRPr="00F068D2" w:rsidRDefault="004367FC" w:rsidP="004367FC">
      <w:pPr>
        <w:pStyle w:val="ListParagraph"/>
        <w:numPr>
          <w:ilvl w:val="0"/>
          <w:numId w:val="21"/>
        </w:numPr>
        <w:spacing w:before="0" w:after="160" w:line="259" w:lineRule="auto"/>
        <w:ind w:right="-286"/>
      </w:pPr>
      <w:r w:rsidRPr="00F068D2">
        <w:t xml:space="preserve">sharing experiences, </w:t>
      </w:r>
      <w:proofErr w:type="gramStart"/>
      <w:r w:rsidRPr="00F068D2">
        <w:t>expertise</w:t>
      </w:r>
      <w:proofErr w:type="gramEnd"/>
      <w:r w:rsidRPr="00F068D2">
        <w:t xml:space="preserve"> and resources</w:t>
      </w:r>
    </w:p>
    <w:p w14:paraId="02B5A044" w14:textId="77777777" w:rsidR="004367FC" w:rsidRPr="00F068D2" w:rsidRDefault="004367FC" w:rsidP="004367FC">
      <w:pPr>
        <w:pStyle w:val="ListParagraph"/>
        <w:numPr>
          <w:ilvl w:val="0"/>
          <w:numId w:val="21"/>
        </w:numPr>
        <w:spacing w:before="0" w:after="160" w:line="259" w:lineRule="auto"/>
        <w:ind w:right="-286"/>
      </w:pPr>
      <w:r w:rsidRPr="00F068D2">
        <w:t>practising evaluative and reflective thinking, and collaborative problem solving</w:t>
      </w:r>
    </w:p>
    <w:p w14:paraId="0CD20E86" w14:textId="77777777" w:rsidR="004367FC" w:rsidRPr="00F068D2" w:rsidRDefault="004367FC" w:rsidP="004367FC">
      <w:pPr>
        <w:pStyle w:val="ListParagraph"/>
        <w:numPr>
          <w:ilvl w:val="0"/>
          <w:numId w:val="21"/>
        </w:numPr>
        <w:spacing w:before="0" w:after="160" w:line="259" w:lineRule="auto"/>
        <w:ind w:right="-286"/>
      </w:pPr>
      <w:r w:rsidRPr="00F068D2">
        <w:t>collaborating on enabling tools and resources to support better practice evaluation</w:t>
      </w:r>
    </w:p>
    <w:p w14:paraId="7183D889" w14:textId="77777777" w:rsidR="004367FC" w:rsidRPr="00F068D2" w:rsidRDefault="004367FC" w:rsidP="004367FC">
      <w:pPr>
        <w:pStyle w:val="ListParagraph"/>
        <w:numPr>
          <w:ilvl w:val="0"/>
          <w:numId w:val="21"/>
        </w:numPr>
        <w:spacing w:before="0" w:after="160" w:line="259" w:lineRule="auto"/>
        <w:ind w:right="-286"/>
      </w:pPr>
      <w:r w:rsidRPr="00F068D2">
        <w:t>providing a platform to share draft materials and develop ideas/files collaboratively</w:t>
      </w:r>
    </w:p>
    <w:p w14:paraId="6A16F6E5" w14:textId="77777777" w:rsidR="004367FC" w:rsidRPr="00F068D2" w:rsidRDefault="004367FC" w:rsidP="004367FC">
      <w:pPr>
        <w:pStyle w:val="ListParagraph"/>
        <w:numPr>
          <w:ilvl w:val="0"/>
          <w:numId w:val="21"/>
        </w:numPr>
        <w:spacing w:before="0" w:after="160" w:line="259" w:lineRule="auto"/>
        <w:ind w:right="-286"/>
      </w:pPr>
      <w:r w:rsidRPr="00F068D2">
        <w:t>contributing ideas to continue to enhance a service-wide evaluation approach</w:t>
      </w:r>
    </w:p>
    <w:p w14:paraId="0E0A98EB" w14:textId="77777777" w:rsidR="004367FC" w:rsidRPr="00F068D2" w:rsidRDefault="004367FC" w:rsidP="004367FC">
      <w:pPr>
        <w:pStyle w:val="ListParagraph"/>
        <w:numPr>
          <w:ilvl w:val="0"/>
          <w:numId w:val="21"/>
        </w:numPr>
        <w:spacing w:before="0" w:after="160" w:line="259" w:lineRule="auto"/>
        <w:ind w:right="-286"/>
      </w:pPr>
      <w:r w:rsidRPr="00F068D2">
        <w:t>building a supportive professional evaluation network across the Commonwealth.</w:t>
      </w:r>
    </w:p>
    <w:p w14:paraId="47992E29" w14:textId="77777777" w:rsidR="004367FC" w:rsidRPr="007737C3" w:rsidRDefault="004367FC" w:rsidP="00C55158">
      <w:pPr>
        <w:pStyle w:val="Heading2"/>
        <w:spacing w:before="120" w:after="60"/>
        <w:rPr>
          <w:sz w:val="28"/>
          <w:szCs w:val="22"/>
        </w:rPr>
      </w:pPr>
      <w:r w:rsidRPr="007737C3">
        <w:rPr>
          <w:sz w:val="28"/>
          <w:szCs w:val="22"/>
        </w:rPr>
        <w:t>Membership</w:t>
      </w:r>
    </w:p>
    <w:p w14:paraId="5A8CBCF9" w14:textId="77777777" w:rsidR="004367FC" w:rsidRDefault="004367FC" w:rsidP="00C33425">
      <w:pPr>
        <w:spacing w:before="0"/>
        <w:ind w:right="-284"/>
      </w:pPr>
      <w:r>
        <w:t>The CoP is open to all Commonwealth officials with a role or an interest in evaluation.</w:t>
      </w:r>
    </w:p>
    <w:p w14:paraId="643A93BE" w14:textId="77777777" w:rsidR="004367FC" w:rsidRPr="007737C3" w:rsidRDefault="004367FC" w:rsidP="00C55158">
      <w:pPr>
        <w:pStyle w:val="Heading2"/>
        <w:spacing w:before="120" w:after="60"/>
        <w:rPr>
          <w:sz w:val="28"/>
          <w:szCs w:val="22"/>
        </w:rPr>
      </w:pPr>
      <w:r w:rsidRPr="007737C3">
        <w:rPr>
          <w:sz w:val="28"/>
          <w:szCs w:val="22"/>
        </w:rPr>
        <w:t>Operating approach</w:t>
      </w:r>
    </w:p>
    <w:p w14:paraId="604725FD" w14:textId="77777777" w:rsidR="00C33425" w:rsidRDefault="004367FC" w:rsidP="00C33425">
      <w:pPr>
        <w:ind w:right="-286"/>
      </w:pPr>
      <w:r w:rsidRPr="00F068D2">
        <w:t>The CoP will operate under a hybrid model, including both online and face-to-face communication and engagement</w:t>
      </w:r>
      <w:r>
        <w:t xml:space="preserve"> methods</w:t>
      </w:r>
      <w:r w:rsidRPr="00F068D2">
        <w:t xml:space="preserve">. This will leverage the significant shift in workforce culture and practises to help maximise the reach and impact of the CoP, </w:t>
      </w:r>
      <w:r>
        <w:t xml:space="preserve">with regular opportunities for online engagement between </w:t>
      </w:r>
      <w:r w:rsidRPr="00F068D2">
        <w:t>members who are geographically dispersed.</w:t>
      </w:r>
    </w:p>
    <w:p w14:paraId="40DD379F" w14:textId="2AB441A5" w:rsidR="00D6273E" w:rsidRDefault="004367FC" w:rsidP="00C33425">
      <w:pPr>
        <w:ind w:right="-286"/>
      </w:pPr>
      <w:r>
        <w:t xml:space="preserve">All members will be informed about upcoming events. </w:t>
      </w:r>
      <w:r w:rsidRPr="00F068D2">
        <w:t xml:space="preserve">The primary method of communicating </w:t>
      </w:r>
      <w:r>
        <w:t>between</w:t>
      </w:r>
      <w:r w:rsidRPr="00F068D2">
        <w:t xml:space="preserve"> members </w:t>
      </w:r>
      <w:r>
        <w:t>outside of scheduled events w</w:t>
      </w:r>
      <w:r w:rsidRPr="00F068D2">
        <w:t xml:space="preserve">ill be via a </w:t>
      </w:r>
      <w:hyperlink r:id="rId14" w:history="1">
        <w:proofErr w:type="spellStart"/>
        <w:r w:rsidRPr="0055058B">
          <w:rPr>
            <w:rStyle w:val="Hyperlink"/>
            <w:rFonts w:cstheme="minorBidi"/>
          </w:rPr>
          <w:t>GovTEAMS</w:t>
        </w:r>
        <w:proofErr w:type="spellEnd"/>
      </w:hyperlink>
      <w:r>
        <w:t xml:space="preserve"> </w:t>
      </w:r>
      <w:r w:rsidRPr="00F068D2">
        <w:t>community.</w:t>
      </w:r>
      <w:r w:rsidRPr="00F068D2">
        <w:rPr>
          <w:rStyle w:val="FootnoteReference"/>
        </w:rPr>
        <w:footnoteReference w:id="2"/>
      </w:r>
    </w:p>
    <w:p w14:paraId="4542F4D1" w14:textId="77777777" w:rsidR="00C33425" w:rsidRDefault="00C33425" w:rsidP="004367FC"/>
    <w:p w14:paraId="622ED615" w14:textId="77777777" w:rsidR="00C33425" w:rsidRPr="00172ACD" w:rsidRDefault="00C33425" w:rsidP="00C33425">
      <w:pPr>
        <w:ind w:right="-286"/>
      </w:pPr>
      <w:r w:rsidRPr="00172ACD">
        <w:t>Members will have access to:</w:t>
      </w:r>
    </w:p>
    <w:p w14:paraId="39D7BD65" w14:textId="77777777" w:rsidR="00C33425" w:rsidRPr="00172ACD" w:rsidRDefault="00C33425" w:rsidP="00C33425">
      <w:pPr>
        <w:pStyle w:val="ListParagraph"/>
        <w:numPr>
          <w:ilvl w:val="0"/>
          <w:numId w:val="21"/>
        </w:numPr>
        <w:spacing w:before="0" w:after="160" w:line="259" w:lineRule="auto"/>
        <w:ind w:right="-286"/>
      </w:pPr>
      <w:r w:rsidRPr="00796165">
        <w:rPr>
          <w:b/>
          <w:u w:val="single"/>
        </w:rPr>
        <w:t>Community events</w:t>
      </w:r>
      <w:r w:rsidRPr="00172ACD">
        <w:t xml:space="preserve"> – a combination of online, face-to-face, and hybrid events will support real and virtual engagement and information sharing between members. This will include the opportunity to participate in:</w:t>
      </w:r>
    </w:p>
    <w:p w14:paraId="24899666" w14:textId="77777777" w:rsidR="00C33425" w:rsidRPr="00172ACD" w:rsidRDefault="00C33425" w:rsidP="00C33425">
      <w:pPr>
        <w:pStyle w:val="ListParagraph"/>
        <w:numPr>
          <w:ilvl w:val="1"/>
          <w:numId w:val="21"/>
        </w:numPr>
        <w:spacing w:before="0" w:after="160" w:line="259" w:lineRule="auto"/>
        <w:ind w:right="-428"/>
      </w:pPr>
      <w:r w:rsidRPr="52D8AB38">
        <w:rPr>
          <w:b/>
          <w:bCs/>
          <w:i/>
          <w:iCs/>
        </w:rPr>
        <w:t>Formal community forums (open to all members).</w:t>
      </w:r>
      <w:r>
        <w:t xml:space="preserve"> Forums will be the primary networking opportunity for all members to discuss better practice evaluation approaches. Presenters will focus on sharing insights and learnings, good practice examples of how the Policy and Toolkit are being applied, complex challenges, and/or approaches to help build evaluation capabilities, </w:t>
      </w:r>
      <w:proofErr w:type="gramStart"/>
      <w:r>
        <w:t>practices</w:t>
      </w:r>
      <w:proofErr w:type="gramEnd"/>
      <w:r>
        <w:t xml:space="preserve"> and culture across the Commonwealth. Active participants and observers welcome. Mixed formats will be used for the forums (online, face-to-face and/or hybrid). All members are encouraged to participate, where it is convenient to do so.</w:t>
      </w:r>
    </w:p>
    <w:p w14:paraId="4D5B7E34" w14:textId="77777777" w:rsidR="00C33425" w:rsidRDefault="00C33425" w:rsidP="00C33425">
      <w:pPr>
        <w:pStyle w:val="ListParagraph"/>
        <w:numPr>
          <w:ilvl w:val="1"/>
          <w:numId w:val="21"/>
        </w:numPr>
        <w:spacing w:before="0" w:after="160" w:line="259" w:lineRule="auto"/>
        <w:ind w:right="-569"/>
      </w:pPr>
      <w:r>
        <w:rPr>
          <w:b/>
          <w:i/>
        </w:rPr>
        <w:t>Informal c</w:t>
      </w:r>
      <w:r w:rsidRPr="00796165">
        <w:rPr>
          <w:b/>
          <w:i/>
        </w:rPr>
        <w:t>ollaborative workshop</w:t>
      </w:r>
      <w:r>
        <w:rPr>
          <w:b/>
          <w:i/>
        </w:rPr>
        <w:t xml:space="preserve">s </w:t>
      </w:r>
      <w:r w:rsidRPr="00796165">
        <w:rPr>
          <w:b/>
          <w:i/>
        </w:rPr>
        <w:t xml:space="preserve">(opt-in based on </w:t>
      </w:r>
      <w:r>
        <w:rPr>
          <w:b/>
          <w:i/>
        </w:rPr>
        <w:t xml:space="preserve">common </w:t>
      </w:r>
      <w:r w:rsidRPr="00796165">
        <w:rPr>
          <w:b/>
          <w:i/>
        </w:rPr>
        <w:t>interest</w:t>
      </w:r>
      <w:r>
        <w:rPr>
          <w:b/>
          <w:i/>
        </w:rPr>
        <w:t>s</w:t>
      </w:r>
      <w:r w:rsidRPr="00796165">
        <w:rPr>
          <w:b/>
          <w:i/>
        </w:rPr>
        <w:t>).</w:t>
      </w:r>
      <w:r>
        <w:t xml:space="preserve"> A series of workshops (ad-hoc and as required) will provide opportunities for members to collaborate on topics of common interest. Workshops w</w:t>
      </w:r>
      <w:r w:rsidRPr="00172ACD">
        <w:t xml:space="preserve">ill operate </w:t>
      </w:r>
      <w:r>
        <w:t>under</w:t>
      </w:r>
      <w:r w:rsidRPr="00172ACD">
        <w:t xml:space="preserve"> “Chatham House Rules”</w:t>
      </w:r>
      <w:r>
        <w:t xml:space="preserve">, with scheduling and participant numbers determined on a case-by-case basis. Collaborative workshops are </w:t>
      </w:r>
      <w:r w:rsidRPr="00172ACD">
        <w:t>designed to bring people together</w:t>
      </w:r>
      <w:r>
        <w:t>,</w:t>
      </w:r>
      <w:r w:rsidRPr="00172ACD">
        <w:t xml:space="preserve"> break down barriers</w:t>
      </w:r>
      <w:r>
        <w:t>,</w:t>
      </w:r>
      <w:r w:rsidRPr="00172ACD">
        <w:t xml:space="preserve"> generate ideas</w:t>
      </w:r>
      <w:r>
        <w:t>,</w:t>
      </w:r>
      <w:r w:rsidRPr="00172ACD">
        <w:t xml:space="preserve"> and help to develop solutions to complex and multi-faceted issues. Where </w:t>
      </w:r>
      <w:r>
        <w:t xml:space="preserve">these </w:t>
      </w:r>
      <w:r w:rsidRPr="00172ACD">
        <w:t>events are online, the default protocol will be cameras on (technology permitting).</w:t>
      </w:r>
      <w:r>
        <w:t xml:space="preserve"> Members</w:t>
      </w:r>
      <w:r w:rsidRPr="006311FC">
        <w:t xml:space="preserve"> are encouraged to </w:t>
      </w:r>
      <w:r>
        <w:t xml:space="preserve">participate in workshops where the topic is an area of interest or </w:t>
      </w:r>
      <w:r w:rsidRPr="006311FC">
        <w:t>relevant to their line of work.</w:t>
      </w:r>
      <w:r>
        <w:t xml:space="preserve"> </w:t>
      </w:r>
      <w:r w:rsidRPr="006311FC">
        <w:t xml:space="preserve">Members are not required to attend all </w:t>
      </w:r>
      <w:r>
        <w:t>workshops</w:t>
      </w:r>
      <w:r w:rsidRPr="006311FC">
        <w:t>.</w:t>
      </w:r>
    </w:p>
    <w:p w14:paraId="4A055EBE" w14:textId="77777777" w:rsidR="00C33425" w:rsidRPr="00172ACD" w:rsidRDefault="00C33425" w:rsidP="00C33425">
      <w:pPr>
        <w:pStyle w:val="ListParagraph"/>
        <w:numPr>
          <w:ilvl w:val="0"/>
          <w:numId w:val="21"/>
        </w:numPr>
        <w:spacing w:before="0" w:after="160" w:line="259" w:lineRule="auto"/>
        <w:ind w:right="-711"/>
      </w:pPr>
      <w:r w:rsidRPr="003D3F2F">
        <w:rPr>
          <w:b/>
          <w:u w:val="single"/>
        </w:rPr>
        <w:t>Discussion board</w:t>
      </w:r>
      <w:r w:rsidRPr="00172ACD">
        <w:t xml:space="preserve"> – online discussion fora to support engagement and dialogue between members</w:t>
      </w:r>
      <w:r>
        <w:t xml:space="preserve"> outside of scheduled events</w:t>
      </w:r>
      <w:r w:rsidRPr="00172ACD">
        <w:t>.</w:t>
      </w:r>
      <w:r w:rsidRPr="003D3F2F">
        <w:rPr>
          <w:color w:val="000000"/>
          <w:sz w:val="27"/>
          <w:szCs w:val="27"/>
        </w:rPr>
        <w:t xml:space="preserve"> </w:t>
      </w:r>
      <w:r w:rsidRPr="000E5453">
        <w:t xml:space="preserve">This will be conducted using the chat function on the </w:t>
      </w:r>
      <w:r>
        <w:t xml:space="preserve">Commonwealth Evaluation </w:t>
      </w:r>
      <w:proofErr w:type="spellStart"/>
      <w:r>
        <w:t>GovTEAMS</w:t>
      </w:r>
      <w:proofErr w:type="spellEnd"/>
      <w:r w:rsidRPr="000E5453">
        <w:t xml:space="preserve"> community. The chat will </w:t>
      </w:r>
      <w:proofErr w:type="gramStart"/>
      <w:r w:rsidRPr="000E5453">
        <w:t>be available at all times</w:t>
      </w:r>
      <w:proofErr w:type="gramEnd"/>
      <w:r w:rsidRPr="000E5453">
        <w:t xml:space="preserve"> meaning members are encouraged to start or add to a conversation at their discretion</w:t>
      </w:r>
      <w:r>
        <w:t xml:space="preserve">. </w:t>
      </w:r>
    </w:p>
    <w:p w14:paraId="4B106E4C" w14:textId="77777777" w:rsidR="00C33425" w:rsidRDefault="00C33425" w:rsidP="00C33425">
      <w:pPr>
        <w:pStyle w:val="ListParagraph"/>
        <w:numPr>
          <w:ilvl w:val="0"/>
          <w:numId w:val="21"/>
        </w:numPr>
        <w:spacing w:before="0" w:after="160" w:line="259" w:lineRule="auto"/>
        <w:ind w:right="-286"/>
      </w:pPr>
      <w:r w:rsidRPr="00B114D1">
        <w:rPr>
          <w:b/>
          <w:u w:val="single"/>
        </w:rPr>
        <w:t>SharePoint workspace</w:t>
      </w:r>
      <w:r w:rsidRPr="00172ACD">
        <w:t xml:space="preserve"> – </w:t>
      </w:r>
      <w:r>
        <w:t xml:space="preserve">opportunities to share and collaborate on </w:t>
      </w:r>
      <w:r w:rsidRPr="00172ACD">
        <w:t xml:space="preserve">files and ideas, including access to an “Evaluation Hub” </w:t>
      </w:r>
      <w:r>
        <w:t xml:space="preserve">on the Commonwealth Evaluation </w:t>
      </w:r>
      <w:proofErr w:type="spellStart"/>
      <w:r>
        <w:t>GovTEAMS</w:t>
      </w:r>
      <w:proofErr w:type="spellEnd"/>
      <w:r>
        <w:t xml:space="preserve"> community. This workspace will help to </w:t>
      </w:r>
      <w:r w:rsidRPr="00172ACD">
        <w:t xml:space="preserve">facilitate a </w:t>
      </w:r>
      <w:r>
        <w:t>collaborative</w:t>
      </w:r>
      <w:r w:rsidRPr="00172ACD">
        <w:t xml:space="preserve"> approach to creating and sharing resources to help improve evaluation capabilities, </w:t>
      </w:r>
      <w:proofErr w:type="gramStart"/>
      <w:r w:rsidRPr="00172ACD">
        <w:t>practices</w:t>
      </w:r>
      <w:proofErr w:type="gramEnd"/>
      <w:r w:rsidRPr="00172ACD">
        <w:t xml:space="preserve"> and culture</w:t>
      </w:r>
      <w:r>
        <w:t xml:space="preserve"> across the Commonwealth</w:t>
      </w:r>
      <w:r w:rsidRPr="00172ACD">
        <w:t xml:space="preserve">. Members will have the opportunity to contribute to the </w:t>
      </w:r>
      <w:r>
        <w:t xml:space="preserve">design and </w:t>
      </w:r>
      <w:r w:rsidRPr="00172ACD">
        <w:t>development of new resources</w:t>
      </w:r>
      <w:r>
        <w:t>,</w:t>
      </w:r>
      <w:r w:rsidRPr="00172ACD">
        <w:t xml:space="preserve"> </w:t>
      </w:r>
      <w:r>
        <w:t xml:space="preserve">and to collaborate on </w:t>
      </w:r>
      <w:r w:rsidRPr="00172ACD">
        <w:t xml:space="preserve">tools and approaches </w:t>
      </w:r>
      <w:r>
        <w:t xml:space="preserve">that can be used </w:t>
      </w:r>
      <w:r w:rsidRPr="00172ACD">
        <w:t>to review and boost evaluation capabilities in their entity</w:t>
      </w:r>
      <w:r>
        <w:t xml:space="preserve">. Members may also like to </w:t>
      </w:r>
      <w:r w:rsidRPr="00172ACD">
        <w:t xml:space="preserve">seek input from </w:t>
      </w:r>
      <w:r>
        <w:t>others</w:t>
      </w:r>
      <w:r w:rsidRPr="00172ACD">
        <w:t xml:space="preserve"> on their own evaluation documents.</w:t>
      </w:r>
    </w:p>
    <w:p w14:paraId="50643A31" w14:textId="77777777" w:rsidR="00C33425" w:rsidRPr="007737C3" w:rsidRDefault="00C33425" w:rsidP="00C55158">
      <w:pPr>
        <w:pStyle w:val="Heading2"/>
        <w:spacing w:before="120" w:after="60"/>
        <w:rPr>
          <w:sz w:val="28"/>
          <w:szCs w:val="22"/>
        </w:rPr>
      </w:pPr>
      <w:r w:rsidRPr="007737C3">
        <w:rPr>
          <w:sz w:val="28"/>
          <w:szCs w:val="22"/>
        </w:rPr>
        <w:t>Term</w:t>
      </w:r>
    </w:p>
    <w:p w14:paraId="02594116" w14:textId="5805A32E" w:rsidR="00C33425" w:rsidRDefault="00C33425" w:rsidP="00C33425">
      <w:pPr>
        <w:ind w:right="-286"/>
      </w:pPr>
      <w:r>
        <w:t>The CoP was launched in September 2022. These terms of reference are ongoing and will be reviewed as required.</w:t>
      </w:r>
    </w:p>
    <w:sectPr w:rsidR="00C33425" w:rsidSect="00622611">
      <w:headerReference w:type="default" r:id="rId15"/>
      <w:footerReference w:type="default" r:id="rId16"/>
      <w:headerReference w:type="first" r:id="rId17"/>
      <w:footerReference w:type="first" r:id="rId18"/>
      <w:pgSz w:w="11906" w:h="16838" w:code="9"/>
      <w:pgMar w:top="1418" w:right="1558" w:bottom="1560" w:left="1418" w:header="567" w:footer="425"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A52F" w14:textId="77777777" w:rsidR="00A94697" w:rsidRDefault="00A94697" w:rsidP="00886BC4">
      <w:r>
        <w:separator/>
      </w:r>
    </w:p>
    <w:p w14:paraId="609FD709" w14:textId="77777777" w:rsidR="00A94697" w:rsidRDefault="00A94697"/>
  </w:endnote>
  <w:endnote w:type="continuationSeparator" w:id="0">
    <w:p w14:paraId="55F777F6" w14:textId="77777777" w:rsidR="00A94697" w:rsidRDefault="00A94697" w:rsidP="00886BC4">
      <w:r>
        <w:continuationSeparator/>
      </w:r>
    </w:p>
    <w:p w14:paraId="11C1EC37" w14:textId="77777777" w:rsidR="00A94697" w:rsidRDefault="00A94697"/>
  </w:endnote>
  <w:endnote w:type="continuationNotice" w:id="1">
    <w:p w14:paraId="3F76C23C" w14:textId="77777777" w:rsidR="00A94697" w:rsidRDefault="00A9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582C" w14:textId="35B3E419" w:rsidR="00A15DB7" w:rsidRPr="00291F10" w:rsidRDefault="00291F10" w:rsidP="00291F10">
    <w:pPr>
      <w:pStyle w:val="Footer"/>
      <w:tabs>
        <w:tab w:val="clear" w:pos="4320"/>
        <w:tab w:val="clear" w:pos="8640"/>
        <w:tab w:val="center" w:pos="7938"/>
      </w:tabs>
      <w:ind w:left="1020"/>
      <w:jc w:val="right"/>
    </w:pPr>
    <w:r>
      <w:rPr>
        <w:noProof/>
        <w:color w:val="FFFFFF" w:themeColor="background1"/>
      </w:rPr>
      <w:drawing>
        <wp:anchor distT="0" distB="0" distL="114300" distR="114300" simplePos="0" relativeHeight="251658241" behindDoc="1" locked="0" layoutInCell="1" allowOverlap="1" wp14:anchorId="05B2E60B" wp14:editId="647F7A8F">
          <wp:simplePos x="0" y="0"/>
          <wp:positionH relativeFrom="page">
            <wp:posOffset>10758</wp:posOffset>
          </wp:positionH>
          <wp:positionV relativeFrom="page">
            <wp:posOffset>9864762</wp:posOffset>
          </wp:positionV>
          <wp:extent cx="7524249" cy="824398"/>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249" cy="824398"/>
                  </a:xfrm>
                  <a:prstGeom prst="rect">
                    <a:avLst/>
                  </a:prstGeom>
                </pic:spPr>
              </pic:pic>
            </a:graphicData>
          </a:graphic>
          <wp14:sizeRelH relativeFrom="margin">
            <wp14:pctWidth>0</wp14:pctWidth>
          </wp14:sizeRelH>
          <wp14:sizeRelV relativeFrom="margin">
            <wp14:pctHeight>0</wp14:pctHeight>
          </wp14:sizeRelV>
        </wp:anchor>
      </w:drawing>
    </w:r>
    <w:r w:rsidRPr="003E7BC1">
      <w:rPr>
        <w:rStyle w:val="ui-provider"/>
        <w:color w:val="FFFFFF" w:themeColor="background1"/>
      </w:rPr>
      <w:t>evaluation.treasury.gov.au</w:t>
    </w:r>
    <w:r>
      <w:tab/>
    </w:r>
    <w:r w:rsidRPr="003E7BC1">
      <w:rPr>
        <w:color w:val="FFFFFF" w:themeColor="background1"/>
      </w:rPr>
      <w:t xml:space="preserve">Last updated: </w:t>
    </w:r>
    <w:r w:rsidRPr="003E7BC1">
      <w:rPr>
        <w:color w:val="FFFFFF" w:themeColor="background1"/>
      </w:rPr>
      <w:fldChar w:fldCharType="begin"/>
    </w:r>
    <w:r w:rsidRPr="003E7BC1">
      <w:rPr>
        <w:color w:val="FFFFFF" w:themeColor="background1"/>
      </w:rPr>
      <w:instrText xml:space="preserve"> SAVEDATE  \@ "d MMMM yyyy"  \* MERGEFORMAT </w:instrText>
    </w:r>
    <w:r w:rsidRPr="003E7BC1">
      <w:rPr>
        <w:color w:val="FFFFFF" w:themeColor="background1"/>
      </w:rPr>
      <w:fldChar w:fldCharType="separate"/>
    </w:r>
    <w:r w:rsidR="007161A9">
      <w:rPr>
        <w:noProof/>
        <w:color w:val="FFFFFF" w:themeColor="background1"/>
      </w:rPr>
      <w:t>31 August 2023</w:t>
    </w:r>
    <w:r w:rsidRPr="003E7BC1">
      <w:rPr>
        <w:color w:val="FFFFFF" w:themeColor="background1"/>
      </w:rPr>
      <w:fldChar w:fldCharType="end"/>
    </w:r>
    <w:r w:rsidRPr="003E7BC1">
      <w:rPr>
        <w:color w:val="FFFFFF" w:themeColor="background1"/>
      </w:rPr>
      <w:t xml:space="preserve"> |  </w:t>
    </w:r>
    <w:r w:rsidRPr="00A32C73">
      <w:rPr>
        <w:rStyle w:val="Strong"/>
      </w:rPr>
      <w:fldChar w:fldCharType="begin"/>
    </w:r>
    <w:r w:rsidRPr="00A32C73">
      <w:rPr>
        <w:rStyle w:val="Strong"/>
      </w:rPr>
      <w:instrText xml:space="preserve"> PAGE   \* MERGEFORMAT </w:instrText>
    </w:r>
    <w:r w:rsidRPr="00A32C73">
      <w:rPr>
        <w:rStyle w:val="Strong"/>
      </w:rPr>
      <w:fldChar w:fldCharType="separate"/>
    </w:r>
    <w:r>
      <w:rPr>
        <w:rStyle w:val="Strong"/>
      </w:rPr>
      <w:t>1</w:t>
    </w:r>
    <w:r w:rsidRPr="00A32C73">
      <w:rPr>
        <w:rStyle w:val="Stron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C7C" w14:textId="1A8C2B20" w:rsidR="00300C95" w:rsidRPr="00A32C73" w:rsidRDefault="00291F10" w:rsidP="00291F10">
    <w:pPr>
      <w:pStyle w:val="Footer"/>
      <w:tabs>
        <w:tab w:val="clear" w:pos="4320"/>
        <w:tab w:val="clear" w:pos="8640"/>
        <w:tab w:val="center" w:pos="7938"/>
      </w:tabs>
      <w:jc w:val="right"/>
    </w:pPr>
    <w:r>
      <w:rPr>
        <w:noProof/>
        <w:color w:val="FFFFFF" w:themeColor="background1"/>
      </w:rPr>
      <w:drawing>
        <wp:anchor distT="0" distB="0" distL="114300" distR="114300" simplePos="0" relativeHeight="251658240" behindDoc="1" locked="0" layoutInCell="1" allowOverlap="1" wp14:anchorId="60DB1665" wp14:editId="4FF0D09A">
          <wp:simplePos x="0" y="0"/>
          <wp:positionH relativeFrom="page">
            <wp:posOffset>21519</wp:posOffset>
          </wp:positionH>
          <wp:positionV relativeFrom="page">
            <wp:posOffset>9864762</wp:posOffset>
          </wp:positionV>
          <wp:extent cx="7524249" cy="824399"/>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24249" cy="824399"/>
                  </a:xfrm>
                  <a:prstGeom prst="rect">
                    <a:avLst/>
                  </a:prstGeom>
                </pic:spPr>
              </pic:pic>
            </a:graphicData>
          </a:graphic>
          <wp14:sizeRelH relativeFrom="margin">
            <wp14:pctWidth>0</wp14:pctWidth>
          </wp14:sizeRelH>
          <wp14:sizeRelV relativeFrom="margin">
            <wp14:pctHeight>0</wp14:pctHeight>
          </wp14:sizeRelV>
        </wp:anchor>
      </w:drawing>
    </w:r>
    <w:r w:rsidR="00A32C73" w:rsidRPr="003E7BC1">
      <w:rPr>
        <w:rStyle w:val="ui-provider"/>
        <w:color w:val="FFFFFF" w:themeColor="background1"/>
      </w:rPr>
      <w:t>evaluation.treasury.gov.au</w:t>
    </w:r>
    <w:r w:rsidR="00A32C73">
      <w:tab/>
    </w:r>
    <w:r w:rsidR="00A32C73" w:rsidRPr="003E7BC1">
      <w:rPr>
        <w:color w:val="FFFFFF" w:themeColor="background1"/>
      </w:rPr>
      <w:t xml:space="preserve">Last updated: </w:t>
    </w:r>
    <w:r w:rsidR="00A32C73" w:rsidRPr="003E7BC1">
      <w:rPr>
        <w:color w:val="FFFFFF" w:themeColor="background1"/>
      </w:rPr>
      <w:fldChar w:fldCharType="begin"/>
    </w:r>
    <w:r w:rsidR="00A32C73" w:rsidRPr="003E7BC1">
      <w:rPr>
        <w:color w:val="FFFFFF" w:themeColor="background1"/>
      </w:rPr>
      <w:instrText xml:space="preserve"> SAVEDATE  \@ "d MMMM yyyy"  \* MERGEFORMAT </w:instrText>
    </w:r>
    <w:r w:rsidR="00A32C73" w:rsidRPr="003E7BC1">
      <w:rPr>
        <w:color w:val="FFFFFF" w:themeColor="background1"/>
      </w:rPr>
      <w:fldChar w:fldCharType="separate"/>
    </w:r>
    <w:r w:rsidR="007161A9">
      <w:rPr>
        <w:noProof/>
        <w:color w:val="FFFFFF" w:themeColor="background1"/>
      </w:rPr>
      <w:t>31 August 2023</w:t>
    </w:r>
    <w:r w:rsidR="00A32C73" w:rsidRPr="003E7BC1">
      <w:rPr>
        <w:color w:val="FFFFFF" w:themeColor="background1"/>
      </w:rPr>
      <w:fldChar w:fldCharType="end"/>
    </w:r>
    <w:r w:rsidR="00A32C73" w:rsidRPr="003E7BC1">
      <w:rPr>
        <w:color w:val="FFFFFF" w:themeColor="background1"/>
      </w:rPr>
      <w:t xml:space="preserve"> |  </w:t>
    </w:r>
    <w:r w:rsidR="00A32C73" w:rsidRPr="00A32C73">
      <w:rPr>
        <w:rStyle w:val="Strong"/>
      </w:rPr>
      <w:fldChar w:fldCharType="begin"/>
    </w:r>
    <w:r w:rsidR="00A32C73" w:rsidRPr="00A32C73">
      <w:rPr>
        <w:rStyle w:val="Strong"/>
      </w:rPr>
      <w:instrText xml:space="preserve"> PAGE   \* MERGEFORMAT </w:instrText>
    </w:r>
    <w:r w:rsidR="00A32C73" w:rsidRPr="00A32C73">
      <w:rPr>
        <w:rStyle w:val="Strong"/>
      </w:rPr>
      <w:fldChar w:fldCharType="separate"/>
    </w:r>
    <w:r w:rsidR="00A32C73" w:rsidRPr="00A32C73">
      <w:rPr>
        <w:rStyle w:val="Strong"/>
      </w:rPr>
      <w:t>2</w:t>
    </w:r>
    <w:r w:rsidR="00A32C73" w:rsidRPr="00A32C73">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C038" w14:textId="77777777" w:rsidR="00A94697" w:rsidRDefault="00A94697" w:rsidP="00886BC4">
      <w:r>
        <w:separator/>
      </w:r>
    </w:p>
    <w:p w14:paraId="5599FC4F" w14:textId="77777777" w:rsidR="00A94697" w:rsidRDefault="00A94697"/>
  </w:footnote>
  <w:footnote w:type="continuationSeparator" w:id="0">
    <w:p w14:paraId="07967B83" w14:textId="77777777" w:rsidR="00A94697" w:rsidRDefault="00A94697" w:rsidP="00886BC4">
      <w:r>
        <w:continuationSeparator/>
      </w:r>
    </w:p>
    <w:p w14:paraId="330D1573" w14:textId="77777777" w:rsidR="00A94697" w:rsidRDefault="00A94697"/>
  </w:footnote>
  <w:footnote w:type="continuationNotice" w:id="1">
    <w:p w14:paraId="548C41DB" w14:textId="77777777" w:rsidR="00A94697" w:rsidRDefault="00A94697"/>
  </w:footnote>
  <w:footnote w:id="2">
    <w:p w14:paraId="18880AC6" w14:textId="5A01896D" w:rsidR="004367FC" w:rsidRDefault="004367FC" w:rsidP="00C33425">
      <w:pPr>
        <w:pStyle w:val="FootnoteText"/>
        <w:spacing w:before="0"/>
      </w:pPr>
      <w:r>
        <w:rPr>
          <w:rStyle w:val="FootnoteReference"/>
        </w:rPr>
        <w:footnoteRef/>
      </w:r>
      <w:r>
        <w:t xml:space="preserve"> </w:t>
      </w:r>
      <w:r w:rsidR="007E075B">
        <w:t>We</w:t>
      </w:r>
      <w:r>
        <w:t xml:space="preserve"> will provide a quarterly update to members who do not have a </w:t>
      </w:r>
      <w:proofErr w:type="spellStart"/>
      <w:r>
        <w:t>GovTEAMS</w:t>
      </w:r>
      <w:proofErr w:type="spellEnd"/>
      <w:r>
        <w:t xml:space="preserve">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C386" w14:textId="78DCB1DF" w:rsidR="006D3EE7" w:rsidRPr="007F53C0" w:rsidRDefault="001E0C36" w:rsidP="007F53C0">
    <w:pPr>
      <w:pStyle w:val="Header"/>
    </w:pPr>
    <w:r>
      <w:fldChar w:fldCharType="begin"/>
    </w:r>
    <w:r>
      <w:instrText xml:space="preserve"> STYLEREF  "Fact sheet title"  \* MERGEFORMAT </w:instrText>
    </w:r>
    <w:r>
      <w:fldChar w:fldCharType="separate"/>
    </w:r>
    <w:r w:rsidR="007161A9">
      <w:rPr>
        <w:noProof/>
      </w:rPr>
      <w:t>Commonwealth Evaluation</w:t>
    </w:r>
    <w:r w:rsidR="007161A9">
      <w:rPr>
        <w:noProof/>
      </w:rPr>
      <w:br/>
      <w:t>Community of Practice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11C2" w14:textId="7D86A99C" w:rsidR="00300C95" w:rsidRDefault="007737C3">
    <w:pPr>
      <w:pStyle w:val="Header"/>
    </w:pPr>
    <w:r>
      <w:rPr>
        <w:noProof/>
      </w:rPr>
      <w:drawing>
        <wp:anchor distT="0" distB="0" distL="114300" distR="114300" simplePos="0" relativeHeight="251658242" behindDoc="1" locked="0" layoutInCell="1" allowOverlap="0" wp14:anchorId="67153853" wp14:editId="098DBF42">
          <wp:simplePos x="0" y="0"/>
          <wp:positionH relativeFrom="page">
            <wp:posOffset>-9525</wp:posOffset>
          </wp:positionH>
          <wp:positionV relativeFrom="page">
            <wp:posOffset>142875</wp:posOffset>
          </wp:positionV>
          <wp:extent cx="7586980" cy="2466758"/>
          <wp:effectExtent l="0" t="0" r="0" b="0"/>
          <wp:wrapNone/>
          <wp:docPr id="343" name="Picture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1302"/>
                  <a:stretch/>
                </pic:blipFill>
                <pic:spPr bwMode="auto">
                  <a:xfrm>
                    <a:off x="0" y="0"/>
                    <a:ext cx="7586980" cy="2466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26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EE2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BA9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4CE2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960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6A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298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8EF74"/>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70863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1C6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3C1E47"/>
    <w:multiLevelType w:val="hybridMultilevel"/>
    <w:tmpl w:val="7A7ED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576512"/>
    <w:multiLevelType w:val="hybridMultilevel"/>
    <w:tmpl w:val="726AD216"/>
    <w:lvl w:ilvl="0" w:tplc="D070FB68">
      <w:start w:val="5"/>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95320E5"/>
    <w:multiLevelType w:val="hybridMultilevel"/>
    <w:tmpl w:val="59B4A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9"/>
  </w:num>
  <w:num w:numId="3">
    <w:abstractNumId w:val="17"/>
  </w:num>
  <w:num w:numId="4">
    <w:abstractNumId w:val="18"/>
  </w:num>
  <w:num w:numId="5">
    <w:abstractNumId w:val="14"/>
  </w:num>
  <w:num w:numId="6">
    <w:abstractNumId w:val="7"/>
  </w:num>
  <w:num w:numId="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E7BC1"/>
    <w:rsid w:val="00004FA6"/>
    <w:rsid w:val="00011206"/>
    <w:rsid w:val="00016670"/>
    <w:rsid w:val="00016B6C"/>
    <w:rsid w:val="0002151A"/>
    <w:rsid w:val="00033942"/>
    <w:rsid w:val="000421F9"/>
    <w:rsid w:val="00045C24"/>
    <w:rsid w:val="00060C76"/>
    <w:rsid w:val="00062CBB"/>
    <w:rsid w:val="00067E65"/>
    <w:rsid w:val="000753CE"/>
    <w:rsid w:val="000A4D2D"/>
    <w:rsid w:val="000B1EC3"/>
    <w:rsid w:val="000B2C0C"/>
    <w:rsid w:val="000B3C90"/>
    <w:rsid w:val="000B72AE"/>
    <w:rsid w:val="000C02C9"/>
    <w:rsid w:val="000D33F2"/>
    <w:rsid w:val="000D7D2F"/>
    <w:rsid w:val="000E292B"/>
    <w:rsid w:val="000E324C"/>
    <w:rsid w:val="000F2493"/>
    <w:rsid w:val="000F2562"/>
    <w:rsid w:val="000F33C9"/>
    <w:rsid w:val="00102238"/>
    <w:rsid w:val="00105EBE"/>
    <w:rsid w:val="001145FD"/>
    <w:rsid w:val="00115B2E"/>
    <w:rsid w:val="0011628E"/>
    <w:rsid w:val="00117DDD"/>
    <w:rsid w:val="001363E7"/>
    <w:rsid w:val="001376CC"/>
    <w:rsid w:val="00140697"/>
    <w:rsid w:val="0014178A"/>
    <w:rsid w:val="00144B84"/>
    <w:rsid w:val="001632E9"/>
    <w:rsid w:val="00166A45"/>
    <w:rsid w:val="00167102"/>
    <w:rsid w:val="00174954"/>
    <w:rsid w:val="00182E9E"/>
    <w:rsid w:val="00183F40"/>
    <w:rsid w:val="00187E23"/>
    <w:rsid w:val="00190D7B"/>
    <w:rsid w:val="00191363"/>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62BD"/>
    <w:rsid w:val="00260712"/>
    <w:rsid w:val="00263339"/>
    <w:rsid w:val="0026561C"/>
    <w:rsid w:val="002809F6"/>
    <w:rsid w:val="00283303"/>
    <w:rsid w:val="00287F32"/>
    <w:rsid w:val="0029134D"/>
    <w:rsid w:val="00291F10"/>
    <w:rsid w:val="002978C8"/>
    <w:rsid w:val="002A0B32"/>
    <w:rsid w:val="002A4B83"/>
    <w:rsid w:val="002A6430"/>
    <w:rsid w:val="002A79C5"/>
    <w:rsid w:val="002C26D9"/>
    <w:rsid w:val="002D49D1"/>
    <w:rsid w:val="002F417B"/>
    <w:rsid w:val="002F6ADC"/>
    <w:rsid w:val="002F73DC"/>
    <w:rsid w:val="00300C95"/>
    <w:rsid w:val="003054A8"/>
    <w:rsid w:val="00306770"/>
    <w:rsid w:val="00307DA3"/>
    <w:rsid w:val="00327D31"/>
    <w:rsid w:val="003305CA"/>
    <w:rsid w:val="0034064A"/>
    <w:rsid w:val="0034564D"/>
    <w:rsid w:val="003520F6"/>
    <w:rsid w:val="00353390"/>
    <w:rsid w:val="00357842"/>
    <w:rsid w:val="00370EEF"/>
    <w:rsid w:val="00372AC1"/>
    <w:rsid w:val="003802F4"/>
    <w:rsid w:val="003831AB"/>
    <w:rsid w:val="00390C06"/>
    <w:rsid w:val="003A60DC"/>
    <w:rsid w:val="003A63D1"/>
    <w:rsid w:val="003C047D"/>
    <w:rsid w:val="003C4F86"/>
    <w:rsid w:val="003C789B"/>
    <w:rsid w:val="003D0BC9"/>
    <w:rsid w:val="003E26C5"/>
    <w:rsid w:val="003E7BC1"/>
    <w:rsid w:val="003E7C36"/>
    <w:rsid w:val="003F2E2F"/>
    <w:rsid w:val="003F424B"/>
    <w:rsid w:val="00425E05"/>
    <w:rsid w:val="0043304C"/>
    <w:rsid w:val="004367FC"/>
    <w:rsid w:val="00441134"/>
    <w:rsid w:val="00442C7E"/>
    <w:rsid w:val="00450CCE"/>
    <w:rsid w:val="004542B7"/>
    <w:rsid w:val="004546DC"/>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0357"/>
    <w:rsid w:val="0051600D"/>
    <w:rsid w:val="00516FB2"/>
    <w:rsid w:val="0052342C"/>
    <w:rsid w:val="00524DCE"/>
    <w:rsid w:val="00525050"/>
    <w:rsid w:val="0053110F"/>
    <w:rsid w:val="00533FEF"/>
    <w:rsid w:val="00535C81"/>
    <w:rsid w:val="00546D8E"/>
    <w:rsid w:val="00546FDD"/>
    <w:rsid w:val="00550511"/>
    <w:rsid w:val="00551340"/>
    <w:rsid w:val="005606FD"/>
    <w:rsid w:val="00565A52"/>
    <w:rsid w:val="00566AD8"/>
    <w:rsid w:val="00570B86"/>
    <w:rsid w:val="005732EB"/>
    <w:rsid w:val="005803BF"/>
    <w:rsid w:val="00582FAD"/>
    <w:rsid w:val="005857DC"/>
    <w:rsid w:val="00585F7E"/>
    <w:rsid w:val="0059441F"/>
    <w:rsid w:val="00594ABF"/>
    <w:rsid w:val="005A11E6"/>
    <w:rsid w:val="005A2484"/>
    <w:rsid w:val="005A6A61"/>
    <w:rsid w:val="005B0968"/>
    <w:rsid w:val="005B207E"/>
    <w:rsid w:val="005B2484"/>
    <w:rsid w:val="005B3871"/>
    <w:rsid w:val="005B659D"/>
    <w:rsid w:val="005B6B98"/>
    <w:rsid w:val="005C1326"/>
    <w:rsid w:val="005C3527"/>
    <w:rsid w:val="005C4B02"/>
    <w:rsid w:val="005E125F"/>
    <w:rsid w:val="005E62D6"/>
    <w:rsid w:val="005F0FBF"/>
    <w:rsid w:val="006014A0"/>
    <w:rsid w:val="00614971"/>
    <w:rsid w:val="00622611"/>
    <w:rsid w:val="00627218"/>
    <w:rsid w:val="006355D1"/>
    <w:rsid w:val="00635DD4"/>
    <w:rsid w:val="00637692"/>
    <w:rsid w:val="0064704A"/>
    <w:rsid w:val="0066666A"/>
    <w:rsid w:val="006871DF"/>
    <w:rsid w:val="006916AD"/>
    <w:rsid w:val="00694B4F"/>
    <w:rsid w:val="00694DE6"/>
    <w:rsid w:val="006A118D"/>
    <w:rsid w:val="006A3972"/>
    <w:rsid w:val="006A712D"/>
    <w:rsid w:val="006B76C5"/>
    <w:rsid w:val="006D27A6"/>
    <w:rsid w:val="006D3EE7"/>
    <w:rsid w:val="006D6960"/>
    <w:rsid w:val="006E101D"/>
    <w:rsid w:val="006E6F8C"/>
    <w:rsid w:val="006E76BE"/>
    <w:rsid w:val="006F0918"/>
    <w:rsid w:val="006F56A2"/>
    <w:rsid w:val="006F6E04"/>
    <w:rsid w:val="00705AD6"/>
    <w:rsid w:val="007161A9"/>
    <w:rsid w:val="00717216"/>
    <w:rsid w:val="00722F56"/>
    <w:rsid w:val="007343B8"/>
    <w:rsid w:val="00736715"/>
    <w:rsid w:val="007600FA"/>
    <w:rsid w:val="0076093D"/>
    <w:rsid w:val="00761DA0"/>
    <w:rsid w:val="007622D7"/>
    <w:rsid w:val="0076236E"/>
    <w:rsid w:val="007737C3"/>
    <w:rsid w:val="007825F2"/>
    <w:rsid w:val="00784A3C"/>
    <w:rsid w:val="00793BD7"/>
    <w:rsid w:val="0079466D"/>
    <w:rsid w:val="007A4195"/>
    <w:rsid w:val="007A6E4D"/>
    <w:rsid w:val="007B6953"/>
    <w:rsid w:val="007B7784"/>
    <w:rsid w:val="007C1094"/>
    <w:rsid w:val="007C3CD0"/>
    <w:rsid w:val="007D4EB7"/>
    <w:rsid w:val="007D6F47"/>
    <w:rsid w:val="007E013D"/>
    <w:rsid w:val="007E075B"/>
    <w:rsid w:val="007E0975"/>
    <w:rsid w:val="007E36E4"/>
    <w:rsid w:val="007E5E07"/>
    <w:rsid w:val="007E7046"/>
    <w:rsid w:val="007F53C0"/>
    <w:rsid w:val="007F61E3"/>
    <w:rsid w:val="00812864"/>
    <w:rsid w:val="008139FB"/>
    <w:rsid w:val="00831D8A"/>
    <w:rsid w:val="00847719"/>
    <w:rsid w:val="00856A94"/>
    <w:rsid w:val="008616B9"/>
    <w:rsid w:val="0088159C"/>
    <w:rsid w:val="0088211A"/>
    <w:rsid w:val="00884F56"/>
    <w:rsid w:val="008854F6"/>
    <w:rsid w:val="00886667"/>
    <w:rsid w:val="00886BC4"/>
    <w:rsid w:val="008972E4"/>
    <w:rsid w:val="008A02F3"/>
    <w:rsid w:val="008A1C1D"/>
    <w:rsid w:val="008A48CA"/>
    <w:rsid w:val="008B2938"/>
    <w:rsid w:val="008B395C"/>
    <w:rsid w:val="008C3C5A"/>
    <w:rsid w:val="008C5773"/>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06"/>
    <w:rsid w:val="0090719E"/>
    <w:rsid w:val="00907DD4"/>
    <w:rsid w:val="009109AA"/>
    <w:rsid w:val="00926879"/>
    <w:rsid w:val="00933C8C"/>
    <w:rsid w:val="009367F6"/>
    <w:rsid w:val="0093741D"/>
    <w:rsid w:val="00942CB3"/>
    <w:rsid w:val="00944174"/>
    <w:rsid w:val="00951652"/>
    <w:rsid w:val="00952F2F"/>
    <w:rsid w:val="00965C4B"/>
    <w:rsid w:val="009757BB"/>
    <w:rsid w:val="00976E68"/>
    <w:rsid w:val="0098151F"/>
    <w:rsid w:val="00986A46"/>
    <w:rsid w:val="009906A6"/>
    <w:rsid w:val="00992ADC"/>
    <w:rsid w:val="009A5EC9"/>
    <w:rsid w:val="009A6D32"/>
    <w:rsid w:val="009A71C4"/>
    <w:rsid w:val="009B15EC"/>
    <w:rsid w:val="009B1781"/>
    <w:rsid w:val="009B2546"/>
    <w:rsid w:val="009B464D"/>
    <w:rsid w:val="009B46BA"/>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2C73"/>
    <w:rsid w:val="00A3452B"/>
    <w:rsid w:val="00A46A9A"/>
    <w:rsid w:val="00A50111"/>
    <w:rsid w:val="00A52C22"/>
    <w:rsid w:val="00A60022"/>
    <w:rsid w:val="00A6514E"/>
    <w:rsid w:val="00A83FE8"/>
    <w:rsid w:val="00A8449C"/>
    <w:rsid w:val="00A84C3C"/>
    <w:rsid w:val="00A87F4B"/>
    <w:rsid w:val="00A909A3"/>
    <w:rsid w:val="00A90D54"/>
    <w:rsid w:val="00A91BD2"/>
    <w:rsid w:val="00A940BE"/>
    <w:rsid w:val="00A94697"/>
    <w:rsid w:val="00A96316"/>
    <w:rsid w:val="00A9658A"/>
    <w:rsid w:val="00A970ED"/>
    <w:rsid w:val="00AA553F"/>
    <w:rsid w:val="00AB3D33"/>
    <w:rsid w:val="00AC1B27"/>
    <w:rsid w:val="00AC4C62"/>
    <w:rsid w:val="00AC60D4"/>
    <w:rsid w:val="00AD21DB"/>
    <w:rsid w:val="00AE39EE"/>
    <w:rsid w:val="00AE53E5"/>
    <w:rsid w:val="00B129C3"/>
    <w:rsid w:val="00B15B56"/>
    <w:rsid w:val="00B17D5F"/>
    <w:rsid w:val="00B24C1C"/>
    <w:rsid w:val="00B2592F"/>
    <w:rsid w:val="00B32830"/>
    <w:rsid w:val="00B42FAF"/>
    <w:rsid w:val="00B50FEA"/>
    <w:rsid w:val="00B51175"/>
    <w:rsid w:val="00B5397C"/>
    <w:rsid w:val="00B54FA9"/>
    <w:rsid w:val="00B57B0B"/>
    <w:rsid w:val="00B64308"/>
    <w:rsid w:val="00B71F74"/>
    <w:rsid w:val="00B73C23"/>
    <w:rsid w:val="00B7570C"/>
    <w:rsid w:val="00B771FF"/>
    <w:rsid w:val="00B82C45"/>
    <w:rsid w:val="00BA054F"/>
    <w:rsid w:val="00BA123B"/>
    <w:rsid w:val="00BA3721"/>
    <w:rsid w:val="00BA7802"/>
    <w:rsid w:val="00BB059B"/>
    <w:rsid w:val="00BB4B21"/>
    <w:rsid w:val="00BC6017"/>
    <w:rsid w:val="00BC723B"/>
    <w:rsid w:val="00BD0B30"/>
    <w:rsid w:val="00BD3C26"/>
    <w:rsid w:val="00BD7EA0"/>
    <w:rsid w:val="00BE2210"/>
    <w:rsid w:val="00BE5AC7"/>
    <w:rsid w:val="00BF3E58"/>
    <w:rsid w:val="00BF4A8E"/>
    <w:rsid w:val="00BF73E4"/>
    <w:rsid w:val="00BF75D8"/>
    <w:rsid w:val="00C0628D"/>
    <w:rsid w:val="00C23C8C"/>
    <w:rsid w:val="00C3042D"/>
    <w:rsid w:val="00C33425"/>
    <w:rsid w:val="00C362B7"/>
    <w:rsid w:val="00C3693F"/>
    <w:rsid w:val="00C37A6A"/>
    <w:rsid w:val="00C4344F"/>
    <w:rsid w:val="00C436B8"/>
    <w:rsid w:val="00C443D7"/>
    <w:rsid w:val="00C55158"/>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F0B"/>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6273E"/>
    <w:rsid w:val="00D81F86"/>
    <w:rsid w:val="00DC075C"/>
    <w:rsid w:val="00DC6FBB"/>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53BDC"/>
    <w:rsid w:val="00E62B01"/>
    <w:rsid w:val="00E64B67"/>
    <w:rsid w:val="00E669CD"/>
    <w:rsid w:val="00E70A2C"/>
    <w:rsid w:val="00E808EB"/>
    <w:rsid w:val="00E81A92"/>
    <w:rsid w:val="00E83A1D"/>
    <w:rsid w:val="00E847A7"/>
    <w:rsid w:val="00E85FF2"/>
    <w:rsid w:val="00E86CBA"/>
    <w:rsid w:val="00E90E39"/>
    <w:rsid w:val="00E93C25"/>
    <w:rsid w:val="00EA5D8D"/>
    <w:rsid w:val="00EB1557"/>
    <w:rsid w:val="00EC2A56"/>
    <w:rsid w:val="00EC691C"/>
    <w:rsid w:val="00EC75C2"/>
    <w:rsid w:val="00ED3522"/>
    <w:rsid w:val="00EE570F"/>
    <w:rsid w:val="00EE5F89"/>
    <w:rsid w:val="00EF1B2D"/>
    <w:rsid w:val="00EF4754"/>
    <w:rsid w:val="00F0196A"/>
    <w:rsid w:val="00F07B2D"/>
    <w:rsid w:val="00F172EE"/>
    <w:rsid w:val="00F22FC2"/>
    <w:rsid w:val="00F248B6"/>
    <w:rsid w:val="00F31637"/>
    <w:rsid w:val="00F33B9F"/>
    <w:rsid w:val="00F41932"/>
    <w:rsid w:val="00F43F1B"/>
    <w:rsid w:val="00F44C22"/>
    <w:rsid w:val="00F4751B"/>
    <w:rsid w:val="00F4789A"/>
    <w:rsid w:val="00F51C00"/>
    <w:rsid w:val="00F51FDE"/>
    <w:rsid w:val="00F61364"/>
    <w:rsid w:val="00F614C4"/>
    <w:rsid w:val="00F61E2F"/>
    <w:rsid w:val="00F7256C"/>
    <w:rsid w:val="00F75A59"/>
    <w:rsid w:val="00F7650A"/>
    <w:rsid w:val="00F95DDF"/>
    <w:rsid w:val="00F96108"/>
    <w:rsid w:val="00FA70A7"/>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F70"/>
  <w15:docId w15:val="{88106991-2FB5-4449-99E0-E5C445E1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73"/>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812864"/>
    <w:pPr>
      <w:keepNext/>
      <w:spacing w:before="560" w:line="460" w:lineRule="exact"/>
      <w:outlineLvl w:val="0"/>
    </w:pPr>
    <w:rPr>
      <w:rFonts w:ascii="Calibri" w:hAnsi="Calibri" w:cs="Arial"/>
      <w:b/>
      <w:color w:val="2C384A" w:themeColor="accent1"/>
      <w:kern w:val="32"/>
      <w:sz w:val="44"/>
      <w:szCs w:val="36"/>
    </w:rPr>
  </w:style>
  <w:style w:type="paragraph" w:styleId="Heading2">
    <w:name w:val="heading 2"/>
    <w:basedOn w:val="Normal"/>
    <w:next w:val="Normal"/>
    <w:link w:val="Heading2Char"/>
    <w:qFormat/>
    <w:rsid w:val="00510357"/>
    <w:pPr>
      <w:keepNext/>
      <w:spacing w:before="360" w:line="460" w:lineRule="exact"/>
      <w:outlineLvl w:val="1"/>
    </w:pPr>
    <w:rPr>
      <w:rFonts w:ascii="Calibri" w:hAnsi="Calibri" w:cs="Arial"/>
      <w:iCs/>
      <w:color w:val="5D779D" w:themeColor="accent3"/>
      <w:kern w:val="32"/>
      <w:sz w:val="36"/>
      <w:szCs w:val="28"/>
    </w:rPr>
  </w:style>
  <w:style w:type="paragraph" w:styleId="Heading3">
    <w:name w:val="heading 3"/>
    <w:basedOn w:val="Normal"/>
    <w:next w:val="Normal"/>
    <w:link w:val="Heading3Char"/>
    <w:qFormat/>
    <w:rsid w:val="00062CBB"/>
    <w:pPr>
      <w:keepNext/>
      <w:spacing w:before="320" w:after="0" w:line="276" w:lineRule="auto"/>
      <w:outlineLvl w:val="2"/>
    </w:pPr>
    <w:rPr>
      <w:rFonts w:ascii="Calibri" w:hAnsi="Calibri" w:cs="Arial"/>
      <w:b/>
      <w:color w:val="2C384A" w:themeColor="accent1"/>
      <w:kern w:val="32"/>
      <w:sz w:val="28"/>
      <w:szCs w:val="26"/>
    </w:rPr>
  </w:style>
  <w:style w:type="paragraph" w:styleId="Heading4">
    <w:name w:val="heading 4"/>
    <w:basedOn w:val="Normal"/>
    <w:next w:val="Normal"/>
    <w:link w:val="Heading4Char"/>
    <w:qFormat/>
    <w:rsid w:val="003D0BC9"/>
    <w:pPr>
      <w:keepNext/>
      <w:spacing w:before="280" w:after="0" w:line="276" w:lineRule="auto"/>
      <w:outlineLvl w:val="3"/>
    </w:pPr>
    <w:rPr>
      <w:rFonts w:cs="Arial"/>
      <w:color w:val="5D779D" w:themeColor="accent3"/>
      <w:kern w:val="32"/>
      <w:sz w:val="24"/>
      <w:szCs w:val="26"/>
    </w:rPr>
  </w:style>
  <w:style w:type="paragraph" w:styleId="Heading5">
    <w:name w:val="heading 5"/>
    <w:basedOn w:val="Normal"/>
    <w:next w:val="Normal"/>
    <w:link w:val="Heading5Char"/>
    <w:rsid w:val="00062CBB"/>
    <w:pPr>
      <w:keepNext/>
      <w:spacing w:before="240" w:after="0" w:line="276" w:lineRule="auto"/>
      <w:outlineLvl w:val="4"/>
    </w:pPr>
    <w:rPr>
      <w:rFonts w:asciiTheme="majorHAnsi" w:hAnsiTheme="majorHAnsi" w:cs="Arial"/>
      <w:b/>
      <w:iCs/>
      <w:color w:val="2C384A" w:themeColor="accent1"/>
      <w:kern w:val="32"/>
      <w:szCs w:val="36"/>
    </w:rPr>
  </w:style>
  <w:style w:type="paragraph" w:styleId="Heading6">
    <w:name w:val="heading 6"/>
    <w:basedOn w:val="Normal"/>
    <w:next w:val="Normal"/>
    <w:link w:val="Heading6Char"/>
    <w:rsid w:val="00062CBB"/>
    <w:pPr>
      <w:keepNext/>
      <w:spacing w:after="0" w:line="276" w:lineRule="auto"/>
      <w:outlineLvl w:val="5"/>
    </w:pPr>
    <w:rPr>
      <w:rFonts w:cs="Arial"/>
      <w:color w:val="2C384A" w:themeColor="accen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12864"/>
    <w:pPr>
      <w:spacing w:before="660" w:after="1500"/>
    </w:pPr>
    <w:rPr>
      <w:rFonts w:ascii="Calibri" w:hAnsi="Calibri"/>
      <w:b/>
      <w:color w:val="FFFFFF" w:themeColor="background1"/>
      <w:spacing w:val="-14"/>
      <w:sz w:val="56"/>
      <w:szCs w:val="68"/>
    </w:rPr>
  </w:style>
  <w:style w:type="character" w:customStyle="1" w:styleId="Heading1Char">
    <w:name w:val="Heading 1 Char"/>
    <w:basedOn w:val="DefaultParagraphFont"/>
    <w:link w:val="Heading1"/>
    <w:rsid w:val="00812864"/>
    <w:rPr>
      <w:rFonts w:eastAsia="Times New Roman" w:cs="Arial"/>
      <w:b/>
      <w:color w:val="2C384A" w:themeColor="accent1"/>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510357"/>
    <w:rPr>
      <w:rFonts w:eastAsia="Times New Roman" w:cs="Arial"/>
      <w:iCs/>
      <w:color w:val="5D779D" w:themeColor="accent3"/>
      <w:kern w:val="32"/>
      <w:sz w:val="36"/>
      <w:szCs w:val="28"/>
      <w:lang w:eastAsia="en-AU"/>
    </w:rPr>
  </w:style>
  <w:style w:type="character" w:customStyle="1" w:styleId="Heading3Char">
    <w:name w:val="Heading 3 Char"/>
    <w:basedOn w:val="DefaultParagraphFont"/>
    <w:link w:val="Heading3"/>
    <w:rsid w:val="00062CBB"/>
    <w:rPr>
      <w:rFonts w:eastAsia="Times New Roman" w:cs="Arial"/>
      <w:b/>
      <w:color w:val="2C384A" w:themeColor="accent1"/>
      <w:kern w:val="32"/>
      <w:sz w:val="28"/>
      <w:szCs w:val="26"/>
      <w:lang w:eastAsia="en-AU"/>
    </w:rPr>
  </w:style>
  <w:style w:type="character" w:customStyle="1" w:styleId="Heading4Char">
    <w:name w:val="Heading 4 Char"/>
    <w:basedOn w:val="DefaultParagraphFont"/>
    <w:link w:val="Heading4"/>
    <w:rsid w:val="003D0BC9"/>
    <w:rPr>
      <w:rFonts w:ascii="Calibri Light" w:eastAsia="Times New Roman" w:hAnsi="Calibri Light" w:cs="Arial"/>
      <w:color w:val="5D779D" w:themeColor="accent3"/>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BD0B30"/>
    <w:pPr>
      <w:numPr>
        <w:ilvl w:val="1"/>
      </w:numPr>
      <w:spacing w:before="320"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062CBB"/>
    <w:rPr>
      <w:rFonts w:asciiTheme="majorHAnsi" w:eastAsia="Times New Roman" w:hAnsiTheme="majorHAnsi" w:cs="Arial"/>
      <w:b/>
      <w:iCs/>
      <w:color w:val="2C384A" w:themeColor="accent1"/>
      <w:kern w:val="32"/>
      <w:sz w:val="22"/>
      <w:szCs w:val="36"/>
      <w:lang w:eastAsia="en-AU"/>
    </w:rPr>
  </w:style>
  <w:style w:type="paragraph" w:customStyle="1" w:styleId="BoxHeading">
    <w:name w:val="Box Heading"/>
    <w:basedOn w:val="Normal"/>
    <w:next w:val="Normal"/>
    <w:rsid w:val="00550511"/>
    <w:pPr>
      <w:keepNext/>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062CBB"/>
    <w:rPr>
      <w:rFonts w:ascii="Calibri Light" w:eastAsia="Times New Roman" w:hAnsi="Calibri Light" w:cs="Arial"/>
      <w:color w:val="2C384A" w:themeColor="accen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F0B15"/>
    <w:pPr>
      <w:spacing w:after="0"/>
    </w:pPr>
    <w:rPr>
      <w:sz w:val="20"/>
    </w:rPr>
  </w:style>
  <w:style w:type="character" w:customStyle="1" w:styleId="FootnoteTextChar">
    <w:name w:val="Footnote Text Char"/>
    <w:basedOn w:val="DefaultParagraphFont"/>
    <w:link w:val="FootnoteText"/>
    <w:uiPriority w:val="99"/>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customStyle="1" w:styleId="ui-provider">
    <w:name w:val="ui-provider"/>
    <w:basedOn w:val="DefaultParagraphFont"/>
    <w:rsid w:val="009A5EC9"/>
  </w:style>
  <w:style w:type="character" w:styleId="Strong">
    <w:name w:val="Strong"/>
    <w:basedOn w:val="DefaultParagraphFont"/>
    <w:rsid w:val="00A32C73"/>
    <w:rPr>
      <w:b/>
      <w:bCs/>
      <w:color w:val="FFFFFF" w:themeColor="background1"/>
    </w:rPr>
  </w:style>
  <w:style w:type="paragraph" w:customStyle="1" w:styleId="IntroPara">
    <w:name w:val="Intro Para"/>
    <w:basedOn w:val="Normal"/>
    <w:qFormat/>
    <w:rsid w:val="004367FC"/>
    <w:pPr>
      <w:pBdr>
        <w:bottom w:val="single" w:sz="4" w:space="6" w:color="2C384A" w:themeColor="accent1"/>
      </w:pBdr>
      <w:suppressAutoHyphens/>
      <w:spacing w:before="180" w:after="60" w:line="280" w:lineRule="atLeast"/>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valuation.gov.au/toolkit/commonwealth-evaluation-toolk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valuation.gov.au/about/commonwealth-evaluation-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team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136</Value>
      <Value>119</Value>
      <Value>1</Value>
      <Value>169</Value>
    </TaxCatchAll>
    <_dlc_DocId xmlns="fe39d773-a83d-4623-ae74-f25711a76616">EHVMRRYKTSDQ-2003050963-100</_dlc_DocId>
    <_dlc_DocIdUrl xmlns="fe39d773-a83d-4623-ae74-f25711a76616">
      <Url>https://austreasury.sharepoint.com/sites/eval-function/_layouts/15/DocIdRedir.aspx?ID=EHVMRRYKTSDQ-2003050963-100</Url>
      <Description>EHVMRRYKTSDQ-2003050963-100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b60c79a3-aea7-44aa-8181-d580e170f877</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Community of Practice</TermName>
          <TermId xmlns="http://schemas.microsoft.com/office/infopath/2007/PartnerControls">4aa44b9e-574d-4de1-9c93-aa2115e0e7d3</TermId>
        </TermInfo>
      </Terms>
    </gfba5f33532c49208d2320ce38cc3c2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64C9EF1C-25C2-48EA-9C02-F5D0102C6A46}">
  <ds:schemaRefs>
    <ds:schemaRef ds:uri="http://schemas.microsoft.com/office/2006/documentManagement/types"/>
    <ds:schemaRef ds:uri="http://schemas.microsoft.com/office/infopath/2007/PartnerControls"/>
    <ds:schemaRef ds:uri="http://www.w3.org/XML/1998/namespace"/>
    <ds:schemaRef ds:uri="http://purl.org/dc/dcmitype/"/>
    <ds:schemaRef ds:uri="3b060556-123b-41ca-bb76-97eb16ac7a27"/>
    <ds:schemaRef ds:uri="http://schemas.microsoft.com/office/2006/metadata/properties"/>
    <ds:schemaRef ds:uri="fe39d773-a83d-4623-ae74-f25711a76616"/>
    <ds:schemaRef ds:uri="http://purl.org/dc/terms/"/>
    <ds:schemaRef ds:uri="http://schemas.openxmlformats.org/package/2006/metadata/core-properties"/>
    <ds:schemaRef ds:uri="ff38c824-6e29-4496-8487-69f397e7ed29"/>
    <ds:schemaRef ds:uri="http://purl.org/dc/elements/1.1/"/>
  </ds:schemaRefs>
</ds:datastoreItem>
</file>

<file path=customXml/itemProps4.xml><?xml version="1.0" encoding="utf-8"?>
<ds:datastoreItem xmlns:ds="http://schemas.openxmlformats.org/officeDocument/2006/customXml" ds:itemID="{A08030D7-3F37-42FD-A2E4-210AB58C4F10}">
  <ds:schemaRefs>
    <ds:schemaRef ds:uri="http://schemas.microsoft.com/sharepoint/events"/>
  </ds:schemaRefs>
</ds:datastoreItem>
</file>

<file path=customXml/itemProps5.xml><?xml version="1.0" encoding="utf-8"?>
<ds:datastoreItem xmlns:ds="http://schemas.openxmlformats.org/officeDocument/2006/customXml" ds:itemID="{B02268C5-CE28-4931-B51B-2984F29C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4207</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Commonwealth Evaluation Community of Practice - Terms of Reference</vt:lpstr>
    </vt:vector>
  </TitlesOfParts>
  <Company/>
  <LinksUpToDate>false</LinksUpToDate>
  <CharactersWithSpaces>4905</CharactersWithSpaces>
  <SharedDoc>false</SharedDoc>
  <HLinks>
    <vt:vector size="18" baseType="variant">
      <vt:variant>
        <vt:i4>1966147</vt:i4>
      </vt:variant>
      <vt:variant>
        <vt:i4>6</vt:i4>
      </vt:variant>
      <vt:variant>
        <vt:i4>0</vt:i4>
      </vt:variant>
      <vt:variant>
        <vt:i4>5</vt:i4>
      </vt:variant>
      <vt:variant>
        <vt:lpwstr>https://www.govteams.gov.au/</vt:lpwstr>
      </vt:variant>
      <vt:variant>
        <vt:lpwstr/>
      </vt:variant>
      <vt:variant>
        <vt:i4>7798889</vt:i4>
      </vt:variant>
      <vt:variant>
        <vt:i4>3</vt:i4>
      </vt:variant>
      <vt:variant>
        <vt:i4>0</vt:i4>
      </vt:variant>
      <vt:variant>
        <vt:i4>5</vt:i4>
      </vt:variant>
      <vt:variant>
        <vt:lpwstr>https://www.finance.gov.au/government/managing-commonwealth-resources/planning-and-reporting/commonwealth-performance-framework/evaluation-commonwealth-rmg-130</vt:lpwstr>
      </vt:variant>
      <vt:variant>
        <vt:lpwstr/>
      </vt:variant>
      <vt:variant>
        <vt:i4>6488106</vt:i4>
      </vt:variant>
      <vt:variant>
        <vt:i4>0</vt:i4>
      </vt:variant>
      <vt:variant>
        <vt:i4>0</vt:i4>
      </vt:variant>
      <vt:variant>
        <vt:i4>5</vt:i4>
      </vt:variant>
      <vt:variant>
        <vt:lpwstr>https://www.finance.gov.au/government/managing-commonwealth-resources/planning-and-reporting/commonwealth-performance-framework/commonwealth-evaluation-policy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Evaluation Community of Practice - Terms of Reference</dc:title>
  <dc:subject/>
  <dc:creator>Treasury</dc:creator>
  <cp:keywords/>
  <dc:description/>
  <cp:lastModifiedBy>Hill, Christine</cp:lastModifiedBy>
  <cp:revision>2</cp:revision>
  <cp:lastPrinted>2023-08-30T23:09:00Z</cp:lastPrinted>
  <dcterms:created xsi:type="dcterms:W3CDTF">2023-09-01T05:54:00Z</dcterms:created>
  <dcterms:modified xsi:type="dcterms:W3CDTF">2023-09-01T05:54:00Z</dcterms:modified>
  <cp:category/>
</cp:coreProperties>
</file>